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May 21, 2008</w:t>
      </w:r>
    </w:p>
    <w:p>
      <w:pPr>
        <w:spacing w:after="0" w:line="3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333-57198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2</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32"/>
          <w:szCs w:val="32"/>
          <w:b w:val="1"/>
          <w:bCs w:val="1"/>
          <w:color w:val="auto"/>
        </w:rPr>
        <w:t>FORM S-8</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 UNDER THE SECURITIES ACT OF 1933</w:t>
      </w:r>
    </w:p>
    <w:p>
      <w:pPr>
        <w:spacing w:after="0" w:line="19"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TORO COMPANY</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72" w:right="2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13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6380" w:space="720"/>
            <w:col w:w="4320"/>
          </w:cols>
          <w:pgMar w:left="240" w:top="472" w:right="239" w:bottom="1440" w:gutter="0" w:footer="0" w:header="0"/>
          <w:type w:val="continuous"/>
        </w:sect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Registrant’s Principal Executive Office) (Zip Code)</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___________________________</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 2000 Directors Stock Plan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Timothy P. Dordell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Secretary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888-8801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Including Zip Code, and Telephone Number, Including Area Code, of Agent For Service)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requested 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Amy E. Culbert,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Oppenheimer Wolff &amp; Donnelly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45 South Seventh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Minneapolis, Minnesota 55402-1509</w:t>
      </w:r>
    </w:p>
    <w:p>
      <w:pPr>
        <w:spacing w:after="0" w:line="9"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607-7287</w:t>
      </w:r>
    </w:p>
    <w:p>
      <w:pPr>
        <w:spacing w:after="0" w:line="9" w:lineRule="exact"/>
        <w:rPr>
          <w:rFonts w:ascii="Arial" w:cs="Arial" w:eastAsia="Arial" w:hAnsi="Arial"/>
          <w:sz w:val="18"/>
          <w:szCs w:val="18"/>
          <w:b w:val="1"/>
          <w:bCs w:val="1"/>
          <w:color w:val="auto"/>
        </w:rPr>
      </w:pPr>
    </w:p>
    <w:p>
      <w:pPr>
        <w:ind w:left="4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___________________________</w:t>
      </w:r>
    </w:p>
    <w:p>
      <w:pPr>
        <w:spacing w:after="0" w:line="200" w:lineRule="exact"/>
        <w:rPr>
          <w:sz w:val="24"/>
          <w:szCs w:val="24"/>
          <w:color w:val="auto"/>
        </w:rPr>
      </w:pPr>
    </w:p>
    <w:p>
      <w:pPr>
        <w:spacing w:after="0" w:line="281" w:lineRule="exact"/>
        <w:rPr>
          <w:sz w:val="24"/>
          <w:szCs w:val="24"/>
          <w:color w:val="auto"/>
        </w:rPr>
      </w:pPr>
    </w:p>
    <w:p>
      <w:pPr>
        <w:ind w:right="4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ind w:left="340"/>
              <w:spacing w:after="0"/>
              <w:rPr>
                <w:sz w:val="20"/>
                <w:szCs w:val="20"/>
                <w:color w:val="auto"/>
              </w:rPr>
            </w:pPr>
            <w:r>
              <w:rPr>
                <w:rFonts w:ascii="Arial" w:cs="Arial" w:eastAsia="Arial" w:hAnsi="Arial"/>
                <w:sz w:val="18"/>
                <w:szCs w:val="18"/>
                <w:color w:val="auto"/>
              </w:rPr>
              <w:t>Large accelerated filer   x</w:t>
            </w:r>
          </w:p>
        </w:tc>
        <w:tc>
          <w:tcPr>
            <w:tcW w:w="5420" w:type="dxa"/>
            <w:vAlign w:val="bottom"/>
          </w:tcPr>
          <w:p>
            <w:pPr>
              <w:ind w:left="700"/>
              <w:spacing w:after="0"/>
              <w:rPr>
                <w:sz w:val="20"/>
                <w:szCs w:val="20"/>
                <w:color w:val="auto"/>
              </w:rPr>
            </w:pPr>
            <w:r>
              <w:rPr>
                <w:rFonts w:ascii="Arial" w:cs="Arial" w:eastAsia="Arial" w:hAnsi="Arial"/>
                <w:sz w:val="18"/>
                <w:szCs w:val="18"/>
                <w:color w:val="auto"/>
              </w:rPr>
              <w:t>Accelerated filer   o</w:t>
            </w:r>
          </w:p>
        </w:tc>
      </w:tr>
      <w:tr>
        <w:trPr>
          <w:trHeight w:val="459"/>
        </w:trPr>
        <w:tc>
          <w:tcPr>
            <w:tcW w:w="6000" w:type="dxa"/>
            <w:vAlign w:val="bottom"/>
          </w:tcPr>
          <w:p>
            <w:pPr>
              <w:ind w:left="340"/>
              <w:spacing w:after="0"/>
              <w:rPr>
                <w:sz w:val="20"/>
                <w:szCs w:val="20"/>
                <w:color w:val="auto"/>
              </w:rPr>
            </w:pPr>
            <w:r>
              <w:rPr>
                <w:rFonts w:ascii="Arial" w:cs="Arial" w:eastAsia="Arial" w:hAnsi="Arial"/>
                <w:sz w:val="18"/>
                <w:szCs w:val="18"/>
                <w:color w:val="auto"/>
              </w:rPr>
              <w:t>Non-accelerated filer (Do not check if a smaller reporting company)   o</w:t>
            </w:r>
          </w:p>
        </w:tc>
        <w:tc>
          <w:tcPr>
            <w:tcW w:w="5420" w:type="dxa"/>
            <w:vAlign w:val="bottom"/>
          </w:tcPr>
          <w:p>
            <w:pPr>
              <w:ind w:left="460"/>
              <w:spacing w:after="0"/>
              <w:rPr>
                <w:sz w:val="20"/>
                <w:szCs w:val="20"/>
                <w:color w:val="auto"/>
              </w:rPr>
            </w:pPr>
            <w:r>
              <w:rPr>
                <w:rFonts w:ascii="Arial" w:cs="Arial" w:eastAsia="Arial" w:hAnsi="Arial"/>
                <w:sz w:val="18"/>
                <w:szCs w:val="18"/>
                <w:color w:val="auto"/>
              </w:rPr>
              <w:t>Smaller reporting company   o</w:t>
            </w:r>
          </w:p>
        </w:tc>
      </w:tr>
      <w:tr>
        <w:trPr>
          <w:trHeight w:val="118"/>
        </w:trPr>
        <w:tc>
          <w:tcPr>
            <w:tcW w:w="6000" w:type="dxa"/>
            <w:vAlign w:val="bottom"/>
          </w:tcPr>
          <w:p>
            <w:pPr>
              <w:spacing w:after="0"/>
              <w:rPr>
                <w:sz w:val="10"/>
                <w:szCs w:val="10"/>
                <w:color w:val="auto"/>
              </w:rPr>
            </w:pPr>
          </w:p>
        </w:tc>
        <w:tc>
          <w:tcPr>
            <w:tcW w:w="5420" w:type="dxa"/>
            <w:vAlign w:val="bottom"/>
          </w:tcPr>
          <w:p>
            <w:pPr>
              <w:spacing w:after="0"/>
              <w:rPr>
                <w:sz w:val="10"/>
                <w:szCs w:val="10"/>
                <w:color w:val="auto"/>
              </w:rPr>
            </w:pPr>
          </w:p>
        </w:tc>
      </w:tr>
      <w:tr>
        <w:trPr>
          <w:trHeight w:val="71"/>
        </w:trPr>
        <w:tc>
          <w:tcPr>
            <w:tcW w:w="6000" w:type="dxa"/>
            <w:vAlign w:val="bottom"/>
            <w:shd w:val="clear" w:color="auto" w:fill="808080"/>
          </w:tcPr>
          <w:p>
            <w:pPr>
              <w:spacing w:after="0"/>
              <w:rPr>
                <w:sz w:val="6"/>
                <w:szCs w:val="6"/>
                <w:color w:val="auto"/>
              </w:rPr>
            </w:pPr>
          </w:p>
        </w:tc>
        <w:tc>
          <w:tcPr>
            <w:tcW w:w="542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472" w:right="239" w:bottom="1440" w:gutter="0" w:footer="0" w:header="0"/>
          <w:type w:val="continuous"/>
        </w:sectPr>
      </w:pPr>
    </w:p>
    <w:bookmarkStart w:id="1" w:name="page2"/>
    <w:bookmarkEnd w:id="1"/>
    <w:p>
      <w:pPr>
        <w:jc w:val="center"/>
        <w:ind w:right="-159"/>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This Post-Effective Amendment No. 2 (the “Amendment”) is filed by The Toro Company (the “Registrant”) and relates to the Registrant’s Registration Statement on Form S-8 (No. 333-57198), filed with the Securities and Exchange Commission (the “Commission”) on March 19, 2001, as amended by the Registrant’s Post-Effective Amendment No. 1 to Form S-8 (No. 333-57198), filed with the Commission on June 2, 2003. Under that earlier Registration Statement, the Registrant registered shares of its common stock, par value $1.00 per share (the “Common Stock”), and related Preferred Share Purchase Rights, to be offered and sold in connection with the 2000 Directors Stock Plan (the “Plan”). Following a 2-for-1 stock split with a record date of April 1, 2003, and a second 2-for-1 stock split with a record date of March 28, 2005, the total number of shares, on an after-split basis, authorized to be offered and sold in connection with the Plan was 480,000 shares.</w:t>
      </w:r>
    </w:p>
    <w:p>
      <w:pPr>
        <w:spacing w:after="0" w:line="21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January 15, 2008, the Board of Directors of the Registrant, upon recommendation of the Compensation &amp; Human Resources Committee, approved an amendment to the Plan to decrease the number of shares of Common Stock that may be issued under the Plan from 480,000 to 455,000, subject to adjustment to reflect changes in the corporate or capital structure of Registrant, including but not limited to stock splits, stock dividends or similar transactions. The Registrant is filing this Amendment to deregister 25,000 shares of Common Stock under the Plan to reflect the decrease in the number of shares of Common Stock that may be issued under the Plan.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with or incorporated by reference into this Amendment: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24.1</w:t>
            </w:r>
          </w:p>
        </w:tc>
        <w:tc>
          <w:tcPr>
            <w:tcW w:w="1300" w:type="dxa"/>
            <w:vAlign w:val="bottom"/>
          </w:tcPr>
          <w:p>
            <w:pPr>
              <w:spacing w:after="0"/>
              <w:rPr>
                <w:sz w:val="22"/>
                <w:szCs w:val="22"/>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3"/>
              </w:rPr>
              <w:t>Power of Attorney (filed herewith)</w:t>
            </w:r>
          </w:p>
        </w:tc>
      </w:tr>
    </w:tbl>
    <w:p>
      <w:pPr>
        <w:sectPr>
          <w:pgSz w:w="11900" w:h="16838" w:orient="portrait"/>
          <w:cols w:equalWidth="0" w:num="1">
            <w:col w:w="11260"/>
          </w:cols>
          <w:pgMar w:left="240" w:top="364" w:right="3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No. 2 to its Registration Statement to be signed on its behalf by the undersigned, thereunto duly authorized, in the City of Bloomington, State of Minnesota, on May 21, 2008.</w:t>
      </w:r>
    </w:p>
    <w:p>
      <w:pPr>
        <w:spacing w:after="0" w:line="20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-10160</wp:posOffset>
            </wp:positionV>
            <wp:extent cx="25438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43810" cy="8890"/>
                    </a:xfrm>
                    <a:prstGeom prst="rect">
                      <a:avLst/>
                    </a:prstGeom>
                    <a:noFill/>
                  </pic:spPr>
                </pic:pic>
              </a:graphicData>
            </a:graphic>
          </wp:anchor>
        </w:drawing>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Timothy P. Dordell</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Vice President, Secretary and General Counsel</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0"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6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97"/>
              </w:rPr>
              <w:t>Title</w:t>
            </w:r>
          </w:p>
        </w:tc>
        <w:tc>
          <w:tcPr>
            <w:tcW w:w="176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Michael J. Hoffman</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gridSpan w:val="3"/>
          </w:tcPr>
          <w:p>
            <w:pPr>
              <w:jc w:val="center"/>
              <w:ind w:left="770"/>
              <w:spacing w:after="0"/>
              <w:rPr>
                <w:sz w:val="20"/>
                <w:szCs w:val="20"/>
                <w:color w:val="auto"/>
              </w:rPr>
            </w:pPr>
            <w:r>
              <w:rPr>
                <w:rFonts w:ascii="Arial" w:cs="Arial" w:eastAsia="Arial" w:hAnsi="Arial"/>
                <w:sz w:val="18"/>
                <w:szCs w:val="18"/>
                <w:color w:val="auto"/>
                <w:w w:val="90"/>
              </w:rPr>
              <w:t>Chairman of the Board, President and</w:t>
            </w:r>
          </w:p>
        </w:tc>
        <w:tc>
          <w:tcPr>
            <w:tcW w:w="176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May 21, 2008</w:t>
            </w:r>
          </w:p>
        </w:tc>
      </w:tr>
      <w:tr>
        <w:trPr>
          <w:trHeight w:val="222"/>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0" w:type="dxa"/>
            <w:vAlign w:val="bottom"/>
            <w:gridSpan w:val="3"/>
          </w:tcPr>
          <w:p>
            <w:pPr>
              <w:jc w:val="center"/>
              <w:spacing w:after="0"/>
              <w:rPr>
                <w:sz w:val="20"/>
                <w:szCs w:val="20"/>
                <w:color w:val="auto"/>
              </w:rPr>
            </w:pPr>
            <w:r>
              <w:rPr>
                <w:rFonts w:ascii="Arial" w:cs="Arial" w:eastAsia="Arial" w:hAnsi="Arial"/>
                <w:sz w:val="18"/>
                <w:szCs w:val="18"/>
                <w:color w:val="auto"/>
                <w:w w:val="93"/>
              </w:rPr>
              <w:t>Michael J. Hoffman</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60" w:type="dxa"/>
            <w:vAlign w:val="bottom"/>
            <w:gridSpan w:val="3"/>
          </w:tcPr>
          <w:p>
            <w:pPr>
              <w:jc w:val="center"/>
              <w:ind w:left="770"/>
              <w:spacing w:after="0"/>
              <w:rPr>
                <w:sz w:val="20"/>
                <w:szCs w:val="20"/>
                <w:color w:val="auto"/>
              </w:rPr>
            </w:pPr>
            <w:r>
              <w:rPr>
                <w:rFonts w:ascii="Arial" w:cs="Arial" w:eastAsia="Arial" w:hAnsi="Arial"/>
                <w:sz w:val="18"/>
                <w:szCs w:val="18"/>
                <w:color w:val="auto"/>
                <w:w w:val="93"/>
              </w:rPr>
              <w:t>Chief Executive Officer and Director</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60" w:type="dxa"/>
            <w:vAlign w:val="bottom"/>
            <w:gridSpan w:val="3"/>
          </w:tcPr>
          <w:p>
            <w:pPr>
              <w:jc w:val="center"/>
              <w:ind w:left="750"/>
              <w:spacing w:after="0"/>
              <w:rPr>
                <w:sz w:val="20"/>
                <w:szCs w:val="20"/>
                <w:color w:val="auto"/>
              </w:rPr>
            </w:pPr>
            <w:r>
              <w:rPr>
                <w:rFonts w:ascii="Arial" w:cs="Arial" w:eastAsia="Arial" w:hAnsi="Arial"/>
                <w:sz w:val="18"/>
                <w:szCs w:val="18"/>
                <w:color w:val="auto"/>
                <w:w w:val="94"/>
              </w:rPr>
              <w:t>(principal executive officer)</w:t>
            </w: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9"/>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7"/>
              </w:rPr>
              <w:t>/s/ Stephen P. Wolfe</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gridSpan w:val="3"/>
          </w:tcPr>
          <w:p>
            <w:pPr>
              <w:jc w:val="center"/>
              <w:ind w:left="770"/>
              <w:spacing w:after="0"/>
              <w:rPr>
                <w:sz w:val="20"/>
                <w:szCs w:val="20"/>
                <w:color w:val="auto"/>
              </w:rPr>
            </w:pPr>
            <w:r>
              <w:rPr>
                <w:rFonts w:ascii="Arial" w:cs="Arial" w:eastAsia="Arial" w:hAnsi="Arial"/>
                <w:sz w:val="18"/>
                <w:szCs w:val="18"/>
                <w:color w:val="auto"/>
                <w:w w:val="88"/>
              </w:rPr>
              <w:t>Vice President, Finance and</w:t>
            </w:r>
          </w:p>
        </w:tc>
        <w:tc>
          <w:tcPr>
            <w:tcW w:w="176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May 21, 2008</w:t>
            </w:r>
          </w:p>
        </w:tc>
      </w:tr>
      <w:tr>
        <w:trPr>
          <w:trHeight w:val="222"/>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0" w:type="dxa"/>
            <w:vAlign w:val="bottom"/>
            <w:gridSpan w:val="3"/>
          </w:tcPr>
          <w:p>
            <w:pPr>
              <w:jc w:val="center"/>
              <w:spacing w:after="0"/>
              <w:rPr>
                <w:sz w:val="20"/>
                <w:szCs w:val="20"/>
                <w:color w:val="auto"/>
              </w:rPr>
            </w:pPr>
            <w:r>
              <w:rPr>
                <w:rFonts w:ascii="Arial" w:cs="Arial" w:eastAsia="Arial" w:hAnsi="Arial"/>
                <w:sz w:val="18"/>
                <w:szCs w:val="18"/>
                <w:color w:val="auto"/>
                <w:w w:val="88"/>
              </w:rPr>
              <w:t>Stephen P. Wolfe</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60" w:type="dxa"/>
            <w:vAlign w:val="bottom"/>
            <w:gridSpan w:val="3"/>
          </w:tcPr>
          <w:p>
            <w:pPr>
              <w:jc w:val="center"/>
              <w:ind w:left="770"/>
              <w:spacing w:after="0"/>
              <w:rPr>
                <w:sz w:val="20"/>
                <w:szCs w:val="20"/>
                <w:color w:val="auto"/>
              </w:rPr>
            </w:pPr>
            <w:r>
              <w:rPr>
                <w:rFonts w:ascii="Arial" w:cs="Arial" w:eastAsia="Arial" w:hAnsi="Arial"/>
                <w:sz w:val="18"/>
                <w:szCs w:val="18"/>
                <w:color w:val="auto"/>
                <w:w w:val="94"/>
              </w:rPr>
              <w:t>Chief Financial Officer</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60" w:type="dxa"/>
            <w:vAlign w:val="bottom"/>
            <w:gridSpan w:val="3"/>
          </w:tcPr>
          <w:p>
            <w:pPr>
              <w:jc w:val="center"/>
              <w:ind w:left="770"/>
              <w:spacing w:after="0"/>
              <w:rPr>
                <w:sz w:val="20"/>
                <w:szCs w:val="20"/>
                <w:color w:val="auto"/>
              </w:rPr>
            </w:pPr>
            <w:r>
              <w:rPr>
                <w:rFonts w:ascii="Arial" w:cs="Arial" w:eastAsia="Arial" w:hAnsi="Arial"/>
                <w:sz w:val="18"/>
                <w:szCs w:val="18"/>
                <w:color w:val="auto"/>
                <w:w w:val="96"/>
              </w:rPr>
              <w:t>(principal financial officer)</w:t>
            </w: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9"/>
        </w:trPr>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Blake M. Grams</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750"/>
              <w:spacing w:after="0"/>
              <w:rPr>
                <w:sz w:val="20"/>
                <w:szCs w:val="20"/>
                <w:color w:val="auto"/>
              </w:rPr>
            </w:pPr>
            <w:r>
              <w:rPr>
                <w:rFonts w:ascii="Arial" w:cs="Arial" w:eastAsia="Arial" w:hAnsi="Arial"/>
                <w:sz w:val="18"/>
                <w:szCs w:val="18"/>
                <w:color w:val="auto"/>
                <w:w w:val="93"/>
              </w:rPr>
              <w:t>Managing Director,</w:t>
            </w:r>
          </w:p>
        </w:tc>
        <w:tc>
          <w:tcPr>
            <w:tcW w:w="176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May 21, 2008</w:t>
            </w:r>
          </w:p>
        </w:tc>
      </w:tr>
      <w:tr>
        <w:trPr>
          <w:trHeight w:val="222"/>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0" w:type="dxa"/>
            <w:vAlign w:val="bottom"/>
            <w:gridSpan w:val="3"/>
          </w:tcPr>
          <w:p>
            <w:pPr>
              <w:jc w:val="center"/>
              <w:spacing w:after="0"/>
              <w:rPr>
                <w:sz w:val="20"/>
                <w:szCs w:val="20"/>
                <w:color w:val="auto"/>
              </w:rPr>
            </w:pPr>
            <w:r>
              <w:rPr>
                <w:rFonts w:ascii="Arial" w:cs="Arial" w:eastAsia="Arial" w:hAnsi="Arial"/>
                <w:sz w:val="18"/>
                <w:szCs w:val="18"/>
                <w:color w:val="auto"/>
                <w:w w:val="92"/>
              </w:rPr>
              <w:t>Blake M. Grams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60" w:type="dxa"/>
            <w:vAlign w:val="bottom"/>
            <w:gridSpan w:val="3"/>
          </w:tcPr>
          <w:p>
            <w:pPr>
              <w:jc w:val="center"/>
              <w:ind w:left="750"/>
              <w:spacing w:after="0"/>
              <w:rPr>
                <w:sz w:val="20"/>
                <w:szCs w:val="20"/>
                <w:color w:val="auto"/>
              </w:rPr>
            </w:pPr>
            <w:r>
              <w:rPr>
                <w:rFonts w:ascii="Arial" w:cs="Arial" w:eastAsia="Arial" w:hAnsi="Arial"/>
                <w:sz w:val="18"/>
                <w:szCs w:val="18"/>
                <w:color w:val="auto"/>
                <w:w w:val="91"/>
              </w:rPr>
              <w:t>Corporate Controller</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60" w:type="dxa"/>
            <w:vAlign w:val="bottom"/>
            <w:gridSpan w:val="3"/>
          </w:tcPr>
          <w:p>
            <w:pPr>
              <w:jc w:val="center"/>
              <w:ind w:left="770"/>
              <w:spacing w:after="0"/>
              <w:rPr>
                <w:sz w:val="20"/>
                <w:szCs w:val="20"/>
                <w:color w:val="auto"/>
              </w:rPr>
            </w:pPr>
            <w:r>
              <w:rPr>
                <w:rFonts w:ascii="Arial" w:cs="Arial" w:eastAsia="Arial" w:hAnsi="Arial"/>
                <w:sz w:val="18"/>
                <w:szCs w:val="18"/>
                <w:color w:val="auto"/>
                <w:w w:val="94"/>
              </w:rPr>
              <w:t>(principal accounting officer)</w:t>
            </w: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9"/>
        </w:trPr>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92"/>
              </w:rPr>
              <w:t>/s/ Timothy P. Dordell</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gridSpan w:val="3"/>
          </w:tcPr>
          <w:p>
            <w:pPr>
              <w:jc w:val="center"/>
              <w:ind w:left="770"/>
              <w:spacing w:after="0"/>
              <w:rPr>
                <w:sz w:val="20"/>
                <w:szCs w:val="20"/>
                <w:color w:val="auto"/>
              </w:rPr>
            </w:pPr>
            <w:r>
              <w:rPr>
                <w:rFonts w:ascii="Arial" w:cs="Arial" w:eastAsia="Arial" w:hAnsi="Arial"/>
                <w:sz w:val="18"/>
                <w:szCs w:val="18"/>
                <w:color w:val="auto"/>
                <w:w w:val="94"/>
              </w:rPr>
              <w:t>Directors</w:t>
            </w:r>
          </w:p>
        </w:tc>
        <w:tc>
          <w:tcPr>
            <w:tcW w:w="176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May 21, 2008</w:t>
            </w:r>
          </w:p>
        </w:tc>
      </w:tr>
      <w:tr>
        <w:trPr>
          <w:trHeight w:val="237"/>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Timothy P. Dordell</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jc w:val="center"/>
        <w:ind w:right="6700"/>
        <w:spacing w:after="0"/>
        <w:rPr>
          <w:sz w:val="20"/>
          <w:szCs w:val="20"/>
          <w:color w:val="auto"/>
        </w:rPr>
      </w:pPr>
      <w:r>
        <w:rPr>
          <w:rFonts w:ascii="Arial" w:cs="Arial" w:eastAsia="Arial" w:hAnsi="Arial"/>
          <w:sz w:val="18"/>
          <w:szCs w:val="18"/>
          <w:color w:val="auto"/>
        </w:rPr>
        <w:t>As attorney in fact for Robert C. Buhrmaster, Winslow H.</w:t>
      </w:r>
    </w:p>
    <w:p>
      <w:pPr>
        <w:spacing w:after="0" w:line="9" w:lineRule="exact"/>
        <w:rPr>
          <w:sz w:val="20"/>
          <w:szCs w:val="20"/>
          <w:color w:val="auto"/>
        </w:rPr>
      </w:pPr>
    </w:p>
    <w:p>
      <w:pPr>
        <w:jc w:val="center"/>
        <w:ind w:right="6700"/>
        <w:spacing w:after="0"/>
        <w:rPr>
          <w:sz w:val="20"/>
          <w:szCs w:val="20"/>
          <w:color w:val="auto"/>
        </w:rPr>
      </w:pPr>
      <w:r>
        <w:rPr>
          <w:rFonts w:ascii="Arial" w:cs="Arial" w:eastAsia="Arial" w:hAnsi="Arial"/>
          <w:sz w:val="17"/>
          <w:szCs w:val="17"/>
          <w:color w:val="auto"/>
        </w:rPr>
        <w:t>Buxton, Janet K. Cooper, Gary L. Ellis, Katherine J. Harless,</w:t>
      </w:r>
    </w:p>
    <w:p>
      <w:pPr>
        <w:spacing w:after="0" w:line="21" w:lineRule="exact"/>
        <w:rPr>
          <w:sz w:val="20"/>
          <w:szCs w:val="20"/>
          <w:color w:val="auto"/>
        </w:rPr>
      </w:pPr>
    </w:p>
    <w:p>
      <w:pPr>
        <w:jc w:val="center"/>
        <w:ind w:right="6700"/>
        <w:spacing w:after="0"/>
        <w:rPr>
          <w:sz w:val="20"/>
          <w:szCs w:val="20"/>
          <w:color w:val="auto"/>
        </w:rPr>
      </w:pPr>
      <w:r>
        <w:rPr>
          <w:rFonts w:ascii="Arial" w:cs="Arial" w:eastAsia="Arial" w:hAnsi="Arial"/>
          <w:sz w:val="17"/>
          <w:szCs w:val="17"/>
          <w:color w:val="auto"/>
        </w:rPr>
        <w:t>Robert H. Nassau, Gregg W. Steinhafel, Inge G. Thulin and</w:t>
      </w:r>
    </w:p>
    <w:p>
      <w:pPr>
        <w:spacing w:after="0" w:line="21" w:lineRule="exact"/>
        <w:rPr>
          <w:sz w:val="20"/>
          <w:szCs w:val="20"/>
          <w:color w:val="auto"/>
        </w:rPr>
      </w:pPr>
    </w:p>
    <w:p>
      <w:pPr>
        <w:jc w:val="center"/>
        <w:ind w:right="6700"/>
        <w:spacing w:after="0"/>
        <w:rPr>
          <w:sz w:val="20"/>
          <w:szCs w:val="20"/>
          <w:color w:val="auto"/>
        </w:rPr>
      </w:pPr>
      <w:r>
        <w:rPr>
          <w:rFonts w:ascii="Arial" w:cs="Arial" w:eastAsia="Arial" w:hAnsi="Arial"/>
          <w:sz w:val="18"/>
          <w:szCs w:val="18"/>
          <w:color w:val="auto"/>
        </w:rPr>
        <w:t>Christopher A. Twomey</w:t>
      </w:r>
    </w:p>
    <w:p>
      <w:pPr>
        <w:sectPr>
          <w:pgSz w:w="11900" w:h="16838" w:orient="portrait"/>
          <w:cols w:equalWidth="0" w:num="1">
            <w:col w:w="11400"/>
          </w:cols>
          <w:pgMar w:left="240" w:top="513"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180" w:type="dxa"/>
            <w:vAlign w:val="bottom"/>
            <w:gridSpan w:val="2"/>
          </w:tcPr>
          <w:p>
            <w:pPr>
              <w:ind w:left="106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8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6180" w:type="dxa"/>
            <w:vAlign w:val="bottom"/>
            <w:gridSpan w:val="2"/>
          </w:tcPr>
          <w:p>
            <w:pPr>
              <w:jc w:val="center"/>
              <w:ind w:left="4790"/>
              <w:spacing w:after="0"/>
              <w:rPr>
                <w:sz w:val="20"/>
                <w:szCs w:val="20"/>
                <w:color w:val="auto"/>
              </w:rPr>
            </w:pPr>
            <w:r>
              <w:rPr>
                <w:rFonts w:ascii="Arial" w:cs="Arial" w:eastAsia="Arial" w:hAnsi="Arial"/>
                <w:sz w:val="18"/>
                <w:szCs w:val="18"/>
                <w:b w:val="1"/>
                <w:bCs w:val="1"/>
                <w:color w:val="auto"/>
                <w:w w:val="93"/>
              </w:rPr>
              <w:t>Method of Filing</w:t>
            </w:r>
          </w:p>
        </w:tc>
      </w:tr>
      <w:tr>
        <w:trPr>
          <w:trHeight w:val="237"/>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24.1</w:t>
            </w:r>
          </w:p>
        </w:tc>
        <w:tc>
          <w:tcPr>
            <w:tcW w:w="680" w:type="dxa"/>
            <w:vAlign w:val="bottom"/>
          </w:tcPr>
          <w:p>
            <w:pPr>
              <w:spacing w:after="0"/>
              <w:rPr>
                <w:sz w:val="20"/>
                <w:szCs w:val="20"/>
                <w:color w:val="auto"/>
              </w:rPr>
            </w:pPr>
          </w:p>
        </w:tc>
        <w:tc>
          <w:tcPr>
            <w:tcW w:w="2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Power of Attorney</w:t>
            </w:r>
          </w:p>
        </w:tc>
        <w:tc>
          <w:tcPr>
            <w:tcW w:w="4880" w:type="dxa"/>
            <w:vAlign w:val="bottom"/>
          </w:tcPr>
          <w:p>
            <w:pPr>
              <w:spacing w:after="0"/>
              <w:rPr>
                <w:sz w:val="20"/>
                <w:szCs w:val="20"/>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Filed herewith</w:t>
            </w:r>
          </w:p>
        </w:tc>
      </w:tr>
    </w:tbl>
    <w:p>
      <w:pPr>
        <w:sectPr>
          <w:pgSz w:w="11900" w:h="16838" w:orient="portrait"/>
          <w:cols w:equalWidth="0" w:num="1">
            <w:col w:w="10219"/>
          </w:cols>
          <w:pgMar w:left="240" w:top="36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24.1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the undersigned, each being a member of the Board of Directors of The Toro Company, a</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corporation, do hereby make, nominate and appoint each of MICHAEL J. HOFFMAN AND TIMOTHY P. DORDELL, signing singly, to be his or her attorney-in-fact, with full power and authority to sign his or her name to a Post-Effective Amendment No. 2 (“Amendment No. 2”) to a Registration Statement on Form S-8 (No. 333-57198), filed with the Securities and Exchange Commission on March 19, 2001, and as previously amended by Post-Effective Amendment No. 1 to Form S-8 (No. 333-57198), previously filed with the Commission on June 2, 2003 (as amended, the “Registration Statement”), and any and all additional amendments thereto (including without limitation additional post-effective amendments to register or de-register shares), provided that Amendment No. 2 and any additional amendments to the Registration Statement, in final form, be approved by said attorney-in-fact; and his name, when thus signed, shall have the same force and effect as though I had manually signed said document or documents.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affixed my signature this 21st day of May, 2008.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Robert C. Buhrmaster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-10160</wp:posOffset>
            </wp:positionV>
            <wp:extent cx="22517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5171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Robert C. Buhrmaster</w:t>
      </w:r>
    </w:p>
    <w:p>
      <w:pPr>
        <w:spacing w:after="0" w:line="23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Winslow H. Buxton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-10160</wp:posOffset>
            </wp:positionV>
            <wp:extent cx="22898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Winslow H. Buxton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Janet K.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2504440</wp:posOffset>
            </wp:positionH>
            <wp:positionV relativeFrom="paragraph">
              <wp:posOffset>-10160</wp:posOffset>
            </wp:positionV>
            <wp:extent cx="2247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4790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Janet K. Cooper</w:t>
      </w:r>
    </w:p>
    <w:p>
      <w:pPr>
        <w:spacing w:after="0" w:line="238" w:lineRule="exact"/>
        <w:rPr>
          <w:sz w:val="20"/>
          <w:szCs w:val="20"/>
          <w:color w:val="auto"/>
        </w:rPr>
      </w:pPr>
    </w:p>
    <w:p>
      <w:pPr>
        <w:jc w:val="right"/>
        <w:ind w:right="5240"/>
        <w:spacing w:after="0"/>
        <w:rPr>
          <w:sz w:val="20"/>
          <w:szCs w:val="20"/>
          <w:color w:val="auto"/>
        </w:rPr>
      </w:pPr>
      <w:r>
        <w:rPr>
          <w:rFonts w:ascii="Arial" w:cs="Arial" w:eastAsia="Arial" w:hAnsi="Arial"/>
          <w:sz w:val="18"/>
          <w:szCs w:val="18"/>
          <w:color w:val="auto"/>
        </w:rPr>
        <w:t>/s/ Gary 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2511425</wp:posOffset>
            </wp:positionH>
            <wp:positionV relativeFrom="paragraph">
              <wp:posOffset>-10160</wp:posOffset>
            </wp:positionV>
            <wp:extent cx="2233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3295" cy="8890"/>
                    </a:xfrm>
                    <a:prstGeom prst="rect">
                      <a:avLst/>
                    </a:prstGeom>
                    <a:noFill/>
                  </pic:spPr>
                </pic:pic>
              </a:graphicData>
            </a:graphic>
          </wp:anchor>
        </w:drawing>
      </w:r>
    </w:p>
    <w:p>
      <w:pPr>
        <w:spacing w:after="0" w:line="3" w:lineRule="exact"/>
        <w:rPr>
          <w:sz w:val="20"/>
          <w:szCs w:val="20"/>
          <w:color w:val="auto"/>
        </w:rPr>
      </w:pPr>
    </w:p>
    <w:p>
      <w:pPr>
        <w:jc w:val="right"/>
        <w:ind w:right="5240"/>
        <w:spacing w:after="0"/>
        <w:rPr>
          <w:sz w:val="20"/>
          <w:szCs w:val="20"/>
          <w:color w:val="auto"/>
        </w:rPr>
      </w:pPr>
      <w:r>
        <w:rPr>
          <w:rFonts w:ascii="Arial" w:cs="Arial" w:eastAsia="Arial" w:hAnsi="Arial"/>
          <w:sz w:val="18"/>
          <w:szCs w:val="18"/>
          <w:color w:val="auto"/>
        </w:rPr>
        <w:t>Gary L. Ellis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Katherine J. Harless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-10160</wp:posOffset>
            </wp:positionV>
            <wp:extent cx="2169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16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Katherine J. Harless</w:t>
      </w:r>
    </w:p>
    <w:p>
      <w:pPr>
        <w:spacing w:after="0" w:line="23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Robert H. Nassau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2535555</wp:posOffset>
            </wp:positionH>
            <wp:positionV relativeFrom="paragraph">
              <wp:posOffset>-10160</wp:posOffset>
            </wp:positionV>
            <wp:extent cx="2186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8630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Robert H. Nassau</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Gregg W. Steinhafel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-10160</wp:posOffset>
            </wp:positionV>
            <wp:extent cx="21774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Gregg W. Steinhafel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Inge G. Thulin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-10160</wp:posOffset>
            </wp:positionV>
            <wp:extent cx="21844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8440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Inge G. Thulin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Christopher A.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-10160</wp:posOffset>
            </wp:positionV>
            <wp:extent cx="20885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8851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Christopher A. Twomey</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6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2019-12-13T13:53:18Z</dcterms:created>
  <dcterms:modified xsi:type="dcterms:W3CDTF">2019-12-13T13:53:18Z</dcterms:modified>
</cp:coreProperties>
</file>