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5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587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02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Funk Edric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Group VP, Golf, Grounds &amp; Irr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022"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gridSpan w:val="8"/>
          </w:tcPr>
          <w:p>
            <w:pPr>
              <w:ind w:left="2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12/18/2024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85"/>
              </w:rPr>
              <w:t>387</w:t>
            </w:r>
            <w:r>
              <w:rPr>
                <w:rFonts w:ascii="Times New Roman" w:cs="Times New Roman" w:eastAsia="Times New Roman" w:hAnsi="Times New Roman"/>
                <w:sz w:val="21"/>
                <w:szCs w:val="21"/>
                <w:color w:val="008000"/>
                <w:w w:val="85"/>
                <w:vertAlign w:val="superscript"/>
              </w:rPr>
              <w:t>(1)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1,449.256</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321.241</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4,863.404</w:t>
            </w:r>
            <w:r>
              <w:rPr>
                <w:rFonts w:ascii="Times New Roman" w:cs="Times New Roman" w:eastAsia="Times New Roman" w:hAnsi="Times New Roman"/>
                <w:sz w:val="21"/>
                <w:szCs w:val="21"/>
                <w:color w:val="008000"/>
                <w:w w:val="92"/>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756.271</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color w:val="0000FF"/>
              </w:rPr>
              <w:t>756.271</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18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2022 to Fiscal 2024 Performance Period under The Toro Company Amended and Restated 2010 Equity and Incentive Plan, as amended and restated, as approved by the Issuer's Compensation &amp; Human Resources Committee of its Board of Directors on December 10, 2024, and which was conditioned upon and subject to confirmation by the Issuer's Fiscal 2024 financial results that were released on December 18, 2024.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6"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7.070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09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2024-12-19T16:32:27Z</dcterms:created>
  <dcterms:modified xsi:type="dcterms:W3CDTF">2024-12-19T16:32:27Z</dcterms:modified>
</cp:coreProperties>
</file>