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Walters Daryn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37"/>
        <w:spacing w:after="0"/>
        <w:rPr>
          <w:sz w:val="20"/>
          <w:szCs w:val="20"/>
          <w:color w:val="auto"/>
        </w:rPr>
      </w:pPr>
      <w:r>
        <w:rPr>
          <w:rFonts w:ascii="Times New Roman" w:cs="Times New Roman" w:eastAsia="Times New Roman" w:hAnsi="Times New Roman"/>
          <w:sz w:val="17"/>
          <w:szCs w:val="17"/>
          <w:color w:val="0000FF"/>
        </w:rPr>
        <w:t>VP, Exmark &amp; Intimidator Group</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12/21/2022</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vertAlign w:val="subscript"/>
              </w:rPr>
              <w:t>864</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864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12/21/2022</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0000FF"/>
              </w:rPr>
              <w:t>254</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112.87</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610</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2,006.98</w:t>
            </w:r>
            <w:r>
              <w:rPr>
                <w:rFonts w:ascii="Times New Roman" w:cs="Times New Roman" w:eastAsia="Times New Roman" w:hAnsi="Times New Roman"/>
                <w:sz w:val="21"/>
                <w:szCs w:val="21"/>
                <w:color w:val="008000"/>
                <w:w w:val="94"/>
                <w:vertAlign w:val="superscript"/>
              </w:rPr>
              <w:t>(2)</w:t>
            </w:r>
          </w:p>
        </w:tc>
        <w:tc>
          <w:tcPr>
            <w:tcW w:w="340" w:type="dxa"/>
            <w:vAlign w:val="bottom"/>
          </w:tcPr>
          <w:p>
            <w:pPr>
              <w:spacing w:after="0"/>
              <w:rPr>
                <w:sz w:val="18"/>
                <w:szCs w:val="18"/>
                <w:color w:val="auto"/>
              </w:rPr>
            </w:pPr>
          </w:p>
        </w:tc>
        <w:tc>
          <w:tcPr>
            <w:tcW w:w="54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12/22/2022</w:t>
            </w:r>
          </w:p>
        </w:tc>
        <w:tc>
          <w:tcPr>
            <w:tcW w:w="110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6,500</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12/22/2032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6,500</w:t>
            </w:r>
          </w:p>
        </w:tc>
        <w:tc>
          <w:tcPr>
            <w:tcW w:w="2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6,500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(the "Amended and Restated 2010 Plan"), as approved by the Issuer's Compensation &amp; Human Resources Committee of its Board of Directors on December 13, 2022, and which was conditioned upon and subject to confirmation by the Issuer's Fiscal 2022 financial results that were released on December 21, 2022. Performance Share Awards are paid in shares of common stock under the Amended and Restated 2010 Plan.</w:t>
      </w:r>
    </w:p>
    <w:p>
      <w:pPr>
        <w:spacing w:after="0" w:line="27" w:lineRule="exact"/>
        <w:rPr>
          <w:rFonts w:ascii="Times New Roman" w:cs="Times New Roman" w:eastAsia="Times New Roman" w:hAnsi="Times New Roman"/>
          <w:sz w:val="13"/>
          <w:szCs w:val="13"/>
          <w:color w:val="008000"/>
        </w:rPr>
      </w:pPr>
    </w:p>
    <w:p>
      <w:pPr>
        <w:ind w:left="40" w:right="3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his last report: 0.458 shares acquired through regular individual and issuer matching contributions to The Toro Company Retirement Plan (the "Plan") and 13.813 net shares acquired under the dividend reinvestment feature of the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1" w:lineRule="exact"/>
        <w:rPr>
          <w:sz w:val="20"/>
          <w:szCs w:val="20"/>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1" w:lineRule="exact"/>
        <w:rPr>
          <w:rFonts w:ascii="Courier New" w:cs="Courier New" w:eastAsia="Courier New" w:hAnsi="Courier New"/>
          <w:sz w:val="17"/>
          <w:szCs w:val="17"/>
          <w:color w:val="auto"/>
        </w:rPr>
      </w:pPr>
    </w:p>
    <w:p>
      <w:pPr>
        <w:ind w:right="341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81" w:lineRule="exact"/>
        <w:rPr>
          <w:rFonts w:ascii="Courier New" w:cs="Courier New" w:eastAsia="Courier New" w:hAnsi="Courier New"/>
          <w:sz w:val="17"/>
          <w:szCs w:val="17"/>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1" w:lineRule="exact"/>
        <w:rPr>
          <w:rFonts w:ascii="Courier New" w:cs="Courier New" w:eastAsia="Courier New" w:hAnsi="Courier New"/>
          <w:sz w:val="17"/>
          <w:szCs w:val="17"/>
          <w:color w:val="auto"/>
        </w:rPr>
      </w:pPr>
    </w:p>
    <w:p>
      <w:pPr>
        <w:ind w:right="3099" w:firstLine="4"/>
        <w:spacing w:after="0" w:line="259"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w:t>
      </w:r>
    </w:p>
    <w:tbl>
      <w:tblPr>
        <w:tblLayout w:type="fixed"/>
        <w:tblInd w:w="0" w:type="dxa"/>
        <w:tblCellMar>
          <w:top w:w="0" w:type="dxa"/>
          <w:left w:w="0" w:type="dxa"/>
          <w:bottom w:w="0" w:type="dxa"/>
          <w:right w:w="0" w:type="dxa"/>
        </w:tblCellMar>
      </w:tblPr>
      <w:tr>
        <w:trPr>
          <w:trHeight w:val="168"/>
        </w:trPr>
        <w:tc>
          <w:tcPr>
            <w:tcW w:w="4000" w:type="dxa"/>
            <w:vAlign w:val="bottom"/>
            <w:gridSpan w:val="2"/>
          </w:tcPr>
          <w:p>
            <w:pPr>
              <w:spacing w:after="0" w:line="168" w:lineRule="exact"/>
              <w:rPr>
                <w:sz w:val="20"/>
                <w:szCs w:val="20"/>
                <w:color w:val="auto"/>
              </w:rPr>
            </w:pPr>
            <w:r>
              <w:rPr>
                <w:rFonts w:ascii="Courier New" w:cs="Courier New" w:eastAsia="Courier New" w:hAnsi="Courier New"/>
                <w:sz w:val="17"/>
                <w:szCs w:val="17"/>
                <w:color w:val="auto"/>
              </w:rPr>
              <w:t>or any substitute or substitutes, shall</w:t>
            </w:r>
          </w:p>
        </w:tc>
        <w:tc>
          <w:tcPr>
            <w:tcW w:w="1220" w:type="dxa"/>
            <w:vAlign w:val="bottom"/>
            <w:gridSpan w:val="2"/>
          </w:tcPr>
          <w:p>
            <w:pPr>
              <w:ind w:left="60"/>
              <w:spacing w:after="0" w:line="168" w:lineRule="exact"/>
              <w:rPr>
                <w:sz w:val="20"/>
                <w:szCs w:val="20"/>
                <w:color w:val="auto"/>
              </w:rPr>
            </w:pPr>
            <w:r>
              <w:rPr>
                <w:rFonts w:ascii="Courier New" w:cs="Courier New" w:eastAsia="Courier New" w:hAnsi="Courier New"/>
                <w:sz w:val="17"/>
                <w:szCs w:val="17"/>
                <w:color w:val="auto"/>
              </w:rPr>
              <w:t>lawfully do</w:t>
            </w:r>
          </w:p>
        </w:tc>
        <w:tc>
          <w:tcPr>
            <w:tcW w:w="1680" w:type="dxa"/>
            <w:vAlign w:val="bottom"/>
          </w:tcPr>
          <w:p>
            <w:pPr>
              <w:ind w:left="60"/>
              <w:spacing w:after="0" w:line="168" w:lineRule="exact"/>
              <w:rPr>
                <w:sz w:val="20"/>
                <w:szCs w:val="20"/>
                <w:color w:val="auto"/>
              </w:rPr>
            </w:pPr>
            <w:r>
              <w:rPr>
                <w:rFonts w:ascii="Courier New" w:cs="Courier New" w:eastAsia="Courier New" w:hAnsi="Courier New"/>
                <w:sz w:val="17"/>
                <w:szCs w:val="17"/>
                <w:color w:val="auto"/>
              </w:rPr>
              <w:t>or cause to be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done by virtue</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of this Limited Power of</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Attorney and the rights and</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powers herein granted.  The undersigned</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acknowledges that the</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foregoing attorney-in-fact, in serving in such</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capacity at the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request of the</w:t>
            </w:r>
          </w:p>
        </w:tc>
        <w:tc>
          <w:tcPr>
            <w:tcW w:w="37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undersigned, is not assuming, nor 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the Company</w:t>
            </w:r>
          </w:p>
        </w:tc>
      </w:tr>
      <w:tr>
        <w:trPr>
          <w:trHeight w:val="195"/>
        </w:trPr>
        <w:tc>
          <w:tcPr>
            <w:tcW w:w="5220" w:type="dxa"/>
            <w:vAlign w:val="bottom"/>
            <w:gridSpan w:val="4"/>
          </w:tcPr>
          <w:p>
            <w:pPr>
              <w:spacing w:after="0"/>
              <w:rPr>
                <w:sz w:val="20"/>
                <w:szCs w:val="20"/>
                <w:color w:val="auto"/>
              </w:rPr>
            </w:pPr>
            <w:r>
              <w:rPr>
                <w:rFonts w:ascii="Courier New" w:cs="Courier New" w:eastAsia="Courier New" w:hAnsi="Courier New"/>
                <w:sz w:val="17"/>
                <w:szCs w:val="17"/>
                <w:color w:val="auto"/>
                <w:w w:val="99"/>
              </w:rPr>
              <w:t>assuming, any of the undersigned's responsibilities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to comply with</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the Securities</w:t>
            </w:r>
          </w:p>
        </w:tc>
        <w:tc>
          <w:tcPr>
            <w:tcW w:w="3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Act and Exchange Act, including</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Section 16 of the</w:t>
            </w:r>
          </w:p>
        </w:tc>
      </w:tr>
      <w:tr>
        <w:trPr>
          <w:trHeight w:val="28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Exchange Act and Rule 144 under the Securities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Act.</w:t>
            </w:r>
          </w:p>
        </w:tc>
        <w:tc>
          <w:tcPr>
            <w:tcW w:w="1680" w:type="dxa"/>
            <w:vAlign w:val="bottom"/>
          </w:tcPr>
          <w:p>
            <w:pPr>
              <w:spacing w:after="0"/>
              <w:rPr>
                <w:sz w:val="24"/>
                <w:szCs w:val="24"/>
                <w:color w:val="auto"/>
              </w:rPr>
            </w:pPr>
          </w:p>
        </w:tc>
      </w:tr>
      <w:tr>
        <w:trPr>
          <w:trHeight w:val="300"/>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this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25"/>
        </w:trPr>
        <w:tc>
          <w:tcPr>
            <w:tcW w:w="1480" w:type="dxa"/>
            <w:vAlign w:val="bottom"/>
          </w:tcPr>
          <w:p>
            <w:pPr>
              <w:spacing w:after="0"/>
              <w:rPr>
                <w:sz w:val="20"/>
                <w:szCs w:val="20"/>
                <w:color w:val="auto"/>
              </w:rPr>
            </w:pPr>
            <w:r>
              <w:rPr>
                <w:rFonts w:ascii="Courier New" w:cs="Courier New" w:eastAsia="Courier New" w:hAnsi="Courier New"/>
                <w:sz w:val="17"/>
                <w:szCs w:val="17"/>
                <w:color w:val="auto"/>
              </w:rPr>
              <w:t>of Attorney to</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date</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w w:val="98"/>
              </w:rPr>
              <w:t>indicated below,</w:t>
            </w:r>
          </w:p>
        </w:tc>
      </w:tr>
    </w:tbl>
    <w:p>
      <w:pPr>
        <w:ind w:right="3319"/>
        <w:spacing w:after="0" w:line="281" w:lineRule="auto"/>
        <w:rPr>
          <w:sz w:val="20"/>
          <w:szCs w:val="20"/>
          <w:color w:val="auto"/>
        </w:rPr>
      </w:pPr>
      <w:r>
        <w:rPr>
          <w:rFonts w:ascii="Courier New" w:cs="Courier New" w:eastAsia="Courier New" w:hAnsi="Courier New"/>
          <w:sz w:val="17"/>
          <w:szCs w:val="17"/>
          <w:color w:val="auto"/>
        </w:rPr>
        <w:t>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2" w:right="1440" w:bottom="1440" w:gutter="0" w:footer="0" w:header="0"/>
        </w:sect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Daryn A. Walters</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Daryn A. Walters</w:t>
      </w:r>
    </w:p>
    <w:p>
      <w:pPr>
        <w:spacing w:after="0" w:line="167" w:lineRule="exact"/>
        <w:rPr>
          <w:sz w:val="20"/>
          <w:szCs w:val="20"/>
          <w:color w:val="auto"/>
        </w:rPr>
      </w:pPr>
    </w:p>
    <w:p>
      <w:pPr>
        <w:sectPr>
          <w:pgSz w:w="11900" w:h="16838" w:orient="portrait"/>
          <w:cols w:equalWidth="0" w:num="2">
            <w:col w:w="900" w:space="720"/>
            <w:col w:w="837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11/3/2022</w:t>
      </w:r>
    </w:p>
    <w:sectPr>
      <w:pgSz w:w="11900" w:h="16838" w:orient="portrait"/>
      <w:cols w:equalWidth="0" w:num="2">
        <w:col w:w="620" w:space="200"/>
        <w:col w:w="917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00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2022-12-23T10:32:07Z</dcterms:created>
  <dcterms:modified xsi:type="dcterms:W3CDTF">2022-12-23T10:32:07Z</dcterms:modified>
</cp:coreProperties>
</file>