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18, 2011</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August 18, 2011, The Toro Company announced its earnings for the three and nine months ended July 29, 2011.</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40" w:hanging="52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8920" w:type="dxa"/>
            <w:vAlign w:val="bottom"/>
          </w:tcPr>
          <w:p>
            <w:pPr>
              <w:jc w:val="right"/>
              <w:ind w:right="4016"/>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spacing w:after="0"/>
              <w:rPr>
                <w:sz w:val="14"/>
                <w:szCs w:val="14"/>
                <w:color w:val="auto"/>
              </w:rPr>
            </w:pPr>
          </w:p>
        </w:tc>
      </w:tr>
      <w:tr>
        <w:trPr>
          <w:trHeight w:val="224"/>
        </w:trPr>
        <w:tc>
          <w:tcPr>
            <w:tcW w:w="840" w:type="dxa"/>
            <w:vAlign w:val="bottom"/>
          </w:tcPr>
          <w:p>
            <w:pPr>
              <w:spacing w:after="0"/>
              <w:rPr>
                <w:sz w:val="19"/>
                <w:szCs w:val="19"/>
                <w:color w:val="auto"/>
              </w:rPr>
            </w:pPr>
          </w:p>
        </w:tc>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8920" w:type="dxa"/>
            <w:vAlign w:val="bottom"/>
            <w:tcBorders>
              <w:top w:val="single" w:sz="8" w:color="auto"/>
            </w:tcBorders>
          </w:tcPr>
          <w:p>
            <w:pPr>
              <w:jc w:val="right"/>
              <w:ind w:right="4676"/>
              <w:spacing w:after="0"/>
              <w:rPr>
                <w:sz w:val="20"/>
                <w:szCs w:val="20"/>
                <w:color w:val="auto"/>
              </w:rPr>
            </w:pPr>
            <w:r>
              <w:rPr>
                <w:rFonts w:ascii="Arial" w:cs="Arial" w:eastAsia="Arial" w:hAnsi="Arial"/>
                <w:sz w:val="18"/>
                <w:szCs w:val="18"/>
                <w:color w:val="auto"/>
                <w:w w:val="88"/>
              </w:rPr>
              <w:t>Press release dated August 18, 2011 (furnished herewith).</w:t>
            </w:r>
          </w:p>
        </w:tc>
        <w:tc>
          <w:tcPr>
            <w:tcW w:w="360" w:type="dxa"/>
            <w:vAlign w:val="bottom"/>
          </w:tcPr>
          <w:p>
            <w:pPr>
              <w:spacing w:after="0"/>
              <w:rPr>
                <w:sz w:val="19"/>
                <w:szCs w:val="19"/>
                <w:color w:val="auto"/>
              </w:rPr>
            </w:pPr>
          </w:p>
        </w:tc>
      </w:tr>
      <w:tr>
        <w:trPr>
          <w:trHeight w:val="418"/>
        </w:trPr>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20" w:type="dxa"/>
            <w:vAlign w:val="bottom"/>
          </w:tcPr>
          <w:p>
            <w:pPr>
              <w:jc w:val="right"/>
              <w:ind w:right="5256"/>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r>
      <w:tr>
        <w:trPr>
          <w:trHeight w:val="132"/>
        </w:trPr>
        <w:tc>
          <w:tcPr>
            <w:tcW w:w="8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9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60" w:type="dxa"/>
            <w:vAlign w:val="bottom"/>
            <w:gridSpan w:val="2"/>
          </w:tcPr>
          <w:p>
            <w:pPr>
              <w:ind w:left="396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2"/>
          </w:tcPr>
          <w:p>
            <w:pPr>
              <w:ind w:left="396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960" w:type="dxa"/>
            <w:vAlign w:val="bottom"/>
            <w:gridSpan w:val="3"/>
          </w:tcPr>
          <w:p>
            <w:pPr>
              <w:spacing w:after="0"/>
              <w:rPr>
                <w:sz w:val="20"/>
                <w:szCs w:val="20"/>
                <w:color w:val="auto"/>
              </w:rPr>
            </w:pPr>
            <w:r>
              <w:rPr>
                <w:rFonts w:ascii="Arial" w:cs="Arial" w:eastAsia="Arial" w:hAnsi="Arial"/>
                <w:sz w:val="18"/>
                <w:szCs w:val="18"/>
                <w:color w:val="auto"/>
              </w:rPr>
              <w:t>Date: August 18, 2011</w:t>
            </w:r>
          </w:p>
        </w:tc>
        <w:tc>
          <w:tcPr>
            <w:tcW w:w="9460" w:type="dxa"/>
            <w:vAlign w:val="bottom"/>
            <w:gridSpan w:val="2"/>
          </w:tcPr>
          <w:p>
            <w:pPr>
              <w:ind w:left="3960"/>
              <w:spacing w:after="0"/>
              <w:rPr>
                <w:sz w:val="20"/>
                <w:szCs w:val="20"/>
                <w:color w:val="auto"/>
              </w:rPr>
            </w:pPr>
            <w:r>
              <w:rPr>
                <w:rFonts w:ascii="Arial" w:cs="Arial" w:eastAsia="Arial" w:hAnsi="Arial"/>
                <w:sz w:val="18"/>
                <w:szCs w:val="18"/>
                <w:color w:val="auto"/>
              </w:rPr>
              <w:t>By  /s/ Michael J. Hoffman</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60" w:type="dxa"/>
            <w:vAlign w:val="bottom"/>
            <w:gridSpan w:val="2"/>
          </w:tcPr>
          <w:p>
            <w:pPr>
              <w:ind w:left="3960"/>
              <w:spacing w:after="0" w:line="182" w:lineRule="exact"/>
              <w:rPr>
                <w:sz w:val="20"/>
                <w:szCs w:val="20"/>
                <w:color w:val="auto"/>
              </w:rPr>
            </w:pPr>
            <w:r>
              <w:rPr>
                <w:rFonts w:ascii="Arial" w:cs="Arial" w:eastAsia="Arial" w:hAnsi="Arial"/>
                <w:sz w:val="18"/>
                <w:szCs w:val="18"/>
                <w:color w:val="auto"/>
              </w:rPr>
              <w:t>Michael J. Hoffman</w:t>
            </w:r>
          </w:p>
        </w:tc>
        <w:tc>
          <w:tcPr>
            <w:tcW w:w="4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60" w:type="dxa"/>
            <w:vAlign w:val="bottom"/>
            <w:gridSpan w:val="2"/>
          </w:tcPr>
          <w:p>
            <w:pPr>
              <w:ind w:left="3960"/>
              <w:spacing w:after="0"/>
              <w:rPr>
                <w:sz w:val="20"/>
                <w:szCs w:val="20"/>
                <w:color w:val="auto"/>
              </w:rPr>
            </w:pPr>
            <w:r>
              <w:rPr>
                <w:rFonts w:ascii="Arial" w:cs="Arial" w:eastAsia="Arial" w:hAnsi="Arial"/>
                <w:sz w:val="18"/>
                <w:szCs w:val="18"/>
                <w:color w:val="auto"/>
              </w:rPr>
              <w:t>Chairman of the Board, President, and Chief Executive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tcPr>
          <w:p>
            <w:pPr>
              <w:ind w:left="3700"/>
              <w:spacing w:after="0"/>
              <w:rPr>
                <w:sz w:val="20"/>
                <w:szCs w:val="20"/>
                <w:color w:val="auto"/>
              </w:rPr>
            </w:pPr>
            <w:r>
              <w:rPr>
                <w:rFonts w:ascii="Arial" w:cs="Arial" w:eastAsia="Arial" w:hAnsi="Arial"/>
                <w:sz w:val="18"/>
                <w:szCs w:val="18"/>
                <w:color w:val="auto"/>
              </w:rPr>
              <w:t>4</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4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2"/>
          </w:tcPr>
          <w:p>
            <w:pPr>
              <w:ind w:left="306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9460" w:type="dxa"/>
            <w:vAlign w:val="bottom"/>
            <w:gridSpan w:val="2"/>
          </w:tcPr>
          <w:p>
            <w:pPr>
              <w:ind w:left="42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9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August 18, 2011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tcPr>
          <w:p>
            <w:pPr>
              <w:ind w:left="3700"/>
              <w:spacing w:after="0"/>
              <w:rPr>
                <w:sz w:val="20"/>
                <w:szCs w:val="20"/>
                <w:color w:val="auto"/>
              </w:rPr>
            </w:pPr>
            <w:r>
              <w:rPr>
                <w:rFonts w:ascii="Arial" w:cs="Arial" w:eastAsia="Arial" w:hAnsi="Arial"/>
                <w:sz w:val="18"/>
                <w:szCs w:val="18"/>
                <w:color w:val="auto"/>
              </w:rPr>
              <w:t>5</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5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and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invest@toro.com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pr@toro.com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2011 Third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sales up 9 percent to a record $501 million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Worldwide shipments of golf equipment increase on strength of new products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quarter up 10 percent to $1.11</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reaffirms full-year guidance</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BLOOMINGTON, Minn. (August 18, 2011) — The Toro Company (NYSE: TTC) today reported net earnings of $35.1 million, or $1.11 per share, on net sales of $501 million for its fiscal third quarter ended July 29, 2011. The company’s third quarter earnings were reduced by $0.09 per share to account for a product rework expense. In the comparable fiscal 2010 period, the company reported net earnings of $33.4 million, or $1.01 per share, on net sales of $ 458.9 million.</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first nine months, Toro reported net earnings of $112.6 million, or $3.51 per share, on net sales of $1,515.9 million. In the comparable fiscal 2010 period, the company posted net earnings of $90 million, or $2.66 per share, on net sales of $1,353.1 million.</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delivered record sales over what was a good third quarter last year,” said Michael J. Hoffman, Toro’s chairman and chief executive officer. “Unfortunately, weather around the country slowed sales in our residential and landscape contractor businesses, and a disappointing walk power mower rework issue negatively impacted earnings for the quarter. Even so, demand for golf and grounds equipment around the world remained strong, and adoption of our micro irrigation solutions continued to grow, which helped drive strong quarterly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180" w:hanging="332"/>
        <w:spacing w:after="0" w:line="255"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third quarter totaled $346 million, up 8.8 percent from the prior year period. Worldwide shipments of golf equipment led segment growth on increased demand and strength of new products, such as Toro’s Multi Pro® 5800 sprayer and Reelmaster® 7000 fairway mower. Micro irrigation products saw solid gains on a worldwide basis driven by added production capacity and growing acceptance for drip technologies, including Toro’s patented Aqua-Traxx® premium drip tape. Slower sales for landscape maintenance equipment resulting from significant drought in key markets offset some of the gains. For the first nine months, professional segment net sales were $1,022.5 million, up 16.2 percent from the comparable fiscal 2010 period.</w:t>
      </w:r>
    </w:p>
    <w:p>
      <w:pPr>
        <w:spacing w:after="0" w:line="193" w:lineRule="exact"/>
        <w:rPr>
          <w:rFonts w:ascii="Arial" w:cs="Arial" w:eastAsia="Arial" w:hAnsi="Arial"/>
          <w:sz w:val="18"/>
          <w:szCs w:val="18"/>
          <w:color w:val="auto"/>
        </w:rPr>
      </w:pPr>
    </w:p>
    <w:p>
      <w:pPr>
        <w:ind w:left="340" w:right="620" w:hanging="332"/>
        <w:spacing w:after="0" w:line="308"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earnings for the third quarter totaled $64.3 million, up slightly from $62.7 million in the prior year period. For the first nine months, professional segment earnings were $187.9 million, up from $156.1 million in the comparable fiscal 2010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60" w:hanging="332"/>
        <w:spacing w:after="0" w:line="259"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net sales for the third quarter totaled $147.5 million, up 8.6 from the prior year period. Worldwide orders for snow products were up significantly for the quarter on strong preseason demand due to last year’s healthy snowfalls that depleted field inventory levels. Somewhat offsetting these gains were lower sales of walk power mowers and riding products. For the first nine months, residential segment net sales were $480.4 million, up 3.8 percent from the comparable fiscal 2010 period.</w:t>
      </w:r>
    </w:p>
    <w:p>
      <w:pPr>
        <w:spacing w:after="0" w:line="186" w:lineRule="exact"/>
        <w:rPr>
          <w:rFonts w:ascii="Arial" w:cs="Arial" w:eastAsia="Arial" w:hAnsi="Arial"/>
          <w:sz w:val="18"/>
          <w:szCs w:val="18"/>
          <w:color w:val="auto"/>
        </w:rPr>
      </w:pPr>
    </w:p>
    <w:p>
      <w:pPr>
        <w:ind w:left="340" w:right="100" w:hanging="332"/>
        <w:spacing w:after="0" w:line="312"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Residential segment earnings for the third quarter totaled $4.6 million, down from $10.7 million in the prior year period. The earnings decline was mainly the result of a pre-tax charge of $4.5 million to account for one-time costs associated with a rework issue affecting a large number of walk power mowers. For the first nine months, residential segment earnings were $42.5 million, down from $49.2 million in the comparable fiscal 2010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margin for the third quarter declined 170 basis points from the same period last year to 33.5 percent. The margin decline was mostly due to the mower rework issue, increased commodity costs and higher freight expense. For the first nine months, margins were down 20 basis points from the comparable fiscal 2010 period to 34.2 percent.</w:t>
      </w:r>
    </w:p>
    <w:p>
      <w:pPr>
        <w:sectPr>
          <w:pgSz w:w="11900" w:h="16838" w:orient="portrait"/>
          <w:cols w:equalWidth="0" w:num="1">
            <w:col w:w="11420"/>
          </w:cols>
          <w:pgMar w:left="240" w:top="121" w:right="239" w:bottom="0" w:gutter="0" w:footer="0" w:header="0"/>
        </w:sectPr>
      </w:pPr>
    </w:p>
    <w:bookmarkStart w:id="3" w:name="page4"/>
    <w:bookmarkEnd w:id="3"/>
    <w:p>
      <w:pPr>
        <w:ind w:right="10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for the third quarter was down 90 basis points to 22.6 percent, and for the first nine months decreased 100 basis points to 22.6 percent. The decline in SG&amp;A as a percent of sales for both periods reflects further leveraging of costs over improved sales volumes.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earnings as a percent of sales decreased 80 basis points to 10.9 percent for the third quarter, but increased 80 basis points to 11.6 percent for the first nine months.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for the third quarter was $4.3 million, up slightly from prior year period. For the first nine months, interest expense totaled $12.6 million, down slightly percent from the same period last year.</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effective tax rate for the third quarter was 32.9 percent compared with 35.7 percent in the same period last year. For the first nine months, the tax rate declined to 32.7 percent from 34.4 percent last year, primarily the result of the retroactive extension of the Federal Research and Engineering Tax Credit.</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Accounts receivable at the end of the third quarter totaled $199 million, up 17 percent from the prior year period, on a sales increase of 9 percent. Net inventories were $232.4 million, up 31 percent from the comparable fiscal 2010 period. Trade payables were $126.7 million, up 7.4 percent compared with last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“Even with the external challenges of weather and the economy, along with the rework issue, we posted very solid results for the first nine months and remain committed to our revenue and EPS guidance for the year,” said Hoffman. “Increased economic concern certainly isn’t welcome news, but we remain encouraged about our end markets, competitive position, and innovation levels as we finish up our fiscal year. The summer selling season is winding down and we are positioned well for the upcoming snow season with a strong lineup and expanded placement.”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expect net earnings for fiscal 2011 to be about $3.60 per share on a revenue increase of about 10 to 12 percent.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Toro Company is a leading worldwide provider of turf and landscape maintenance equipment, and precision irrigation systems, to help customers care for golf courses, sports fields, public green spaces, commercial and residential properties, and agricultural fields.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18,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CDT on August 18, 2011.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new, multi-year, employee initiative called “Destination 2014”; our increased dependence on international sales and the risks attendant to international operations and markets, including our ability to successfully develop a new micro-irrigation manufacturing facility in Romania and political, economic and/or social instability in the countries in which we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ectPr>
          <w:pgSz w:w="11900" w:h="16838" w:orient="portrait"/>
          <w:cols w:equalWidth="0" w:num="1">
            <w:col w:w="11420"/>
          </w:cols>
          <w:pgMar w:left="240" w:top="125" w:right="239" w:bottom="111"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1"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9"/>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July 30,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7"/>
              </w:rPr>
              <w:t>July 29, 2011</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54"/>
              <w:spacing w:after="0" w:line="119" w:lineRule="exact"/>
              <w:rPr>
                <w:sz w:val="20"/>
                <w:szCs w:val="20"/>
                <w:color w:val="auto"/>
              </w:rPr>
            </w:pPr>
            <w:r>
              <w:rPr>
                <w:rFonts w:ascii="Arial" w:cs="Arial" w:eastAsia="Arial" w:hAnsi="Arial"/>
                <w:sz w:val="13"/>
                <w:szCs w:val="13"/>
                <w:b w:val="1"/>
                <w:bCs w:val="1"/>
                <w:color w:val="auto"/>
              </w:rPr>
              <w:t>July 30,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501,045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458,890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1,515,858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1,353,067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167,661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161,633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517,860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465,436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percent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112,937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107,824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342,580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319,712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175,280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145,724</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(4,294)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(4,243)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(12,596)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(12,759)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167,244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137,170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54,621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35,091</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33,414</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112,623</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89,993</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Basic net earnings per share</w:t>
            </w:r>
          </w:p>
        </w:tc>
        <w:tc>
          <w:tcPr>
            <w:tcW w:w="9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2"/>
                <w:szCs w:val="22"/>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2"/>
                <w:szCs w:val="22"/>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22"/>
                <w:szCs w:val="22"/>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Diluted net earnings per share</w:t>
            </w:r>
          </w:p>
        </w:tc>
        <w:tc>
          <w:tcPr>
            <w:tcW w:w="9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2"/>
                <w:szCs w:val="22"/>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2"/>
                <w:szCs w:val="22"/>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22"/>
                <w:szCs w:val="22"/>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3"/>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outstanding — Basic</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31,176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32,464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31,491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33,400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3"/>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outstanding — Diluted</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31,739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32,972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32,062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33,819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40" w:type="dxa"/>
            <w:vAlign w:val="bottom"/>
            <w:gridSpan w:val="8"/>
          </w:tcPr>
          <w:p>
            <w:pPr>
              <w:jc w:val="right"/>
              <w:ind w:right="90"/>
              <w:spacing w:after="0"/>
              <w:rPr>
                <w:sz w:val="20"/>
                <w:szCs w:val="20"/>
                <w:color w:val="auto"/>
              </w:rPr>
            </w:pPr>
            <w:r>
              <w:rPr>
                <w:rFonts w:ascii="Arial" w:cs="Arial" w:eastAsia="Arial" w:hAnsi="Arial"/>
                <w:sz w:val="18"/>
                <w:szCs w:val="18"/>
                <w:b w:val="1"/>
                <w:bCs w:val="1"/>
                <w:color w:val="auto"/>
              </w:rPr>
              <w:t>Segment Data (Unaudited)</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6"/>
              </w:rPr>
              <w:t>(Dollars 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July 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July 29,</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July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345,972</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317,876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1,022,536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880,252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147,479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135,759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480,404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462,613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5,255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Total *</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501,045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458,890</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1,515,858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1,353,067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11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98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146,678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130,317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487,325</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427,646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July 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July 29,</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64,344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62,681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187,869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156,094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4,638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10,650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42,545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49,190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(21,366)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(63,170)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(68,114)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52,291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51,965</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167,244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137,170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29,</w:t>
            </w: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118,113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199,012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232,362</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177,195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20,256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59,908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56,847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629,651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187,648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965</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149,283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967,547</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879,652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126,688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118,009</w:t>
            </w:r>
          </w:p>
        </w:tc>
        <w:tc>
          <w:tcPr>
            <w:tcW w:w="0" w:type="dxa"/>
            <w:vAlign w:val="bottom"/>
          </w:tcPr>
          <w:p>
            <w:pPr>
              <w:spacing w:after="0"/>
              <w:rPr>
                <w:sz w:val="1"/>
                <w:szCs w:val="1"/>
                <w:color w:val="auto"/>
              </w:rPr>
            </w:pPr>
          </w:p>
        </w:tc>
      </w:tr>
    </w:tbl>
    <w:p>
      <w:pPr>
        <w:sectPr>
          <w:pgSz w:w="11900" w:h="16838" w:orient="portrait"/>
          <w:cols w:equalWidth="0" w:num="1">
            <w:col w:w="11460"/>
          </w:cols>
          <w:pgMar w:left="240" w:top="337"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2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268,200</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243,743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397,669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365,694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225,162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revenue</w:t>
            </w: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10,776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Stockholders’ equity</w:t>
            </w: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326,380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271,633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6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1"/>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112,623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Equity income from affiliates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(4,433)</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34,251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decrease in deferred income taxes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(53,335)</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(8,994)</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21,190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72,469</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(43,269)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investment in affiliates,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decrease in 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(56,892)</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short-term debt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long-term debt, net of costs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12,309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(71,216)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(18,894)</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(59,253)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177,366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187,773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118,113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163,379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2019-12-10T06:39:34Z</dcterms:created>
  <dcterms:modified xsi:type="dcterms:W3CDTF">2019-12-10T06:39:34Z</dcterms:modified>
</cp:coreProperties>
</file>