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Dordell Timothy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VP, Secretary,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92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9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12/11/2012</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97"/>
              </w:rPr>
              <w:t>18,000</w:t>
            </w:r>
            <w:r>
              <w:rPr>
                <w:rFonts w:ascii="Arial" w:cs="Arial" w:eastAsia="Arial" w:hAnsi="Arial"/>
                <w:sz w:val="22"/>
                <w:szCs w:val="22"/>
                <w:color w:val="008000"/>
                <w:w w:val="97"/>
                <w:vertAlign w:val="superscript"/>
              </w:rPr>
              <w:t>(1)</w:t>
            </w:r>
          </w:p>
        </w:tc>
        <w:tc>
          <w:tcPr>
            <w:tcW w:w="5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29,179.263</w:t>
            </w:r>
            <w:r>
              <w:rPr>
                <w:rFonts w:ascii="Arial" w:cs="Arial" w:eastAsia="Arial" w:hAnsi="Arial"/>
                <w:sz w:val="22"/>
                <w:szCs w:val="22"/>
                <w:color w:val="008000"/>
                <w:w w:val="8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3,671.316</w:t>
            </w:r>
            <w:r>
              <w:rPr>
                <w:rFonts w:ascii="Arial" w:cs="Arial" w:eastAsia="Arial" w:hAnsi="Arial"/>
                <w:sz w:val="22"/>
                <w:szCs w:val="22"/>
                <w:color w:val="008000"/>
                <w:w w:val="87"/>
                <w:vertAlign w:val="superscript"/>
              </w:rPr>
              <w:t>(3)</w:t>
            </w:r>
          </w:p>
        </w:tc>
        <w:tc>
          <w:tcPr>
            <w:tcW w:w="960" w:type="dxa"/>
            <w:vAlign w:val="bottom"/>
            <w:tcBorders>
              <w:bottom w:val="single" w:sz="8" w:color="2C2C2C"/>
            </w:tcBorders>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center"/>
              <w:spacing w:after="0" w:line="214" w:lineRule="exact"/>
              <w:rPr>
                <w:sz w:val="20"/>
                <w:szCs w:val="20"/>
                <w:color w:val="auto"/>
              </w:rPr>
            </w:pPr>
            <w:r>
              <w:rPr>
                <w:rFonts w:ascii="Arial" w:cs="Arial" w:eastAsia="Arial" w:hAnsi="Arial"/>
                <w:sz w:val="17"/>
                <w:szCs w:val="17"/>
                <w:color w:val="0000FF"/>
                <w:w w:val="88"/>
              </w:rPr>
              <w:t>525.583</w:t>
            </w:r>
            <w:r>
              <w:rPr>
                <w:rFonts w:ascii="Arial" w:cs="Arial" w:eastAsia="Arial" w:hAnsi="Arial"/>
                <w:sz w:val="22"/>
                <w:szCs w:val="22"/>
                <w:color w:val="008000"/>
                <w:w w:val="88"/>
                <w:vertAlign w:val="superscript"/>
              </w:rPr>
              <w:t>(4)</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12/11/2012</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15,500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12/11/2022</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15,500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15,500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8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2010 to Fiscal 2012 Performance Period under The Toro Company Performance Share Plan, as approved by the registrant's Compensation &amp; Human Resources Committee of its Board of Directors on December 11, 2012.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4"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2012, the common stock of the issuer split two-for-one (the "Stock Split"), resulting in the reporting person's ownership of 5,521.51 additional performance share units. Also includes 136.243</w:t>
      </w:r>
    </w:p>
    <w:p>
      <w:pPr>
        <w:spacing w:after="0" w:line="22" w:lineRule="exact"/>
        <w:rPr>
          <w:sz w:val="24"/>
          <w:szCs w:val="24"/>
          <w:color w:val="auto"/>
        </w:rPr>
      </w:pPr>
    </w:p>
    <w:p>
      <w:pPr>
        <w:ind w:left="40" w:right="520"/>
        <w:spacing w:after="0" w:line="252" w:lineRule="auto"/>
        <w:rPr>
          <w:sz w:val="20"/>
          <w:szCs w:val="20"/>
          <w:color w:val="auto"/>
        </w:rPr>
      </w:pPr>
      <w:r>
        <w:rPr>
          <w:rFonts w:ascii="Arial" w:cs="Arial" w:eastAsia="Arial" w:hAnsi="Arial"/>
          <w:sz w:val="13"/>
          <w:szCs w:val="13"/>
          <w:color w:val="008000"/>
        </w:rPr>
        <w:t>post-split performance share units acquired by the reporting person under the dividend reinvestment feature of the Deferred Plan since the date of his last report All future Form 4 and 5 filings made by the reporting person will include adjustments, as necessary, to reflect the Stock Split.</w:t>
      </w:r>
    </w:p>
    <w:p>
      <w:pPr>
        <w:spacing w:after="0" w:line="23" w:lineRule="exact"/>
        <w:rPr>
          <w:sz w:val="24"/>
          <w:szCs w:val="24"/>
          <w:color w:val="auto"/>
        </w:rPr>
      </w:pPr>
    </w:p>
    <w:p>
      <w:pPr>
        <w:ind w:left="40" w:right="36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1.720 post-split shares of common stock acquired by the reporting person under The Toro Company Dividend Reinvestment Plan since the date of his last report and 1,834.798 additional shares of common stock acquired as a result of the Stock Split.</w:t>
      </w:r>
    </w:p>
    <w:p>
      <w:pPr>
        <w:spacing w:after="0" w:line="9" w:lineRule="exact"/>
        <w:rPr>
          <w:rFonts w:ascii="Arial" w:cs="Arial" w:eastAsia="Arial" w:hAnsi="Arial"/>
          <w:sz w:val="13"/>
          <w:szCs w:val="13"/>
          <w:color w:val="008000"/>
        </w:rPr>
      </w:pPr>
    </w:p>
    <w:p>
      <w:pPr>
        <w:ind w:left="40" w:right="300" w:firstLine="8"/>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6.041 post-split shares of common stock acquired under the dividend reinvestment feature of The Toro Company Investment, Savings &amp; ESOP ("IS&amp;ESOP") since the date of his last report; 102.944 post-split shares acquired through issuer annual investment fund contributions to the IS&amp;ESOP; and 208.299 additional shares of common stock acquired as a result of the Stock Split.</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12/13/2012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2019-12-17T01:54:46Z</dcterms:created>
  <dcterms:modified xsi:type="dcterms:W3CDTF">2019-12-17T01:54:46Z</dcterms:modified>
</cp:coreProperties>
</file>