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8-K/A</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01, 2010</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56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jc w:val="right"/>
              <w:ind w:right="1330"/>
              <w:spacing w:after="0"/>
              <w:rPr>
                <w:sz w:val="20"/>
                <w:szCs w:val="20"/>
                <w:color w:val="auto"/>
              </w:rPr>
            </w:pPr>
            <w:r>
              <w:rPr>
                <w:rFonts w:ascii="Arial" w:cs="Arial" w:eastAsia="Arial" w:hAnsi="Arial"/>
                <w:sz w:val="18"/>
                <w:szCs w:val="18"/>
                <w:b w:val="1"/>
                <w:bCs w:val="1"/>
                <w:color w:val="auto"/>
              </w:rPr>
              <w:t>1-8649</w:t>
            </w:r>
          </w:p>
        </w:tc>
        <w:tc>
          <w:tcPr>
            <w:tcW w:w="4040" w:type="dxa"/>
            <w:vAlign w:val="bottom"/>
          </w:tcPr>
          <w:p>
            <w:pPr>
              <w:jc w:val="right"/>
              <w:ind w:right="137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4560" w:type="dxa"/>
            <w:vAlign w:val="bottom"/>
          </w:tcPr>
          <w:p>
            <w:pPr>
              <w:jc w:val="center"/>
              <w:ind w:right="650"/>
              <w:spacing w:after="0"/>
              <w:rPr>
                <w:sz w:val="20"/>
                <w:szCs w:val="20"/>
                <w:color w:val="auto"/>
              </w:rPr>
            </w:pPr>
            <w:r>
              <w:rPr>
                <w:rFonts w:ascii="Arial" w:cs="Arial" w:eastAsia="Arial" w:hAnsi="Arial"/>
                <w:sz w:val="18"/>
                <w:szCs w:val="18"/>
                <w:color w:val="auto"/>
                <w:w w:val="92"/>
              </w:rPr>
              <w:t>(State of Incorporation)</w:t>
            </w:r>
          </w:p>
        </w:tc>
        <w:tc>
          <w:tcPr>
            <w:tcW w:w="2820" w:type="dxa"/>
            <w:vAlign w:val="bottom"/>
          </w:tcPr>
          <w:p>
            <w:pPr>
              <w:jc w:val="center"/>
              <w:ind w:right="430"/>
              <w:spacing w:after="0"/>
              <w:rPr>
                <w:sz w:val="20"/>
                <w:szCs w:val="20"/>
                <w:color w:val="auto"/>
              </w:rPr>
            </w:pPr>
            <w:r>
              <w:rPr>
                <w:rFonts w:ascii="Arial" w:cs="Arial" w:eastAsia="Arial" w:hAnsi="Arial"/>
                <w:sz w:val="18"/>
                <w:szCs w:val="18"/>
                <w:color w:val="auto"/>
                <w:w w:val="92"/>
              </w:rPr>
              <w:t>(Commission File Number)</w:t>
            </w:r>
          </w:p>
        </w:tc>
        <w:tc>
          <w:tcPr>
            <w:tcW w:w="4040" w:type="dxa"/>
            <w:vAlign w:val="bottom"/>
          </w:tcPr>
          <w:p>
            <w:pPr>
              <w:jc w:val="center"/>
              <w:ind w:left="130"/>
              <w:spacing w:after="0"/>
              <w:rPr>
                <w:sz w:val="20"/>
                <w:szCs w:val="20"/>
                <w:color w:val="auto"/>
              </w:rPr>
            </w:pPr>
            <w:r>
              <w:rPr>
                <w:rFonts w:ascii="Arial" w:cs="Arial" w:eastAsia="Arial" w:hAnsi="Arial"/>
                <w:sz w:val="18"/>
                <w:szCs w:val="18"/>
                <w:color w:val="auto"/>
                <w:w w:val="93"/>
              </w:rPr>
              <w:t>(I.R.S. Employer Identification Number)</w:t>
            </w:r>
          </w:p>
        </w:tc>
      </w:tr>
      <w:tr>
        <w:trPr>
          <w:trHeight w:val="684"/>
        </w:trPr>
        <w:tc>
          <w:tcPr>
            <w:tcW w:w="4560" w:type="dxa"/>
            <w:vAlign w:val="bottom"/>
          </w:tcPr>
          <w:p>
            <w:pPr>
              <w:jc w:val="center"/>
              <w:ind w:left="1070"/>
              <w:spacing w:after="0"/>
              <w:rPr>
                <w:sz w:val="20"/>
                <w:szCs w:val="20"/>
                <w:color w:val="auto"/>
              </w:rPr>
            </w:pPr>
            <w:r>
              <w:rPr>
                <w:rFonts w:ascii="Arial" w:cs="Arial" w:eastAsia="Arial" w:hAnsi="Arial"/>
                <w:sz w:val="18"/>
                <w:szCs w:val="18"/>
                <w:b w:val="1"/>
                <w:bCs w:val="1"/>
                <w:color w:val="auto"/>
                <w:w w:val="88"/>
              </w:rPr>
              <w:t>8111 Lyndale Avenue South</w:t>
            </w:r>
          </w:p>
        </w:tc>
        <w:tc>
          <w:tcPr>
            <w:tcW w:w="28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20"/>
        </w:trPr>
        <w:tc>
          <w:tcPr>
            <w:tcW w:w="456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Bloomington, Minnesota</w:t>
            </w:r>
          </w:p>
        </w:tc>
        <w:tc>
          <w:tcPr>
            <w:tcW w:w="2820" w:type="dxa"/>
            <w:vAlign w:val="bottom"/>
          </w:tcPr>
          <w:p>
            <w:pPr>
              <w:spacing w:after="0"/>
              <w:rPr>
                <w:sz w:val="19"/>
                <w:szCs w:val="19"/>
                <w:color w:val="auto"/>
              </w:rPr>
            </w:pPr>
          </w:p>
        </w:tc>
        <w:tc>
          <w:tcPr>
            <w:tcW w:w="4040" w:type="dxa"/>
            <w:vAlign w:val="bottom"/>
          </w:tcPr>
          <w:p>
            <w:pPr>
              <w:jc w:val="right"/>
              <w:ind w:right="2550"/>
              <w:spacing w:after="0"/>
              <w:rPr>
                <w:sz w:val="20"/>
                <w:szCs w:val="20"/>
                <w:color w:val="auto"/>
              </w:rPr>
            </w:pPr>
            <w:r>
              <w:rPr>
                <w:rFonts w:ascii="Arial" w:cs="Arial" w:eastAsia="Arial" w:hAnsi="Arial"/>
                <w:sz w:val="18"/>
                <w:szCs w:val="18"/>
                <w:b w:val="1"/>
                <w:bCs w:val="1"/>
                <w:color w:val="auto"/>
              </w:rPr>
              <w:t>55420</w:t>
            </w:r>
          </w:p>
        </w:tc>
      </w:tr>
      <w:tr>
        <w:trPr>
          <w:trHeight w:val="237"/>
        </w:trPr>
        <w:tc>
          <w:tcPr>
            <w:tcW w:w="456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92"/>
              </w:rPr>
              <w:t>(Address of principal executive offices)</w:t>
            </w:r>
          </w:p>
        </w:tc>
        <w:tc>
          <w:tcPr>
            <w:tcW w:w="28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tcPr>
          <w:p>
            <w:pPr>
              <w:jc w:val="center"/>
              <w:ind w:right="1590"/>
              <w:spacing w:after="0"/>
              <w:rPr>
                <w:sz w:val="20"/>
                <w:szCs w:val="20"/>
                <w:color w:val="auto"/>
              </w:rPr>
            </w:pPr>
            <w:r>
              <w:rPr>
                <w:rFonts w:ascii="Arial" w:cs="Arial" w:eastAsia="Arial" w:hAnsi="Arial"/>
                <w:sz w:val="18"/>
                <w:szCs w:val="18"/>
                <w:color w:val="auto"/>
                <w:w w:val="94"/>
              </w:rPr>
              <w:t>(Zip Code)</w:t>
            </w:r>
          </w:p>
        </w:tc>
      </w:tr>
      <w:tr>
        <w:trPr>
          <w:trHeight w:val="459"/>
        </w:trPr>
        <w:tc>
          <w:tcPr>
            <w:tcW w:w="4560" w:type="dxa"/>
            <w:vAlign w:val="bottom"/>
          </w:tcPr>
          <w:p>
            <w:pPr>
              <w:ind w:left="640"/>
              <w:spacing w:after="0"/>
              <w:rPr>
                <w:sz w:val="20"/>
                <w:szCs w:val="20"/>
                <w:color w:val="auto"/>
              </w:rPr>
            </w:pPr>
            <w:r>
              <w:rPr>
                <w:rFonts w:ascii="Arial" w:cs="Arial" w:eastAsia="Arial" w:hAnsi="Arial"/>
                <w:sz w:val="18"/>
                <w:szCs w:val="18"/>
                <w:color w:val="auto"/>
                <w:w w:val="93"/>
              </w:rPr>
              <w:t>Registrant’s telephone number, including area code:</w:t>
            </w:r>
          </w:p>
        </w:tc>
        <w:tc>
          <w:tcPr>
            <w:tcW w:w="2820" w:type="dxa"/>
            <w:vAlign w:val="bottom"/>
          </w:tcPr>
          <w:p>
            <w:pPr>
              <w:spacing w:after="0"/>
              <w:rPr>
                <w:sz w:val="24"/>
                <w:szCs w:val="24"/>
                <w:color w:val="auto"/>
              </w:rPr>
            </w:pPr>
          </w:p>
        </w:tc>
        <w:tc>
          <w:tcPr>
            <w:tcW w:w="4040" w:type="dxa"/>
            <w:vAlign w:val="bottom"/>
          </w:tcPr>
          <w:p>
            <w:pPr>
              <w:jc w:val="right"/>
              <w:ind w:right="550"/>
              <w:spacing w:after="0"/>
              <w:rPr>
                <w:sz w:val="20"/>
                <w:szCs w:val="20"/>
                <w:color w:val="auto"/>
              </w:rPr>
            </w:pPr>
            <w:r>
              <w:rPr>
                <w:rFonts w:ascii="Arial" w:cs="Arial" w:eastAsia="Arial" w:hAnsi="Arial"/>
                <w:sz w:val="18"/>
                <w:szCs w:val="18"/>
                <w:b w:val="1"/>
                <w:bCs w:val="1"/>
                <w:color w:val="auto"/>
              </w:rPr>
              <w:t>(952) 888-8801</w:t>
            </w:r>
          </w:p>
        </w:tc>
      </w:tr>
    </w:tbl>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2592070</wp:posOffset>
            </wp:positionH>
            <wp:positionV relativeFrom="paragraph">
              <wp:posOffset>-10160</wp:posOffset>
            </wp:positionV>
            <wp:extent cx="2073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3275"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1264920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ectPr>
          <w:pgSz w:w="11900" w:h="16838" w:orient="portrait"/>
          <w:cols w:equalWidth="0" w:num="1">
            <w:col w:w="11420"/>
          </w:cols>
          <w:pgMar w:left="240" w:top="1440" w:right="239" w:bottom="77" w:gutter="0" w:footer="0" w:header="0"/>
        </w:sectPr>
      </w:pPr>
    </w:p>
    <w:bookmarkStart w:id="1" w:name="page2"/>
    <w:bookmarkEnd w:id="1"/>
    <w:p>
      <w:pPr>
        <w:ind w:right="6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left="660" w:hanging="652"/>
        <w:spacing w:after="0" w:line="28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July 1, 2010, The Toro Company filed a Current Report on Form 8-K (the "Original Form 8-K") reporting, among other things, the election of Mr. Jeffrey M. Ettinger to its Board of Directors effective as of July 1, 2010. At the time of the filing of the Original Form 8-K, the Board had not determined the Board committees on which Mr. Ettinger would serve. The Company is filing this amendment to the Original Form 8-K to report that at its regular meeting held on July 20, 2010, the Board, upon recommendation of the Nominating &amp; Governance Committee, appointed Mr.</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Ettinger to the Audit Committee and the Compensation &amp;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 July 21, 2010</w:t>
      </w:r>
      <w:r>
        <w:rPr>
          <w:sz w:val="20"/>
          <w:szCs w:val="20"/>
          <w:color w:val="auto"/>
        </w:rPr>
        <w:tab/>
      </w:r>
      <w:r>
        <w:rPr>
          <w:rFonts w:ascii="Arial" w:cs="Arial" w:eastAsia="Arial" w:hAnsi="Arial"/>
          <w:sz w:val="16"/>
          <w:szCs w:val="16"/>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14605</wp:posOffset>
            </wp:positionV>
            <wp:extent cx="2238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2019-12-10T05:52:08Z</dcterms:created>
  <dcterms:modified xsi:type="dcterms:W3CDTF">2019-12-10T05:52:08Z</dcterms:modified>
</cp:coreProperties>
</file>