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3"/>
        <w:spacing w:after="0"/>
        <w:rPr>
          <w:sz w:val="20"/>
          <w:szCs w:val="20"/>
          <w:color w:val="auto"/>
        </w:rPr>
      </w:pPr>
      <w:r>
        <w:rPr>
          <w:rFonts w:ascii="Courier New" w:cs="Courier New" w:eastAsia="Courier New" w:hAnsi="Courier New"/>
          <w:sz w:val="16"/>
          <w:szCs w:val="16"/>
          <w:color w:val="auto"/>
        </w:rPr>
        <w:t>AS FILED WITH THE SECURITIES AND EXCHANGE COMMISSION ON FEBRUARY 4, 1997</w:t>
      </w:r>
    </w:p>
    <w:p>
      <w:pPr>
        <w:spacing w:after="0" w:line="183" w:lineRule="exact"/>
        <w:rPr>
          <w:sz w:val="24"/>
          <w:szCs w:val="24"/>
          <w:color w:val="auto"/>
        </w:rPr>
      </w:pPr>
    </w:p>
    <w:p>
      <w:pPr>
        <w:ind w:left="5203"/>
        <w:spacing w:after="0"/>
        <w:rPr>
          <w:sz w:val="20"/>
          <w:szCs w:val="20"/>
          <w:color w:val="auto"/>
        </w:rPr>
      </w:pPr>
      <w:r>
        <w:rPr>
          <w:rFonts w:ascii="Courier New" w:cs="Courier New" w:eastAsia="Courier New" w:hAnsi="Courier New"/>
          <w:sz w:val="16"/>
          <w:szCs w:val="16"/>
          <w:color w:val="auto"/>
        </w:rPr>
        <w:t>REGISTRATION NO. 333-4521</w:t>
      </w:r>
    </w:p>
    <w:p>
      <w:pPr>
        <w:spacing w:after="0" w:line="5"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POST-EFFECTIVE</w:t>
      </w:r>
    </w:p>
    <w:p>
      <w:pPr>
        <w:spacing w:after="0" w:line="1"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AMENDMENT NO. 1</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FORM S-3</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REGISTRATION STATEMENT</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THE TORO COMPANY</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46" w:lineRule="exact"/>
        <w:rPr>
          <w:sz w:val="24"/>
          <w:szCs w:val="24"/>
          <w:color w:val="auto"/>
        </w:rPr>
      </w:pPr>
    </w:p>
    <w:tbl>
      <w:tblPr>
        <w:tblLayout w:type="fixed"/>
        <w:tblInd w:w="283" w:type="dxa"/>
        <w:tblCellMar>
          <w:top w:w="0" w:type="dxa"/>
          <w:left w:w="0" w:type="dxa"/>
          <w:bottom w:w="0" w:type="dxa"/>
          <w:right w:w="0" w:type="dxa"/>
        </w:tblCellMar>
      </w:tblPr>
      <w:tr>
        <w:trPr>
          <w:trHeight w:val="181"/>
        </w:trPr>
        <w:tc>
          <w:tcPr>
            <w:tcW w:w="3880" w:type="dxa"/>
            <w:vAlign w:val="bottom"/>
          </w:tcPr>
          <w:p>
            <w:pPr>
              <w:jc w:val="center"/>
              <w:ind w:right="581"/>
              <w:spacing w:after="0"/>
              <w:rPr>
                <w:sz w:val="20"/>
                <w:szCs w:val="20"/>
                <w:color w:val="auto"/>
              </w:rPr>
            </w:pPr>
            <w:r>
              <w:rPr>
                <w:rFonts w:ascii="Courier New" w:cs="Courier New" w:eastAsia="Courier New" w:hAnsi="Courier New"/>
                <w:sz w:val="16"/>
                <w:szCs w:val="16"/>
                <w:color w:val="auto"/>
                <w:w w:val="96"/>
              </w:rPr>
              <w:t>DELAWARE</w:t>
            </w:r>
          </w:p>
        </w:tc>
        <w:tc>
          <w:tcPr>
            <w:tcW w:w="2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41-0580470</w:t>
            </w:r>
          </w:p>
        </w:tc>
      </w:tr>
      <w:tr>
        <w:trPr>
          <w:trHeight w:val="182"/>
        </w:trPr>
        <w:tc>
          <w:tcPr>
            <w:tcW w:w="3880" w:type="dxa"/>
            <w:vAlign w:val="bottom"/>
          </w:tcPr>
          <w:p>
            <w:pPr>
              <w:jc w:val="center"/>
              <w:ind w:right="581"/>
              <w:spacing w:after="0"/>
              <w:rPr>
                <w:sz w:val="20"/>
                <w:szCs w:val="20"/>
                <w:color w:val="auto"/>
              </w:rPr>
            </w:pPr>
            <w:r>
              <w:rPr>
                <w:rFonts w:ascii="Courier New" w:cs="Courier New" w:eastAsia="Courier New" w:hAnsi="Courier New"/>
                <w:sz w:val="16"/>
                <w:szCs w:val="16"/>
                <w:color w:val="auto"/>
                <w:w w:val="98"/>
              </w:rPr>
              <w:t>(State or other jurisdiction</w:t>
            </w:r>
          </w:p>
        </w:tc>
        <w:tc>
          <w:tcPr>
            <w:tcW w:w="2560" w:type="dxa"/>
            <w:vAlign w:val="bottom"/>
          </w:tcPr>
          <w:p>
            <w:pPr>
              <w:jc w:val="center"/>
              <w:ind w:left="761"/>
              <w:spacing w:after="0"/>
              <w:rPr>
                <w:sz w:val="20"/>
                <w:szCs w:val="20"/>
                <w:color w:val="auto"/>
              </w:rPr>
            </w:pPr>
            <w:r>
              <w:rPr>
                <w:rFonts w:ascii="Courier New" w:cs="Courier New" w:eastAsia="Courier New" w:hAnsi="Courier New"/>
                <w:sz w:val="16"/>
                <w:szCs w:val="16"/>
                <w:color w:val="auto"/>
                <w:w w:val="98"/>
              </w:rPr>
              <w:t>(I.R.S. Employer</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of incorporation or organization)</w:t>
            </w:r>
          </w:p>
        </w:tc>
        <w:tc>
          <w:tcPr>
            <w:tcW w:w="2560" w:type="dxa"/>
            <w:vAlign w:val="bottom"/>
          </w:tcPr>
          <w:p>
            <w:pPr>
              <w:ind w:left="760"/>
              <w:spacing w:after="0"/>
              <w:rPr>
                <w:sz w:val="20"/>
                <w:szCs w:val="20"/>
                <w:color w:val="auto"/>
              </w:rPr>
            </w:pPr>
            <w:r>
              <w:rPr>
                <w:rFonts w:ascii="Courier New" w:cs="Courier New" w:eastAsia="Courier New" w:hAnsi="Courier New"/>
                <w:sz w:val="16"/>
                <w:szCs w:val="16"/>
                <w:color w:val="auto"/>
                <w:w w:val="97"/>
              </w:rPr>
              <w:t>Identification No.)</w:t>
            </w:r>
          </w:p>
        </w:tc>
      </w:tr>
    </w:tbl>
    <w:p>
      <w:pPr>
        <w:spacing w:after="0" w:line="364"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8111 LYNDALE AVENUE SOUTH, BLOOMINGTON, MINNESOTA 55420-1196</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(612) 888-8801</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principal executive offices)</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563"/>
        <w:spacing w:after="0"/>
        <w:rPr>
          <w:sz w:val="20"/>
          <w:szCs w:val="20"/>
          <w:color w:val="auto"/>
        </w:rPr>
      </w:pPr>
      <w:r>
        <w:rPr>
          <w:rFonts w:ascii="Courier New" w:cs="Courier New" w:eastAsia="Courier New" w:hAnsi="Courier New"/>
          <w:sz w:val="16"/>
          <w:szCs w:val="16"/>
          <w:color w:val="auto"/>
        </w:rPr>
        <w:t>J. LAWRENCE MCINTYRE, VICE PRESIDENT, SECRETARY AND GENERAL COUNSEL</w:t>
      </w:r>
    </w:p>
    <w:p>
      <w:pPr>
        <w:spacing w:after="0" w:line="1" w:lineRule="exact"/>
        <w:rPr>
          <w:sz w:val="24"/>
          <w:szCs w:val="24"/>
          <w:color w:val="auto"/>
        </w:rPr>
      </w:pPr>
    </w:p>
    <w:p>
      <w:pPr>
        <w:ind w:left="103"/>
        <w:spacing w:after="0"/>
        <w:rPr>
          <w:sz w:val="20"/>
          <w:szCs w:val="20"/>
          <w:color w:val="auto"/>
        </w:rPr>
      </w:pPr>
      <w:r>
        <w:rPr>
          <w:rFonts w:ascii="Courier New" w:cs="Courier New" w:eastAsia="Courier New" w:hAnsi="Courier New"/>
          <w:sz w:val="16"/>
          <w:szCs w:val="16"/>
          <w:color w:val="auto"/>
        </w:rPr>
        <w:t>THE TORO COMPANY, 8111 LYNDALE AVENUE SOUTH, BLOOMINGTON, MINNESOTA 55420-1196</w:t>
      </w:r>
    </w:p>
    <w:p>
      <w:pPr>
        <w:spacing w:after="0" w:line="1" w:lineRule="exact"/>
        <w:rPr>
          <w:sz w:val="24"/>
          <w:szCs w:val="24"/>
          <w:color w:val="auto"/>
        </w:rPr>
      </w:pPr>
    </w:p>
    <w:p>
      <w:pPr>
        <w:ind w:left="2563"/>
        <w:spacing w:after="0"/>
        <w:rPr>
          <w:sz w:val="20"/>
          <w:szCs w:val="20"/>
          <w:color w:val="auto"/>
        </w:rPr>
      </w:pPr>
      <w:r>
        <w:rPr>
          <w:rFonts w:ascii="Courier New" w:cs="Courier New" w:eastAsia="Courier New" w:hAnsi="Courier New"/>
          <w:sz w:val="16"/>
          <w:szCs w:val="16"/>
          <w:color w:val="auto"/>
        </w:rPr>
        <w:t>TELEPHONE: (612) 888-8801</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 of</w:t>
      </w:r>
    </w:p>
    <w:p>
      <w:pPr>
        <w:spacing w:after="0" w:line="1"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agent for service)</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Copies to:</w:t>
      </w:r>
    </w:p>
    <w:p>
      <w:pPr>
        <w:spacing w:after="0" w:line="1"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C. ROBERT BEATTIE</w:t>
      </w:r>
    </w:p>
    <w:p>
      <w:pPr>
        <w:spacing w:after="0" w:line="1" w:lineRule="exact"/>
        <w:rPr>
          <w:sz w:val="24"/>
          <w:szCs w:val="24"/>
          <w:color w:val="auto"/>
        </w:rPr>
      </w:pPr>
    </w:p>
    <w:p>
      <w:pPr>
        <w:ind w:left="1423"/>
        <w:spacing w:after="0"/>
        <w:rPr>
          <w:sz w:val="20"/>
          <w:szCs w:val="20"/>
          <w:color w:val="auto"/>
        </w:rPr>
      </w:pPr>
      <w:r>
        <w:rPr>
          <w:rFonts w:ascii="Courier New" w:cs="Courier New" w:eastAsia="Courier New" w:hAnsi="Courier New"/>
          <w:sz w:val="16"/>
          <w:szCs w:val="16"/>
          <w:color w:val="auto"/>
        </w:rPr>
        <w:t>DOHERTY, RUMBLE &amp; BUTLER PROFESSIONAL ASSOCIATION</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3500 FIFTH STREET TOWERS</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150 SOUTH FIFTH STREET</w:t>
      </w:r>
    </w:p>
    <w:p>
      <w:pPr>
        <w:spacing w:after="0" w:line="1" w:lineRule="exact"/>
        <w:rPr>
          <w:sz w:val="24"/>
          <w:szCs w:val="24"/>
          <w:color w:val="auto"/>
        </w:rPr>
      </w:pPr>
    </w:p>
    <w:p>
      <w:pPr>
        <w:ind w:left="2183"/>
        <w:spacing w:after="0"/>
        <w:rPr>
          <w:sz w:val="20"/>
          <w:szCs w:val="20"/>
          <w:color w:val="auto"/>
        </w:rPr>
      </w:pPr>
      <w:r>
        <w:rPr>
          <w:rFonts w:ascii="Courier New" w:cs="Courier New" w:eastAsia="Courier New" w:hAnsi="Courier New"/>
          <w:sz w:val="16"/>
          <w:szCs w:val="16"/>
          <w:color w:val="auto"/>
        </w:rPr>
        <w:t>MINNEAPOLIS, MINNESOTA 55402-4235</w:t>
      </w:r>
    </w:p>
    <w:p>
      <w:pPr>
        <w:spacing w:after="0" w:line="1" w:lineRule="exact"/>
        <w:rPr>
          <w:sz w:val="24"/>
          <w:szCs w:val="24"/>
          <w:color w:val="auto"/>
        </w:rPr>
      </w:pPr>
    </w:p>
    <w:p>
      <w:pPr>
        <w:ind w:left="1423"/>
        <w:spacing w:after="0"/>
        <w:rPr>
          <w:sz w:val="20"/>
          <w:szCs w:val="20"/>
          <w:color w:val="auto"/>
        </w:rPr>
      </w:pPr>
      <w:r>
        <w:rPr>
          <w:rFonts w:ascii="Courier New" w:cs="Courier New" w:eastAsia="Courier New" w:hAnsi="Courier New"/>
          <w:sz w:val="16"/>
          <w:szCs w:val="16"/>
          <w:color w:val="auto"/>
        </w:rPr>
        <w:t>TELEPHONE: (612) 340-5555 TELEFAX: (612) 340-5584</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INFORMATION REGARDING SELLING STOCKHOLDERS</w:t>
      </w:r>
    </w:p>
    <w:p>
      <w:pPr>
        <w:spacing w:after="0" w:line="186" w:lineRule="exact"/>
        <w:rPr>
          <w:sz w:val="24"/>
          <w:szCs w:val="24"/>
          <w:color w:val="auto"/>
        </w:rPr>
      </w:pPr>
    </w:p>
    <w:p>
      <w:pPr>
        <w:ind w:left="3" w:right="2659" w:firstLine="378"/>
        <w:spacing w:after="0"/>
        <w:rPr>
          <w:sz w:val="20"/>
          <w:szCs w:val="20"/>
          <w:color w:val="auto"/>
        </w:rPr>
      </w:pPr>
      <w:r>
        <w:rPr>
          <w:rFonts w:ascii="Courier New" w:cs="Courier New" w:eastAsia="Courier New" w:hAnsi="Courier New"/>
          <w:sz w:val="16"/>
          <w:szCs w:val="16"/>
          <w:color w:val="auto"/>
        </w:rPr>
        <w:t>This Post-Effective Amendment No. 1 to Registration Statement 333-4521 (the "Registration Statement") is filed in accordance with the undertakings of The Toro Company (the "Company") contained in Item 17 to the Registration Statement. The purpose of this Post-Effective Amendment No. 1 is to amend the Selling Stockholders table set forth pursuant to Item 7 of the Registration Statement to reflect the transfer of shares of Common Stock, $1.00 par value per share and related Preferred Share Purchase Rights (the "Shares") from individuals originally set forth on the table to individuals not originally owning any Shares. Effective as of December 31, 1996 Sue Jennings and Cynthia H. Love each transferred 275 Shares to Amber Joy Love and 275 Shares to Joshua Levi Love. Effective as of January 1, 1997 Sue Jennings and Cynthia H. Love each transferred 275 Shares to Amber Joy Love and 275 Shares to Joshua Levi Love. Amber Joy Love's Shares are beneficially owned by Cynthia H. Love as custodian for Amber Joy Love because Amber Joy Love is a minor.</w:t>
      </w:r>
    </w:p>
    <w:p>
      <w:pPr>
        <w:spacing w:after="0" w:line="191" w:lineRule="exact"/>
        <w:rPr>
          <w:sz w:val="24"/>
          <w:szCs w:val="24"/>
          <w:color w:val="auto"/>
        </w:rPr>
      </w:pPr>
    </w:p>
    <w:p>
      <w:pPr>
        <w:ind w:left="3" w:right="2659" w:firstLine="378"/>
        <w:spacing w:after="0"/>
        <w:rPr>
          <w:sz w:val="20"/>
          <w:szCs w:val="20"/>
          <w:color w:val="auto"/>
        </w:rPr>
      </w:pPr>
      <w:r>
        <w:rPr>
          <w:rFonts w:ascii="Courier New" w:cs="Courier New" w:eastAsia="Courier New" w:hAnsi="Courier New"/>
          <w:sz w:val="16"/>
          <w:szCs w:val="16"/>
          <w:color w:val="auto"/>
        </w:rPr>
        <w:t>Sue Jennings originally was issued 11,925 Shares which were subject to the Registration Statement. Giving effect to the transfers described above that amount is reduced to 10,825 Shares. Cynthia H. Love originally was issued 27,747 Shares which were subject to the Registration Statement. The transfers described above do not change such amount, however, 1,100 of such Shares are held as custodian by Cynthia H. Love for Amber Joy Love. Joshua Levi Love owns 1,100 Shares after giving effect to the transfers described above. The following table sets forth the Selling Stockholders table as amended to give effect to the transfers described above.</w:t>
      </w:r>
    </w:p>
    <w:p>
      <w:pPr>
        <w:spacing w:after="0" w:line="188"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417" w:right="1440" w:bottom="1133" w:gutter="0" w:footer="0" w:header="0"/>
        </w:sectPr>
      </w:pPr>
    </w:p>
    <w:bookmarkStart w:id="1" w:name="page2"/>
    <w:bookmarkEnd w:id="1"/>
    <w:tbl>
      <w:tblPr>
        <w:tblLayout w:type="fixed"/>
        <w:tblInd w:w="3" w:type="dxa"/>
        <w:tblCellMar>
          <w:top w:w="0" w:type="dxa"/>
          <w:left w:w="0" w:type="dxa"/>
          <w:bottom w:w="0" w:type="dxa"/>
          <w:right w:w="0" w:type="dxa"/>
        </w:tblCellMar>
      </w:tblPr>
      <w:tr>
        <w:trPr>
          <w:trHeight w:val="181"/>
        </w:trPr>
        <w:tc>
          <w:tcPr>
            <w:tcW w:w="7760" w:type="dxa"/>
            <w:vAlign w:val="bottom"/>
          </w:tcPr>
          <w:p>
            <w:pPr>
              <w:spacing w:after="0"/>
              <w:rPr>
                <w:sz w:val="15"/>
                <w:szCs w:val="15"/>
                <w:color w:val="auto"/>
              </w:rPr>
            </w:pPr>
          </w:p>
        </w:tc>
        <w:tc>
          <w:tcPr>
            <w:tcW w:w="23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NUMBER OF SHARES OWNED</w:t>
            </w: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w w:val="97"/>
              </w:rPr>
              <w:t>AMOUNT TO BE</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NAMES OF STOCKHOLDERS</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PRIOR TO OFFERING</w:t>
            </w:r>
          </w:p>
        </w:tc>
        <w:tc>
          <w:tcPr>
            <w:tcW w:w="14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OFFERED</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760" w:type="dxa"/>
            <w:vAlign w:val="bottom"/>
          </w:tcPr>
          <w:p>
            <w:pPr>
              <w:spacing w:after="0"/>
              <w:rPr>
                <w:sz w:val="20"/>
                <w:szCs w:val="20"/>
                <w:color w:val="auto"/>
              </w:rPr>
            </w:pPr>
            <w:r>
              <w:rPr>
                <w:rFonts w:ascii="Courier New" w:cs="Courier New" w:eastAsia="Courier New" w:hAnsi="Courier New"/>
                <w:sz w:val="16"/>
                <w:szCs w:val="16"/>
                <w:color w:val="auto"/>
              </w:rPr>
              <w:t>Cynthia H. Love(1)(2)...........................................................</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27,747</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27,747</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Mark Breeding(3)................................................................</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18,887</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18,887</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Sue Jennings(4).................................................................</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11,925</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10,825</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Todd E. Scott...................................................................</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Jay Beckett.....................................................................</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Loreto Abellera.................................................................</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666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William A. Fahey(5).............................................................</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1,465</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1,465</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Charles Childress(6)............................................................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Robert E. King(6)...............................................................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Murphy Rhoads...................................................................</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399</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399</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Paul Sorrels....................................................................</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2,331</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2,331</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Jeff Stewart(7).................................................................</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666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Jim Blagg(8)....................................................................</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666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 C. Causey(6).................................................................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1,512</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David Smith(6)..................................................................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266</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266</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Mark Shapiro....................................................................</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Robert H. Deegan(6).............................................................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Mark L. Stockdale(6)............................................................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Jay Scott Embry(6)..............................................................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Matthew Fahey(6)................................................................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Mary L. Ondrusek(6).............................................................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133</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Steven Kahla(6).................................................................</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399</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399</w:t>
            </w:r>
          </w:p>
        </w:tc>
      </w:tr>
      <w:tr>
        <w:trPr>
          <w:trHeight w:val="182"/>
        </w:trPr>
        <w:tc>
          <w:tcPr>
            <w:tcW w:w="7760" w:type="dxa"/>
            <w:vAlign w:val="bottom"/>
          </w:tcPr>
          <w:p>
            <w:pPr>
              <w:spacing w:after="0"/>
              <w:rPr>
                <w:sz w:val="20"/>
                <w:szCs w:val="20"/>
                <w:color w:val="auto"/>
              </w:rPr>
            </w:pPr>
            <w:r>
              <w:rPr>
                <w:rFonts w:ascii="Courier New" w:cs="Courier New" w:eastAsia="Courier New" w:hAnsi="Courier New"/>
                <w:sz w:val="16"/>
                <w:szCs w:val="16"/>
                <w:color w:val="auto"/>
              </w:rPr>
              <w:t>Joshua Levi Love(9).............................................................</w:t>
            </w:r>
          </w:p>
        </w:tc>
        <w:tc>
          <w:tcPr>
            <w:tcW w:w="23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1,100</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3" w:right="4060" w:firstLine="378"/>
        <w:spacing w:after="0" w:line="239" w:lineRule="auto"/>
        <w:rPr>
          <w:sz w:val="20"/>
          <w:szCs w:val="20"/>
          <w:color w:val="auto"/>
        </w:rPr>
      </w:pPr>
      <w:r>
        <w:rPr>
          <w:rFonts w:ascii="Courier New" w:cs="Courier New" w:eastAsia="Courier New" w:hAnsi="Courier New"/>
          <w:sz w:val="16"/>
          <w:szCs w:val="16"/>
          <w:color w:val="auto"/>
        </w:rPr>
        <w:t>Assuming each Selling Stockholder sells all of the Shares registered on his or her behalf pursuant to the Registration Statement, no Selling Stockholder (other than J.C. Causey as to the 846 shares not subject to the offering unless such shares are otherwise sold) would own any shares of the Company after completion of such an offering.</w:t>
      </w:r>
    </w:p>
    <w:p>
      <w:pPr>
        <w:spacing w:after="0" w:line="189" w:lineRule="exact"/>
        <w:rPr>
          <w:sz w:val="20"/>
          <w:szCs w:val="20"/>
          <w:color w:val="auto"/>
        </w:rPr>
      </w:pPr>
    </w:p>
    <w:p>
      <w:pPr>
        <w:ind w:left="383" w:right="3960" w:hanging="383"/>
        <w:spacing w:after="0" w:line="238"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Cynthia H. Love was the Chairman of the Board of ICSS until the merger of NTN into ICSS. She is currently employed by the Company. Prior to the merger of NTN into ICSS, she owned 40.9% of the ICSS common stock.</w:t>
      </w:r>
    </w:p>
    <w:p>
      <w:pPr>
        <w:spacing w:after="0" w:line="188" w:lineRule="exact"/>
        <w:rPr>
          <w:rFonts w:ascii="Courier New" w:cs="Courier New" w:eastAsia="Courier New" w:hAnsi="Courier New"/>
          <w:sz w:val="16"/>
          <w:szCs w:val="16"/>
          <w:color w:val="auto"/>
        </w:rPr>
      </w:pPr>
    </w:p>
    <w:p>
      <w:pPr>
        <w:ind w:left="383" w:right="3960"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1,100 Shares Cynthia H. Love holds as custodian for Amber Joy Love, a minor.</w:t>
      </w:r>
    </w:p>
    <w:p>
      <w:pPr>
        <w:spacing w:after="0" w:line="187" w:lineRule="exact"/>
        <w:rPr>
          <w:rFonts w:ascii="Courier New" w:cs="Courier New" w:eastAsia="Courier New" w:hAnsi="Courier New"/>
          <w:sz w:val="16"/>
          <w:szCs w:val="16"/>
          <w:color w:val="auto"/>
        </w:rPr>
      </w:pPr>
    </w:p>
    <w:p>
      <w:pPr>
        <w:ind w:left="383" w:right="4060" w:hanging="383"/>
        <w:spacing w:after="0" w:line="238"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 Breeding was the Chief Executive Officer of ICSS until the merger of NTN into ICSS. He is currently employed by ICSS. Prior to the merger of NTN into ICSS, he owned 27.9% of the ICSS common stock.</w:t>
      </w:r>
    </w:p>
    <w:p>
      <w:pPr>
        <w:spacing w:after="0" w:line="188" w:lineRule="exact"/>
        <w:rPr>
          <w:rFonts w:ascii="Courier New" w:cs="Courier New" w:eastAsia="Courier New" w:hAnsi="Courier New"/>
          <w:sz w:val="16"/>
          <w:szCs w:val="16"/>
          <w:color w:val="auto"/>
        </w:rPr>
      </w:pPr>
    </w:p>
    <w:p>
      <w:pPr>
        <w:ind w:left="383" w:right="4060"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merger of NTN into ICSS, Sue Jennings owned 17.62% of the ICSS common stock.</w:t>
      </w:r>
    </w:p>
    <w:p>
      <w:pPr>
        <w:spacing w:after="0" w:line="187" w:lineRule="exact"/>
        <w:rPr>
          <w:rFonts w:ascii="Courier New" w:cs="Courier New" w:eastAsia="Courier New" w:hAnsi="Courier New"/>
          <w:sz w:val="16"/>
          <w:szCs w:val="16"/>
          <w:color w:val="auto"/>
        </w:rPr>
      </w:pPr>
    </w:p>
    <w:p>
      <w:pPr>
        <w:ind w:left="383" w:right="4140"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William A. Fahey was a Vice President of ICSS until the merger of NTN into ICSS. He is currently employed by ICSS.</w:t>
      </w:r>
    </w:p>
    <w:p>
      <w:pPr>
        <w:spacing w:after="0" w:line="187" w:lineRule="exact"/>
        <w:rPr>
          <w:rFonts w:ascii="Courier New" w:cs="Courier New" w:eastAsia="Courier New" w:hAnsi="Courier New"/>
          <w:sz w:val="16"/>
          <w:szCs w:val="16"/>
          <w:color w:val="auto"/>
        </w:rPr>
      </w:pPr>
    </w:p>
    <w:p>
      <w:pPr>
        <w:ind w:left="383" w:right="4140"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an employee of ICSS prior to the merger of NTN into ICSS and continues to be an employee of ICSS.</w:t>
      </w:r>
    </w:p>
    <w:p>
      <w:pPr>
        <w:spacing w:after="0" w:line="187" w:lineRule="exact"/>
        <w:rPr>
          <w:rFonts w:ascii="Courier New" w:cs="Courier New" w:eastAsia="Courier New" w:hAnsi="Courier New"/>
          <w:sz w:val="16"/>
          <w:szCs w:val="16"/>
          <w:color w:val="auto"/>
        </w:rPr>
      </w:pPr>
    </w:p>
    <w:p>
      <w:pPr>
        <w:ind w:left="383" w:right="3960"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Jeff Stewart was the Chief Financial Officer of ICSS until the merger of NTN into ICSS. He is currently employed by ICSS.</w:t>
      </w:r>
    </w:p>
    <w:p>
      <w:pPr>
        <w:spacing w:after="0" w:line="187" w:lineRule="exact"/>
        <w:rPr>
          <w:rFonts w:ascii="Courier New" w:cs="Courier New" w:eastAsia="Courier New" w:hAnsi="Courier New"/>
          <w:sz w:val="16"/>
          <w:szCs w:val="16"/>
          <w:color w:val="auto"/>
        </w:rPr>
      </w:pPr>
    </w:p>
    <w:p>
      <w:pPr>
        <w:ind w:left="383" w:right="4060"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Jim Blagg was a Vice President of ICSS until the merge of NTN into ICSS. He is currently employed by ICSS.</w:t>
      </w:r>
    </w:p>
    <w:p>
      <w:pPr>
        <w:spacing w:after="0" w:line="187" w:lineRule="exact"/>
        <w:rPr>
          <w:rFonts w:ascii="Courier New" w:cs="Courier New" w:eastAsia="Courier New" w:hAnsi="Courier New"/>
          <w:sz w:val="16"/>
          <w:szCs w:val="16"/>
          <w:color w:val="auto"/>
        </w:rPr>
      </w:pPr>
    </w:p>
    <w:p>
      <w:pPr>
        <w:jc w:val="both"/>
        <w:ind w:left="383" w:right="4140" w:hanging="383"/>
        <w:spacing w:after="0" w:line="238"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275 Shares as a gift from Sue Jennings and Cynthia H. Love, each, effective December 31, 1996 and 275 Shares as a gift from Sue Jennings and Cynthia H. Love, each, effective January 1, 1997.</w:t>
      </w:r>
    </w:p>
    <w:p>
      <w:pPr>
        <w:sectPr>
          <w:pgSz w:w="11900" w:h="16838" w:orient="portrait"/>
          <w:cols w:equalWidth="0" w:num="1">
            <w:col w:w="11523"/>
          </w:cols>
          <w:pgMar w:left="237" w:top="1023" w:right="139" w:bottom="1440" w:gutter="0" w:footer="0" w:header="0"/>
        </w:sectPr>
      </w:pPr>
    </w:p>
    <w:bookmarkStart w:id="2" w:name="page3"/>
    <w:bookmarkEnd w:id="2"/>
    <w:p>
      <w:pPr>
        <w:ind w:left="3303"/>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left="3" w:right="2659" w:firstLine="378"/>
        <w:spacing w:after="0" w:line="239" w:lineRule="auto"/>
        <w:rPr>
          <w:sz w:val="20"/>
          <w:szCs w:val="20"/>
          <w:color w:val="auto"/>
        </w:rPr>
      </w:pPr>
      <w:r>
        <w:rPr>
          <w:rFonts w:ascii="Courier New" w:cs="Courier New" w:eastAsia="Courier New" w:hAnsi="Courier New"/>
          <w:sz w:val="16"/>
          <w:szCs w:val="16"/>
          <w:color w:val="auto"/>
        </w:rPr>
        <w:t>Pursuant to the requirements of the Securities Act of 1933, The Toro Company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Bloomington, State of Minnesota, on this 3rd day of February, 1997.</w:t>
      </w:r>
    </w:p>
    <w:p>
      <w:pPr>
        <w:spacing w:after="0" w:line="186"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THE TORO COMPANY</w:t>
      </w:r>
    </w:p>
    <w:p>
      <w:pPr>
        <w:sectPr>
          <w:pgSz w:w="11900" w:h="16838" w:orient="portrait"/>
          <w:cols w:equalWidth="0" w:num="1">
            <w:col w:w="10222"/>
          </w:cols>
          <w:pgMar w:left="237" w:top="477" w:right="1440" w:bottom="1440" w:gutter="0" w:footer="0" w:header="0"/>
        </w:sectPr>
      </w:pPr>
    </w:p>
    <w:p>
      <w:pPr>
        <w:spacing w:after="0" w:line="183"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LAWRENCE MCINTYRE</w:t>
      </w:r>
    </w:p>
    <w:p>
      <w:pPr>
        <w:spacing w:after="0" w:line="193" w:lineRule="exact"/>
        <w:rPr>
          <w:sz w:val="20"/>
          <w:szCs w:val="20"/>
          <w:color w:val="auto"/>
        </w:rPr>
      </w:pPr>
    </w:p>
    <w:p>
      <w:pPr>
        <w:sectPr>
          <w:pgSz w:w="11900" w:h="16838" w:orient="portrait"/>
          <w:cols w:equalWidth="0" w:num="3">
            <w:col w:w="4163" w:space="560"/>
            <w:col w:w="280" w:space="200"/>
            <w:col w:w="5019"/>
          </w:cols>
          <w:pgMar w:left="237" w:top="477" w:right="1440" w:bottom="1440" w:gutter="0" w:footer="0" w:header="0"/>
          <w:type w:val="continuous"/>
        </w:sectPr>
      </w:pPr>
    </w:p>
    <w:p>
      <w:pPr>
        <w:ind w:left="416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923"/>
        <w:spacing w:after="0"/>
        <w:rPr>
          <w:sz w:val="20"/>
          <w:szCs w:val="20"/>
          <w:color w:val="auto"/>
        </w:rPr>
      </w:pPr>
      <w:r>
        <w:rPr>
          <w:rFonts w:ascii="Courier New" w:cs="Courier New" w:eastAsia="Courier New" w:hAnsi="Courier New"/>
          <w:sz w:val="16"/>
          <w:szCs w:val="16"/>
          <w:color w:val="auto"/>
        </w:rPr>
        <w:t>J. Lawrence McIntyre</w:t>
      </w:r>
    </w:p>
    <w:p>
      <w:pPr>
        <w:spacing w:after="0" w:line="1" w:lineRule="exact"/>
        <w:rPr>
          <w:sz w:val="20"/>
          <w:szCs w:val="20"/>
          <w:color w:val="auto"/>
        </w:rPr>
      </w:pPr>
    </w:p>
    <w:p>
      <w:pPr>
        <w:ind w:left="4443"/>
        <w:spacing w:after="0"/>
        <w:rPr>
          <w:sz w:val="20"/>
          <w:szCs w:val="20"/>
          <w:color w:val="auto"/>
        </w:rPr>
      </w:pPr>
      <w:r>
        <w:rPr>
          <w:rFonts w:ascii="Courier New" w:cs="Courier New" w:eastAsia="Courier New" w:hAnsi="Courier New"/>
          <w:sz w:val="16"/>
          <w:szCs w:val="16"/>
          <w:color w:val="auto"/>
        </w:rPr>
        <w:t>VICE PRESIDENT, SECRETARY AND</w:t>
      </w:r>
    </w:p>
    <w:p>
      <w:pPr>
        <w:spacing w:after="0" w:line="1" w:lineRule="exact"/>
        <w:rPr>
          <w:sz w:val="20"/>
          <w:szCs w:val="20"/>
          <w:color w:val="auto"/>
        </w:rPr>
      </w:pPr>
    </w:p>
    <w:p>
      <w:pPr>
        <w:ind w:left="5203"/>
        <w:spacing w:after="0"/>
        <w:rPr>
          <w:sz w:val="20"/>
          <w:szCs w:val="20"/>
          <w:color w:val="auto"/>
        </w:rPr>
      </w:pPr>
      <w:r>
        <w:rPr>
          <w:rFonts w:ascii="Courier New" w:cs="Courier New" w:eastAsia="Courier New" w:hAnsi="Courier New"/>
          <w:sz w:val="16"/>
          <w:szCs w:val="16"/>
          <w:color w:val="auto"/>
        </w:rPr>
        <w:t>GENERAL COUNSEL</w:t>
      </w:r>
    </w:p>
    <w:p>
      <w:pPr>
        <w:sectPr>
          <w:pgSz w:w="11900" w:h="16838" w:orient="portrait"/>
          <w:cols w:equalWidth="0" w:num="1">
            <w:col w:w="10222"/>
          </w:cols>
          <w:pgMar w:left="237" w:top="477" w:right="1440" w:bottom="1440" w:gutter="0" w:footer="0" w:header="0"/>
          <w:type w:val="continuous"/>
        </w:sectPr>
      </w:pPr>
    </w:p>
    <w:p>
      <w:pPr>
        <w:spacing w:after="0" w:line="186" w:lineRule="exact"/>
        <w:rPr>
          <w:sz w:val="20"/>
          <w:szCs w:val="20"/>
          <w:color w:val="auto"/>
        </w:rPr>
      </w:pPr>
    </w:p>
    <w:p>
      <w:pPr>
        <w:ind w:left="3" w:right="3039" w:firstLine="378"/>
        <w:spacing w:after="0" w:line="238"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0222"/>
          </w:cols>
          <w:pgMar w:left="237" w:top="477" w:right="1440" w:bottom="1440" w:gutter="0" w:footer="0" w:header="0"/>
          <w:type w:val="continuous"/>
        </w:sectPr>
      </w:pPr>
    </w:p>
    <w:p>
      <w:pPr>
        <w:spacing w:after="0" w:line="184"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Kendrick B. Melrose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Chief Executive Officer</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 Director</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3, 1997</w:t>
      </w:r>
    </w:p>
    <w:p>
      <w:pPr>
        <w:spacing w:after="0" w:line="372" w:lineRule="exact"/>
        <w:rPr>
          <w:sz w:val="20"/>
          <w:szCs w:val="20"/>
          <w:color w:val="auto"/>
        </w:rPr>
      </w:pPr>
    </w:p>
    <w:p>
      <w:pPr>
        <w:sectPr>
          <w:pgSz w:w="11900" w:h="16838" w:orient="portrait"/>
          <w:cols w:equalWidth="0" w:num="3">
            <w:col w:w="3023" w:space="0"/>
            <w:col w:w="2560" w:space="380"/>
            <w:col w:w="4259"/>
          </w:cols>
          <w:pgMar w:left="237" w:top="477" w:right="1440" w:bottom="1440" w:gutter="0" w:footer="0" w:header="0"/>
          <w:type w:val="continuous"/>
        </w:sect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477" w:right="1440" w:bottom="1440" w:gutter="0" w:footer="0" w:header="0"/>
          <w:type w:val="continuous"/>
        </w:sectPr>
      </w:pPr>
    </w:p>
    <w:p>
      <w:pPr>
        <w:spacing w:after="0" w:line="5" w:lineRule="exact"/>
        <w:rPr>
          <w:sz w:val="20"/>
          <w:szCs w:val="20"/>
          <w:color w:val="auto"/>
        </w:rPr>
      </w:pPr>
    </w:p>
    <w:p>
      <w:pPr>
        <w:ind w:left="663" w:hanging="661"/>
        <w:spacing w:after="0" w:line="237" w:lineRule="auto"/>
        <w:rPr>
          <w:sz w:val="20"/>
          <w:szCs w:val="20"/>
          <w:color w:val="auto"/>
        </w:rPr>
      </w:pPr>
      <w:r>
        <w:rPr>
          <w:rFonts w:ascii="Courier New" w:cs="Courier New" w:eastAsia="Courier New" w:hAnsi="Courier New"/>
          <w:sz w:val="16"/>
          <w:szCs w:val="16"/>
          <w:color w:val="auto"/>
        </w:rPr>
        <w:t>- ------------------------------ Gerald T. Knight</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Courier New" w:cs="Courier New" w:eastAsia="Courier New" w:hAnsi="Courier New"/>
          <w:sz w:val="15"/>
          <w:szCs w:val="15"/>
          <w:color w:val="auto"/>
        </w:rPr>
        <w:t>Vice President Finance, 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3, 1997</w:t>
      </w:r>
    </w:p>
    <w:p>
      <w:pPr>
        <w:spacing w:after="0" w:line="372" w:lineRule="exact"/>
        <w:rPr>
          <w:sz w:val="20"/>
          <w:szCs w:val="20"/>
          <w:color w:val="auto"/>
        </w:rPr>
      </w:pPr>
    </w:p>
    <w:p>
      <w:pPr>
        <w:sectPr>
          <w:pgSz w:w="11900" w:h="16838" w:orient="portrait"/>
          <w:cols w:equalWidth="0" w:num="3">
            <w:col w:w="3023" w:space="200"/>
            <w:col w:w="2160" w:space="580"/>
            <w:col w:w="4259"/>
          </w:cols>
          <w:pgMar w:left="237" w:top="477" w:right="1440" w:bottom="1440" w:gutter="0" w:footer="0" w:header="0"/>
          <w:type w:val="continuous"/>
        </w:sect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477" w:right="1440" w:bottom="1440" w:gutter="0" w:footer="0" w:header="0"/>
          <w:type w:val="continuous"/>
        </w:sectPr>
      </w:pPr>
    </w:p>
    <w:p>
      <w:pPr>
        <w:spacing w:after="0" w:line="5" w:lineRule="exact"/>
        <w:rPr>
          <w:sz w:val="20"/>
          <w:szCs w:val="20"/>
          <w:color w:val="auto"/>
        </w:rPr>
      </w:pPr>
    </w:p>
    <w:p>
      <w:pPr>
        <w:ind w:left="763" w:hanging="756"/>
        <w:spacing w:after="0" w:line="237" w:lineRule="auto"/>
        <w:rPr>
          <w:sz w:val="20"/>
          <w:szCs w:val="20"/>
          <w:color w:val="auto"/>
        </w:rPr>
      </w:pPr>
      <w:r>
        <w:rPr>
          <w:rFonts w:ascii="Courier New" w:cs="Courier New" w:eastAsia="Courier New" w:hAnsi="Courier New"/>
          <w:sz w:val="16"/>
          <w:szCs w:val="16"/>
          <w:color w:val="auto"/>
        </w:rPr>
        <w:t>- ------------------------------ Randy B. James</w:t>
      </w:r>
    </w:p>
    <w:p>
      <w:pPr>
        <w:spacing w:after="0" w:line="20" w:lineRule="exact"/>
        <w:rPr>
          <w:sz w:val="20"/>
          <w:szCs w:val="20"/>
          <w:color w:val="auto"/>
        </w:rPr>
      </w:pPr>
      <w:r>
        <w:rPr>
          <w:sz w:val="20"/>
          <w:szCs w:val="20"/>
          <w:color w:val="auto"/>
        </w:rPr>
        <w:br w:type="column"/>
      </w:r>
    </w:p>
    <w:p>
      <w:pPr>
        <w:ind w:right="320"/>
        <w:spacing w:after="0" w:line="237" w:lineRule="auto"/>
        <w:rPr>
          <w:sz w:val="20"/>
          <w:szCs w:val="20"/>
          <w:color w:val="auto"/>
        </w:rPr>
      </w:pPr>
      <w:r>
        <w:rPr>
          <w:rFonts w:ascii="Courier New" w:cs="Courier New" w:eastAsia="Courier New" w:hAnsi="Courier New"/>
          <w:sz w:val="16"/>
          <w:szCs w:val="16"/>
          <w:color w:val="auto"/>
        </w:rPr>
        <w:t>Vice President and Controller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3, 1997</w:t>
      </w:r>
    </w:p>
    <w:p>
      <w:pPr>
        <w:spacing w:after="0" w:line="372" w:lineRule="exact"/>
        <w:rPr>
          <w:sz w:val="20"/>
          <w:szCs w:val="20"/>
          <w:color w:val="auto"/>
        </w:rPr>
      </w:pPr>
    </w:p>
    <w:p>
      <w:pPr>
        <w:sectPr>
          <w:pgSz w:w="11900" w:h="16838" w:orient="portrait"/>
          <w:cols w:equalWidth="0" w:num="3">
            <w:col w:w="3023" w:space="200"/>
            <w:col w:w="2020" w:space="720"/>
            <w:col w:w="4259"/>
          </w:cols>
          <w:pgMar w:left="237" w:top="477" w:right="1440" w:bottom="1440" w:gutter="0" w:footer="0" w:header="0"/>
          <w:type w:val="continuous"/>
        </w:sect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477" w:right="1440" w:bottom="1440"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477" w:right="1440" w:bottom="1440" w:gutter="0" w:footer="0" w:header="0"/>
          <w:type w:val="continuous"/>
        </w:sectPr>
      </w:pPr>
    </w:p>
    <w:p>
      <w:pPr>
        <w:ind w:left="663"/>
        <w:spacing w:after="0"/>
        <w:rPr>
          <w:sz w:val="20"/>
          <w:szCs w:val="20"/>
          <w:color w:val="auto"/>
        </w:rPr>
      </w:pPr>
      <w:r>
        <w:rPr>
          <w:rFonts w:ascii="Courier New" w:cs="Courier New" w:eastAsia="Courier New" w:hAnsi="Courier New"/>
          <w:sz w:val="15"/>
          <w:szCs w:val="15"/>
          <w:color w:val="auto"/>
        </w:rPr>
        <w:t>Ronald O. Baukol</w:t>
      </w:r>
    </w:p>
    <w:p>
      <w:pPr>
        <w:spacing w:after="0" w:line="190"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477" w:right="1440" w:bottom="1440"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477" w:right="1440" w:bottom="1440" w:gutter="0" w:footer="0" w:header="0"/>
          <w:type w:val="continuous"/>
        </w:sectPr>
      </w:pPr>
    </w:p>
    <w:p>
      <w:pPr>
        <w:ind w:left="463"/>
        <w:spacing w:after="0"/>
        <w:rPr>
          <w:sz w:val="20"/>
          <w:szCs w:val="20"/>
          <w:color w:val="auto"/>
        </w:rPr>
      </w:pPr>
      <w:r>
        <w:rPr>
          <w:rFonts w:ascii="Courier New" w:cs="Courier New" w:eastAsia="Courier New" w:hAnsi="Courier New"/>
          <w:sz w:val="15"/>
          <w:szCs w:val="15"/>
          <w:color w:val="auto"/>
        </w:rPr>
        <w:t>Robert C. Buhrmaster</w:t>
      </w:r>
    </w:p>
    <w:p>
      <w:pPr>
        <w:spacing w:after="0" w:line="190"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477" w:right="1440" w:bottom="1440"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477" w:right="1440" w:bottom="1440" w:gutter="0" w:footer="0" w:header="0"/>
          <w:type w:val="continuous"/>
        </w:sectPr>
      </w:pPr>
    </w:p>
    <w:p>
      <w:pPr>
        <w:jc w:val="center"/>
        <w:ind w:right="7476"/>
        <w:spacing w:after="0"/>
        <w:rPr>
          <w:sz w:val="20"/>
          <w:szCs w:val="20"/>
          <w:color w:val="auto"/>
        </w:rPr>
      </w:pPr>
      <w:r>
        <w:rPr>
          <w:rFonts w:ascii="Courier New" w:cs="Courier New" w:eastAsia="Courier New" w:hAnsi="Courier New"/>
          <w:sz w:val="15"/>
          <w:szCs w:val="15"/>
          <w:color w:val="auto"/>
        </w:rPr>
        <w:t>Janet K. Cooper</w:t>
      </w:r>
    </w:p>
    <w:p>
      <w:pPr>
        <w:spacing w:after="0" w:line="190"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477" w:right="1440" w:bottom="1440"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477" w:right="1440" w:bottom="1440" w:gutter="0" w:footer="0" w:header="0"/>
          <w:type w:val="continuous"/>
        </w:sectPr>
      </w:pPr>
    </w:p>
    <w:p>
      <w:pPr>
        <w:jc w:val="center"/>
        <w:ind w:right="7476"/>
        <w:spacing w:after="0"/>
        <w:rPr>
          <w:sz w:val="20"/>
          <w:szCs w:val="20"/>
          <w:color w:val="auto"/>
        </w:rPr>
      </w:pPr>
      <w:r>
        <w:rPr>
          <w:rFonts w:ascii="Courier New" w:cs="Courier New" w:eastAsia="Courier New" w:hAnsi="Courier New"/>
          <w:sz w:val="15"/>
          <w:szCs w:val="15"/>
          <w:color w:val="auto"/>
        </w:rPr>
        <w:t>Alex A. Meyer</w:t>
      </w:r>
    </w:p>
    <w:p>
      <w:pPr>
        <w:spacing w:after="0" w:line="190"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477" w:right="1440" w:bottom="1440"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477" w:right="1440" w:bottom="1440" w:gutter="0" w:footer="0" w:header="0"/>
          <w:type w:val="continuous"/>
        </w:sectPr>
      </w:pPr>
    </w:p>
    <w:p>
      <w:pPr>
        <w:ind w:left="663"/>
        <w:spacing w:after="0"/>
        <w:rPr>
          <w:sz w:val="20"/>
          <w:szCs w:val="20"/>
          <w:color w:val="auto"/>
        </w:rPr>
      </w:pPr>
      <w:r>
        <w:rPr>
          <w:rFonts w:ascii="Courier New" w:cs="Courier New" w:eastAsia="Courier New" w:hAnsi="Courier New"/>
          <w:sz w:val="15"/>
          <w:szCs w:val="15"/>
          <w:color w:val="auto"/>
        </w:rPr>
        <w:t>Robert H. Nassau</w:t>
      </w:r>
    </w:p>
    <w:p>
      <w:pPr>
        <w:spacing w:after="0" w:line="190"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477" w:right="1440" w:bottom="1440"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3, 1997</w:t>
      </w:r>
    </w:p>
    <w:p>
      <w:pPr>
        <w:spacing w:after="0" w:line="12" w:lineRule="exact"/>
        <w:rPr>
          <w:sz w:val="20"/>
          <w:szCs w:val="20"/>
          <w:color w:val="auto"/>
        </w:rPr>
      </w:pPr>
    </w:p>
    <w:p>
      <w:pPr>
        <w:sectPr>
          <w:pgSz w:w="11900" w:h="16838" w:orient="portrait"/>
          <w:cols w:equalWidth="0" w:num="3">
            <w:col w:w="3023" w:space="200"/>
            <w:col w:w="2020" w:space="720"/>
            <w:col w:w="4259"/>
          </w:cols>
          <w:pgMar w:left="237" w:top="477" w:right="1440" w:bottom="1440" w:gutter="0" w:footer="0" w:header="0"/>
          <w:type w:val="continuous"/>
        </w:sectPr>
      </w:pPr>
    </w:p>
    <w:p>
      <w:pPr>
        <w:ind w:left="763"/>
        <w:spacing w:after="0"/>
        <w:rPr>
          <w:sz w:val="20"/>
          <w:szCs w:val="20"/>
          <w:color w:val="auto"/>
        </w:rPr>
      </w:pPr>
      <w:r>
        <w:rPr>
          <w:rFonts w:ascii="Courier New" w:cs="Courier New" w:eastAsia="Courier New" w:hAnsi="Courier New"/>
          <w:sz w:val="15"/>
          <w:szCs w:val="15"/>
          <w:color w:val="auto"/>
        </w:rPr>
        <w:t>Dale R. Olseth</w:t>
      </w:r>
    </w:p>
    <w:p>
      <w:pPr>
        <w:spacing w:after="0" w:line="190"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477" w:right="1440" w:bottom="1440" w:gutter="0" w:footer="0" w:header="0"/>
          <w:type w:val="continuous"/>
        </w:sectPr>
      </w:pP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3, 1997</w:t>
      </w:r>
    </w:p>
    <w:p>
      <w:pPr>
        <w:spacing w:after="0" w:line="8" w:lineRule="exact"/>
        <w:rPr>
          <w:sz w:val="20"/>
          <w:szCs w:val="20"/>
          <w:color w:val="auto"/>
        </w:rPr>
      </w:pPr>
    </w:p>
    <w:p>
      <w:pPr>
        <w:sectPr>
          <w:pgSz w:w="11900" w:h="16838" w:orient="portrait"/>
          <w:cols w:equalWidth="0" w:num="3">
            <w:col w:w="3023" w:space="200"/>
            <w:col w:w="2020" w:space="720"/>
            <w:col w:w="4259"/>
          </w:cols>
          <w:pgMar w:left="237" w:top="477" w:right="1440" w:bottom="1440" w:gutter="0" w:footer="0" w:header="0"/>
          <w:type w:val="continuous"/>
        </w:sectPr>
      </w:pPr>
    </w:p>
    <w:p>
      <w:pPr>
        <w:jc w:val="center"/>
        <w:ind w:right="7396"/>
        <w:spacing w:after="0"/>
        <w:rPr>
          <w:sz w:val="20"/>
          <w:szCs w:val="20"/>
          <w:color w:val="auto"/>
        </w:rPr>
      </w:pPr>
      <w:r>
        <w:rPr>
          <w:rFonts w:ascii="Courier New" w:cs="Courier New" w:eastAsia="Courier New" w:hAnsi="Courier New"/>
          <w:sz w:val="16"/>
          <w:szCs w:val="16"/>
          <w:color w:val="auto"/>
        </w:rPr>
        <w:t>Edwin H. Wingate</w:t>
      </w:r>
    </w:p>
    <w:p>
      <w:pPr>
        <w:spacing w:after="0" w:line="183" w:lineRule="exact"/>
        <w:rPr>
          <w:sz w:val="20"/>
          <w:szCs w:val="20"/>
          <w:color w:val="auto"/>
        </w:rPr>
      </w:pPr>
    </w:p>
    <w:p>
      <w:pPr>
        <w:jc w:val="center"/>
        <w:ind w:right="7396"/>
        <w:spacing w:after="0"/>
        <w:tabs>
          <w:tab w:leader="none" w:pos="7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 LAWRENCE</w:t>
      </w:r>
    </w:p>
    <w:p>
      <w:pPr>
        <w:spacing w:after="0" w:line="1" w:lineRule="exact"/>
        <w:rPr>
          <w:sz w:val="20"/>
          <w:szCs w:val="20"/>
          <w:color w:val="auto"/>
        </w:rPr>
      </w:pPr>
    </w:p>
    <w:p>
      <w:pPr>
        <w:jc w:val="center"/>
        <w:ind w:right="7396"/>
        <w:spacing w:after="0"/>
        <w:rPr>
          <w:sz w:val="20"/>
          <w:szCs w:val="20"/>
          <w:color w:val="auto"/>
        </w:rPr>
      </w:pPr>
      <w:r>
        <w:rPr>
          <w:rFonts w:ascii="Courier New" w:cs="Courier New" w:eastAsia="Courier New" w:hAnsi="Courier New"/>
          <w:sz w:val="16"/>
          <w:szCs w:val="16"/>
          <w:color w:val="auto"/>
        </w:rPr>
        <w:t>MCINTYRE</w:t>
      </w:r>
    </w:p>
    <w:p>
      <w:pPr>
        <w:sectPr>
          <w:pgSz w:w="11900" w:h="16838" w:orient="portrait"/>
          <w:cols w:equalWidth="0" w:num="1">
            <w:col w:w="10222"/>
          </w:cols>
          <w:pgMar w:left="237" w:top="477" w:right="1440" w:bottom="1440" w:gutter="0" w:footer="0" w:header="0"/>
          <w:type w:val="continuous"/>
        </w:sectPr>
      </w:pPr>
    </w:p>
    <w:p>
      <w:pPr>
        <w:spacing w:after="0" w:line="5" w:lineRule="exact"/>
        <w:rPr>
          <w:sz w:val="20"/>
          <w:szCs w:val="20"/>
          <w:color w:val="auto"/>
        </w:rPr>
      </w:pPr>
    </w:p>
    <w:p>
      <w:pPr>
        <w:ind w:left="183" w:hanging="183"/>
        <w:spacing w:after="0"/>
        <w:tabs>
          <w:tab w:leader="none" w:pos="18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4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J. Lawrence McIntyre</w:t>
      </w:r>
    </w:p>
    <w:p>
      <w:pPr>
        <w:ind w:left="6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ATTORNEY-IN-FACT</w:t>
      </w:r>
    </w:p>
    <w:sectPr>
      <w:pgSz w:w="11900" w:h="16838" w:orient="portrait"/>
      <w:cols w:equalWidth="0" w:num="1">
        <w:col w:w="10222"/>
      </w:cols>
      <w:pgMar w:left="237" w:top="47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lvl w:ilvl="1">
      <w:lvlJc w:val="left"/>
      <w:lvlText w:val="%2"/>
      <w:numFmt w:val="upp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2019-12-13T13:57:25Z</dcterms:created>
  <dcterms:modified xsi:type="dcterms:W3CDTF">2019-12-13T13:57:25Z</dcterms:modified>
</cp:coreProperties>
</file>