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12/01/2009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29,786</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1,888.237</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12,853.433</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40.73</w:t>
            </w:r>
          </w:p>
        </w:tc>
        <w:tc>
          <w:tcPr>
            <w:tcW w:w="1140" w:type="dxa"/>
            <w:vAlign w:val="bottom"/>
          </w:tcPr>
          <w:p>
            <w:pPr>
              <w:ind w:left="260"/>
              <w:spacing w:after="0"/>
              <w:rPr>
                <w:sz w:val="20"/>
                <w:szCs w:val="20"/>
                <w:color w:val="auto"/>
              </w:rPr>
            </w:pPr>
            <w:r>
              <w:rPr>
                <w:rFonts w:ascii="Arial" w:cs="Arial" w:eastAsia="Arial" w:hAnsi="Arial"/>
                <w:sz w:val="14"/>
                <w:szCs w:val="14"/>
                <w:color w:val="0000FF"/>
              </w:rPr>
              <w:t>12/01/2009</w:t>
            </w:r>
          </w:p>
        </w:tc>
        <w:tc>
          <w:tcPr>
            <w:tcW w:w="1140" w:type="dxa"/>
            <w:vAlign w:val="bottom"/>
          </w:tcPr>
          <w:p>
            <w:pPr>
              <w:spacing w:after="0"/>
              <w:rPr>
                <w:sz w:val="21"/>
                <w:szCs w:val="21"/>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0000FF"/>
              </w:rPr>
              <w:t>8,500</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12/01/2019</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8,500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8,500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since the date of his last report:</w:t>
      </w:r>
    </w:p>
    <w:p>
      <w:pPr>
        <w:spacing w:after="0" w:line="22"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4"/>
          <w:szCs w:val="14"/>
          <w:color w:val="008000"/>
        </w:rPr>
        <w:t>9.466 shares acquired on July 10, 2009; and 7.219 shares acquired on October 19, 2009.</w:t>
      </w:r>
    </w:p>
    <w:p>
      <w:pPr>
        <w:spacing w:after="0" w:line="29"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Performance Share Units acquired by the reporting person under the dividend reinvestment feature of The Toro Company Deferred Compensation Plan for Officers since the date of his last report: 64.347 Performance Share Units acquired on July 10, 2009; and 49.315 Performance Share Units acquired on October 19, 2009.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12/02/2009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2019-12-16T23:42:21Z</dcterms:created>
  <dcterms:modified xsi:type="dcterms:W3CDTF">2019-12-16T23:42:21Z</dcterms:modified>
</cp:coreProperties>
</file>