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96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96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Happe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12/03/2008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543" w:type="dxa"/>
        <w:tblCellMar>
          <w:top w:w="0" w:type="dxa"/>
          <w:left w:w="0" w:type="dxa"/>
          <w:bottom w:w="0" w:type="dxa"/>
          <w:right w:w="0" w:type="dxa"/>
        </w:tblCellMar>
      </w:tblPr>
      <w:tr>
        <w:trPr>
          <w:trHeight w:val="16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14"/>
                <w:szCs w:val="14"/>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63"/>
        <w:spacing w:after="0"/>
        <w:rPr>
          <w:sz w:val="20"/>
          <w:szCs w:val="20"/>
          <w:color w:val="auto"/>
        </w:rPr>
      </w:pPr>
      <w:r>
        <w:rPr>
          <w:rFonts w:ascii="Arial" w:cs="Arial" w:eastAsia="Arial" w:hAnsi="Arial"/>
          <w:sz w:val="16"/>
          <w:szCs w:val="16"/>
          <w:color w:val="0000FF"/>
        </w:rPr>
        <w:t>General Manager, Commercial</w:t>
      </w:r>
    </w:p>
    <w:p>
      <w:pPr>
        <w:spacing w:after="0" w:line="33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The Toro</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ind w:left="180"/>
              <w:spacing w:after="0" w:line="217" w:lineRule="exact"/>
              <w:rPr>
                <w:sz w:val="20"/>
                <w:szCs w:val="20"/>
                <w:color w:val="auto"/>
              </w:rPr>
            </w:pPr>
            <w:r>
              <w:rPr>
                <w:rFonts w:ascii="Arial" w:cs="Arial" w:eastAsia="Arial" w:hAnsi="Arial"/>
                <w:sz w:val="18"/>
                <w:szCs w:val="18"/>
                <w:color w:val="0000FF"/>
                <w:w w:val="97"/>
              </w:rPr>
              <w:t>2,902.297</w:t>
            </w:r>
            <w:r>
              <w:rPr>
                <w:rFonts w:ascii="Arial" w:cs="Arial" w:eastAsia="Arial" w:hAnsi="Arial"/>
                <w:sz w:val="22"/>
                <w:szCs w:val="22"/>
                <w:color w:val="008000"/>
                <w:w w:val="97"/>
                <w:vertAlign w:val="superscript"/>
              </w:rPr>
              <w:t>(1)</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w w:val="94"/>
              </w:rPr>
              <w:t>Investment,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Savings &amp;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ESOP</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28.62</w:t>
            </w:r>
          </w:p>
        </w:tc>
        <w:tc>
          <w:tcPr>
            <w:tcW w:w="1140" w:type="dxa"/>
            <w:vAlign w:val="bottom"/>
            <w:vMerge w:val="restart"/>
          </w:tcPr>
          <w:p>
            <w:pPr>
              <w:jc w:val="right"/>
              <w:ind w:right="198"/>
              <w:spacing w:after="0"/>
              <w:rPr>
                <w:sz w:val="20"/>
                <w:szCs w:val="20"/>
                <w:color w:val="auto"/>
              </w:rPr>
            </w:pPr>
            <w:r>
              <w:rPr>
                <w:rFonts w:ascii="Arial" w:cs="Arial" w:eastAsia="Arial" w:hAnsi="Arial"/>
                <w:sz w:val="14"/>
                <w:szCs w:val="14"/>
                <w:color w:val="0000FF"/>
              </w:rPr>
              <w:t>12/03/2008</w:t>
            </w:r>
          </w:p>
        </w:tc>
        <w:tc>
          <w:tcPr>
            <w:tcW w:w="1140" w:type="dxa"/>
            <w:vAlign w:val="bottom"/>
          </w:tcPr>
          <w:p>
            <w:pPr>
              <w:spacing w:after="0"/>
              <w:rPr>
                <w:sz w:val="16"/>
                <w:szCs w:val="16"/>
                <w:color w:val="auto"/>
              </w:rPr>
            </w:pPr>
          </w:p>
        </w:tc>
        <w:tc>
          <w:tcPr>
            <w:tcW w:w="82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rPr>
                <w:sz w:val="20"/>
                <w:szCs w:val="20"/>
                <w:color w:val="auto"/>
              </w:rPr>
            </w:pPr>
            <w:r>
              <w:rPr>
                <w:rFonts w:ascii="Arial" w:cs="Arial" w:eastAsia="Arial" w:hAnsi="Arial"/>
                <w:sz w:val="14"/>
                <w:szCs w:val="14"/>
                <w:color w:val="0000FF"/>
              </w:rPr>
              <w:t>7,300</w:t>
            </w: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ind w:left="80"/>
              <w:spacing w:after="0"/>
              <w:rPr>
                <w:sz w:val="20"/>
                <w:szCs w:val="20"/>
                <w:color w:val="auto"/>
              </w:rPr>
            </w:pPr>
            <w:r>
              <w:rPr>
                <w:rFonts w:ascii="Arial" w:cs="Arial" w:eastAsia="Arial" w:hAnsi="Arial"/>
                <w:sz w:val="14"/>
                <w:szCs w:val="14"/>
                <w:color w:val="0000FF"/>
                <w:w w:val="94"/>
              </w:rPr>
              <w:t>12/03/2018</w:t>
            </w: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7,300</w:t>
            </w: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rPr>
                <w:sz w:val="20"/>
                <w:szCs w:val="20"/>
                <w:color w:val="auto"/>
              </w:rPr>
            </w:pPr>
            <w:r>
              <w:rPr>
                <w:rFonts w:ascii="Arial" w:cs="Arial" w:eastAsia="Arial" w:hAnsi="Arial"/>
                <w:sz w:val="14"/>
                <w:szCs w:val="14"/>
                <w:color w:val="0000FF"/>
              </w:rPr>
              <w:t>7,300</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6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under the dividend reinvestment feature of The Toro Company Investment, Savings &amp; ESOP (IS&amp;ESOP): 8.334 shares acquired on January 11, 2008, 10.292 sharers acquired on April 11, 2008, 13.791 shares acquired on July 11, 2008 and 13.459 shares acquired on October 17, 2008. Also includes 171.295 shares of common stock acquired by the reporting person through individual contributions and issuer matching contributions to the IS&amp;ESOP and an account adjustment (rounding) of .377 shares of common stock.</w:t>
      </w:r>
    </w:p>
    <w:p>
      <w:pPr>
        <w:spacing w:after="0" w:line="2"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40" w:type="dxa"/>
            <w:vAlign w:val="bottom"/>
          </w:tcPr>
          <w:p>
            <w:pPr>
              <w:spacing w:after="0"/>
              <w:rPr>
                <w:sz w:val="20"/>
                <w:szCs w:val="20"/>
                <w:color w:val="auto"/>
              </w:rPr>
            </w:pPr>
            <w:r>
              <w:rPr>
                <w:rFonts w:ascii="Arial" w:cs="Arial" w:eastAsia="Arial" w:hAnsi="Arial"/>
                <w:sz w:val="18"/>
                <w:szCs w:val="18"/>
                <w:color w:val="0000FF"/>
                <w:w w:val="92"/>
              </w:rPr>
              <w:t>Stacy L. Bogart, Atty-in-fact</w:t>
            </w:r>
          </w:p>
        </w:tc>
        <w:tc>
          <w:tcPr>
            <w:tcW w:w="12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Arial" w:cs="Arial" w:eastAsia="Arial" w:hAnsi="Arial"/>
                <w:sz w:val="18"/>
                <w:szCs w:val="18"/>
                <w:color w:val="0000FF"/>
                <w:w w:val="86"/>
              </w:rPr>
              <w:t>12/05/2008</w:t>
            </w:r>
          </w:p>
        </w:tc>
      </w:tr>
      <w:tr>
        <w:trPr>
          <w:trHeight w:val="20"/>
        </w:trPr>
        <w:tc>
          <w:tcPr>
            <w:tcW w:w="2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40" w:type="dxa"/>
            <w:vAlign w:val="bottom"/>
          </w:tcPr>
          <w:p>
            <w:pPr>
              <w:spacing w:after="0"/>
              <w:rPr>
                <w:sz w:val="20"/>
                <w:szCs w:val="20"/>
                <w:color w:val="auto"/>
              </w:rPr>
            </w:pPr>
            <w:r>
              <w:rPr>
                <w:rFonts w:ascii="Arial" w:cs="Arial" w:eastAsia="Arial" w:hAnsi="Arial"/>
                <w:sz w:val="14"/>
                <w:szCs w:val="14"/>
                <w:color w:val="auto"/>
                <w:w w:val="99"/>
              </w:rPr>
              <w:t>** Signature of Reporting Person</w:t>
            </w:r>
          </w:p>
        </w:tc>
        <w:tc>
          <w:tcPr>
            <w:tcW w:w="120" w:type="dxa"/>
            <w:vAlign w:val="bottom"/>
          </w:tcPr>
          <w:p>
            <w:pPr>
              <w:spacing w:after="0"/>
              <w:rPr>
                <w:sz w:val="20"/>
                <w:szCs w:val="20"/>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245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2019-12-16T04:26:21Z</dcterms:created>
  <dcterms:modified xsi:type="dcterms:W3CDTF">2019-12-16T04:26:21Z</dcterms:modified>
</cp:coreProperties>
</file>