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23, 2007</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4040" w:type="dxa"/>
            <w:vAlign w:val="bottom"/>
          </w:tcPr>
          <w:p>
            <w:pPr>
              <w:jc w:val="right"/>
              <w:ind w:right="137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4500" w:type="dxa"/>
            <w:vAlign w:val="bottom"/>
          </w:tcPr>
          <w:p>
            <w:pPr>
              <w:jc w:val="center"/>
              <w:ind w:right="590"/>
              <w:spacing w:after="0"/>
              <w:rPr>
                <w:sz w:val="20"/>
                <w:szCs w:val="20"/>
                <w:color w:val="auto"/>
              </w:rPr>
            </w:pPr>
            <w:r>
              <w:rPr>
                <w:rFonts w:ascii="Arial" w:cs="Arial" w:eastAsia="Arial" w:hAnsi="Arial"/>
                <w:sz w:val="18"/>
                <w:szCs w:val="18"/>
                <w:color w:val="auto"/>
                <w:w w:val="92"/>
              </w:rPr>
              <w:t>(State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4040" w:type="dxa"/>
            <w:vAlign w:val="bottom"/>
          </w:tcPr>
          <w:p>
            <w:pPr>
              <w:jc w:val="center"/>
              <w:ind w:left="13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450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8111 Lyndale Avenue South</w:t>
            </w:r>
          </w:p>
        </w:tc>
        <w:tc>
          <w:tcPr>
            <w:tcW w:w="288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20"/>
        </w:trPr>
        <w:tc>
          <w:tcPr>
            <w:tcW w:w="450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Bloomington, Minnesota</w:t>
            </w:r>
          </w:p>
        </w:tc>
        <w:tc>
          <w:tcPr>
            <w:tcW w:w="2880" w:type="dxa"/>
            <w:vAlign w:val="bottom"/>
          </w:tcPr>
          <w:p>
            <w:pPr>
              <w:spacing w:after="0"/>
              <w:rPr>
                <w:sz w:val="19"/>
                <w:szCs w:val="19"/>
                <w:color w:val="auto"/>
              </w:rPr>
            </w:pPr>
          </w:p>
        </w:tc>
        <w:tc>
          <w:tcPr>
            <w:tcW w:w="4040" w:type="dxa"/>
            <w:vAlign w:val="bottom"/>
          </w:tcPr>
          <w:p>
            <w:pPr>
              <w:jc w:val="right"/>
              <w:ind w:right="2550"/>
              <w:spacing w:after="0"/>
              <w:rPr>
                <w:sz w:val="20"/>
                <w:szCs w:val="20"/>
                <w:color w:val="auto"/>
              </w:rPr>
            </w:pPr>
            <w:r>
              <w:rPr>
                <w:rFonts w:ascii="Arial" w:cs="Arial" w:eastAsia="Arial" w:hAnsi="Arial"/>
                <w:sz w:val="18"/>
                <w:szCs w:val="18"/>
                <w:b w:val="1"/>
                <w:bCs w:val="1"/>
                <w:color w:val="auto"/>
              </w:rPr>
              <w:t>55420</w:t>
            </w:r>
          </w:p>
        </w:tc>
      </w:tr>
      <w:tr>
        <w:trPr>
          <w:trHeight w:val="264"/>
        </w:trPr>
        <w:tc>
          <w:tcPr>
            <w:tcW w:w="450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Borders>
              <w:bottom w:val="single" w:sz="8" w:color="auto"/>
            </w:tcBorders>
          </w:tcPr>
          <w:p>
            <w:pPr>
              <w:spacing w:after="0"/>
              <w:rPr>
                <w:sz w:val="22"/>
                <w:szCs w:val="22"/>
                <w:color w:val="auto"/>
              </w:rPr>
            </w:pPr>
          </w:p>
        </w:tc>
        <w:tc>
          <w:tcPr>
            <w:tcW w:w="4040" w:type="dxa"/>
            <w:vAlign w:val="bottom"/>
            <w:tcBorders>
              <w:bottom w:val="single" w:sz="8" w:color="auto"/>
            </w:tcBorders>
          </w:tcPr>
          <w:p>
            <w:pPr>
              <w:jc w:val="center"/>
              <w:ind w:right="1590"/>
              <w:spacing w:after="0"/>
              <w:rPr>
                <w:sz w:val="20"/>
                <w:szCs w:val="20"/>
                <w:color w:val="auto"/>
              </w:rPr>
            </w:pPr>
            <w:r>
              <w:rPr>
                <w:rFonts w:ascii="Arial" w:cs="Arial" w:eastAsia="Arial" w:hAnsi="Arial"/>
                <w:sz w:val="18"/>
                <w:szCs w:val="18"/>
                <w:color w:val="auto"/>
                <w:w w:val="94"/>
              </w:rPr>
              <w:t>(Zip Code)</w:t>
            </w:r>
          </w:p>
        </w:tc>
      </w:tr>
      <w:tr>
        <w:trPr>
          <w:trHeight w:val="459"/>
        </w:trPr>
        <w:tc>
          <w:tcPr>
            <w:tcW w:w="4500" w:type="dxa"/>
            <w:vAlign w:val="bottom"/>
          </w:tcPr>
          <w:p>
            <w:pPr>
              <w:ind w:left="400"/>
              <w:spacing w:after="0"/>
              <w:rPr>
                <w:sz w:val="20"/>
                <w:szCs w:val="20"/>
                <w:color w:val="auto"/>
              </w:rPr>
            </w:pPr>
            <w:r>
              <w:rPr>
                <w:rFonts w:ascii="Arial" w:cs="Arial" w:eastAsia="Arial" w:hAnsi="Arial"/>
                <w:sz w:val="18"/>
                <w:szCs w:val="18"/>
                <w:color w:val="auto"/>
                <w:w w:val="98"/>
              </w:rPr>
              <w:t>Registrant’s telephone number, including area code:</w:t>
            </w:r>
          </w:p>
        </w:tc>
        <w:tc>
          <w:tcPr>
            <w:tcW w:w="2880" w:type="dxa"/>
            <w:vAlign w:val="bottom"/>
          </w:tcPr>
          <w:p>
            <w:pPr>
              <w:spacing w:after="0"/>
              <w:rPr>
                <w:sz w:val="24"/>
                <w:szCs w:val="24"/>
                <w:color w:val="auto"/>
              </w:rPr>
            </w:pPr>
          </w:p>
        </w:tc>
        <w:tc>
          <w:tcPr>
            <w:tcW w:w="4040" w:type="dxa"/>
            <w:vAlign w:val="bottom"/>
          </w:tcPr>
          <w:p>
            <w:pPr>
              <w:jc w:val="right"/>
              <w:ind w:right="310"/>
              <w:spacing w:after="0"/>
              <w:rPr>
                <w:sz w:val="20"/>
                <w:szCs w:val="20"/>
                <w:color w:val="auto"/>
              </w:rPr>
            </w:pPr>
            <w:r>
              <w:rPr>
                <w:rFonts w:ascii="Arial" w:cs="Arial" w:eastAsia="Arial" w:hAnsi="Arial"/>
                <w:sz w:val="18"/>
                <w:szCs w:val="18"/>
                <w:b w:val="1"/>
                <w:bCs w:val="1"/>
                <w:color w:val="auto"/>
              </w:rPr>
              <w:t>(952) 888-8801</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2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264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0"/>
          <w:szCs w:val="20"/>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1187450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tabs>
          <w:tab w:leader="none" w:pos="23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August 23, 2007, The Toro Company announced its earnings for the three and nine months ended August 3, 2007.</w:t>
      </w:r>
    </w:p>
    <w:p>
      <w:pPr>
        <w:spacing w:after="0" w:line="252"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521335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440" w:hanging="62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99.1</w:t>
            </w:r>
          </w:p>
        </w:tc>
        <w:tc>
          <w:tcPr>
            <w:tcW w:w="9940" w:type="dxa"/>
            <w:vAlign w:val="bottom"/>
          </w:tcPr>
          <w:p>
            <w:pPr>
              <w:ind w:left="600"/>
              <w:spacing w:after="0"/>
              <w:rPr>
                <w:sz w:val="20"/>
                <w:szCs w:val="20"/>
                <w:color w:val="auto"/>
              </w:rPr>
            </w:pPr>
            <w:r>
              <w:rPr>
                <w:rFonts w:ascii="Arial" w:cs="Arial" w:eastAsia="Arial" w:hAnsi="Arial"/>
                <w:sz w:val="18"/>
                <w:szCs w:val="18"/>
                <w:color w:val="auto"/>
              </w:rPr>
              <w:t>Press release dated August 23, 2007 related to the announcement of earnings (furnished herewith).</w:t>
            </w:r>
          </w:p>
        </w:tc>
      </w:tr>
      <w:tr>
        <w:trPr>
          <w:trHeight w:val="590"/>
        </w:trPr>
        <w:tc>
          <w:tcPr>
            <w:tcW w:w="148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August 23, 2007</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4"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936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9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99.1</w:t>
            </w:r>
          </w:p>
        </w:tc>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Press release dated August 23, 2007 related to the announcement of earnings (furnished herewith).</w:t>
            </w: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9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1929765" cy="1269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 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887-8865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Connie Kotke, Manager, Corporate Communications</w:t>
      </w:r>
    </w:p>
    <w:p>
      <w:pPr>
        <w:spacing w:after="0" w:line="9" w:lineRule="exact"/>
        <w:rPr>
          <w:sz w:val="20"/>
          <w:szCs w:val="20"/>
          <w:color w:val="auto"/>
        </w:rPr>
      </w:pPr>
    </w:p>
    <w:p>
      <w:pPr>
        <w:ind w:right="924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887-8984,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www.thetorocompany.com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TORO REPORTS RECORD THIRD QUARTER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Earnings Per Share Up 12.1 Percent to $1.02</w:t>
      </w:r>
    </w:p>
    <w:p>
      <w:pPr>
        <w:spacing w:after="0" w:line="23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BLOOMINGTON, Minn. (August 23, 2007) – The Toro Company (NYSE: TTC) today reported record net earnings of $42.5 million, or $1.02 per diluted share, on net sales of $478.7 million for its fiscal third quarter ended August 3, 2007. In the comparable fiscal 2006 period, the company reported net earnings of $40.3 million, or $0.91 per diluted share, on net sales of $477.9 million.</w:t>
      </w:r>
    </w:p>
    <w:p>
      <w:pPr>
        <w:spacing w:after="0" w:line="2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fiscal nine months, Toro reported net earnings of $135.9 million, or $3.23 per diluted share, on net sales of $1,544.4 million. In the comparable 2006 period, Toro reported net earnings of $124.7 million, or $2.78 per diluted share, on net sales of $1,506.5 million.</w:t>
      </w:r>
    </w:p>
    <w:p>
      <w:pPr>
        <w:spacing w:after="0" w:line="19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the face of challenging economic and market conditions, our earnings performance in the third quarter and year-to-date has us on track to deliver another year of solid financial results,” said Michael Hoffman, chairman and chief executive officer. “We continue to benefit from the favorable effects of our lean initiatives and increased emphasis on asset management. Although we are not satisfied with our revenue growth</w:t>
      </w:r>
      <w:r>
        <w:rPr>
          <w:rFonts w:ascii="Arial" w:cs="Arial" w:eastAsia="Arial" w:hAnsi="Arial"/>
          <w:sz w:val="16"/>
          <w:szCs w:val="16"/>
          <w:i w:val="1"/>
          <w:iCs w:val="1"/>
          <w:color w:val="auto"/>
        </w:rPr>
        <w:t>,</w:t>
      </w:r>
      <w:r>
        <w:rPr>
          <w:rFonts w:ascii="Arial" w:cs="Arial" w:eastAsia="Arial" w:hAnsi="Arial"/>
          <w:sz w:val="16"/>
          <w:szCs w:val="16"/>
          <w:color w:val="auto"/>
        </w:rPr>
        <w:t xml:space="preserve"> retail demand for our innovative products outpaced shipments, resulting in lower field inventory levels. Additionally, we believe our market share position improved in most businesses.”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Segment data are provided in the table following the “Condensed Consolidated Statements of Earnings.”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7" w:lineRule="exact"/>
        <w:rPr>
          <w:sz w:val="20"/>
          <w:szCs w:val="20"/>
          <w:color w:val="auto"/>
        </w:rPr>
      </w:pPr>
    </w:p>
    <w:p>
      <w:pPr>
        <w:ind w:left="340" w:right="20" w:hanging="143"/>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fiscal 2007 third quarter increased 3.8 percent to $332 million. The increase resulted primarily from strong worldwide growth in shipments and retail sales of landscape contractor equipment.</w:t>
      </w:r>
    </w:p>
    <w:p>
      <w:pPr>
        <w:jc w:val="both"/>
        <w:ind w:left="340" w:hanging="143"/>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year-to-date increased 3.9 percent to $1,052 million. The year-to-date increase in Professional segment sales reflects increased worldwide shipments of equipment for golf courses, sports field and grounds products and irrigation systems. This increase was somewhat offset by a decline in landscape contractor shipments resulting in lower field inventory levels.</w:t>
      </w:r>
    </w:p>
    <w:p>
      <w:pPr>
        <w:spacing w:after="0" w:line="1" w:lineRule="exact"/>
        <w:rPr>
          <w:rFonts w:ascii="Arial" w:cs="Arial" w:eastAsia="Arial" w:hAnsi="Arial"/>
          <w:sz w:val="18"/>
          <w:szCs w:val="18"/>
          <w:color w:val="auto"/>
        </w:rPr>
      </w:pPr>
    </w:p>
    <w:p>
      <w:pPr>
        <w:ind w:left="340" w:hanging="143"/>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Professional segment earnings for the fiscal 2007 third quarter were $70.9 million, up 13.5 percent from $62.5 million in the fiscal 2006 third quarter.</w:t>
      </w:r>
    </w:p>
    <w:p>
      <w:pPr>
        <w:spacing w:after="0" w:line="32" w:lineRule="exact"/>
        <w:rPr>
          <w:rFonts w:ascii="Arial" w:cs="Arial" w:eastAsia="Arial" w:hAnsi="Arial"/>
          <w:sz w:val="16"/>
          <w:szCs w:val="16"/>
          <w:color w:val="auto"/>
        </w:rPr>
      </w:pPr>
    </w:p>
    <w:p>
      <w:pPr>
        <w:ind w:left="340" w:hanging="143"/>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year-to-date, professional segment earnings totaled $227.7 million, up 9.3 percent from $208.3 million in the comparable fiscal 2006 period.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7" w:lineRule="exact"/>
        <w:rPr>
          <w:sz w:val="20"/>
          <w:szCs w:val="20"/>
          <w:color w:val="auto"/>
        </w:rPr>
      </w:pPr>
    </w:p>
    <w:p>
      <w:pPr>
        <w:jc w:val="both"/>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sales for the fiscal 2007 third quarter decreased 8.5 percent to $133 million. Compared with the 2006 third quarter, strong growth in domestic shipments of zero-turning-radius riding mowers was offset by a significant decline in snowthrower shipments. The decline in snowthrower shipments was primarily due to the impact of the mild winter in the previous snow season.</w:t>
      </w:r>
    </w:p>
    <w:p>
      <w:pPr>
        <w:spacing w:after="0" w:line="1" w:lineRule="exact"/>
        <w:rPr>
          <w:rFonts w:ascii="Arial" w:cs="Arial" w:eastAsia="Arial" w:hAnsi="Arial"/>
          <w:sz w:val="18"/>
          <w:szCs w:val="18"/>
          <w:color w:val="auto"/>
        </w:rPr>
      </w:pPr>
    </w:p>
    <w:p>
      <w:pPr>
        <w:jc w:val="both"/>
        <w:ind w:left="340" w:hanging="143"/>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the year-to-date, Residential segment sales are about flat with the prior year, at $463 million compared with $463.8 million. The same factors affecting the quarter results impacted year-to-date sales for the segment. Additionally, strong retail acceptance of a new walk power mower line also helped mitigate the impact of the decline in snowthrower shipments for the year-to-date.</w:t>
      </w:r>
    </w:p>
    <w:p>
      <w:pPr>
        <w:spacing w:after="0" w:line="1" w:lineRule="exact"/>
        <w:rPr>
          <w:rFonts w:ascii="Arial" w:cs="Arial" w:eastAsia="Arial" w:hAnsi="Arial"/>
          <w:sz w:val="18"/>
          <w:szCs w:val="18"/>
          <w:color w:val="auto"/>
        </w:rPr>
      </w:pPr>
    </w:p>
    <w:p>
      <w:pPr>
        <w:ind w:left="340" w:hanging="143"/>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Residential segment earnings for the fiscal 2007 third quarter totaled $8.2 million, down 5.8 percent from $8.8 million in the fiscal 2006 third quarter.</w:t>
      </w:r>
    </w:p>
    <w:p>
      <w:pPr>
        <w:spacing w:after="0" w:line="32" w:lineRule="exact"/>
        <w:rPr>
          <w:rFonts w:ascii="Arial" w:cs="Arial" w:eastAsia="Arial" w:hAnsi="Arial"/>
          <w:sz w:val="16"/>
          <w:szCs w:val="16"/>
          <w:color w:val="auto"/>
        </w:rPr>
      </w:pPr>
    </w:p>
    <w:p>
      <w:pPr>
        <w:ind w:left="340" w:hanging="143"/>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year-to-date, Residential segment earnings totaled $40.1 million, up 25 percent from $32 million in the comparable fiscal 2006 period.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Gross margin for the fiscal 2007 third quarter was 37.1 percent compared with 35.6 percent in the prior year’s third quarter. The margin improvement resulted primarily from productivity and efficiency gains generated by the company’s lean initiatives and, to a lesser extent, a higher mix of professional products in the third quarter. For the year-to-date, gross margin improved to 36.4 percent compared with 35.3 percent for the first nine months of fiscal 2006.</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Selling, general and administrative (SG&amp;A) expenses as a percentage of net sales increased to 23.1 percent compared with 22.7 percent in the fiscal 2006 third quarter due to higher administrative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fiscal 2007 third quarter totaled $5 million, compared with $4.7 million in the fiscal 2006 third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in the 2007 third quarter was 33.4 percent compared with 32.6 percent in last year’s third quarter.</w:t>
      </w:r>
    </w:p>
    <w:p>
      <w:pPr>
        <w:sectPr>
          <w:pgSz w:w="11900" w:h="16838" w:orient="portrait"/>
          <w:cols w:equalWidth="0" w:num="1">
            <w:col w:w="11420"/>
          </w:cols>
          <w:pgMar w:left="240" w:top="1440" w:right="239" w:bottom="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Accounts receivable at the end of the fiscal 2007 third quarter totaled $379.8 million, down $14.2 million, or 3.6 percent, on net sales that were essentially flat with the same period last year.</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inventories at the end of the fiscal 2007 third quarter totaled $243.4 million, down $11.6 million, or 4.5 percent, from the end of the fiscal 2006 third quarter.</w:t>
      </w:r>
    </w:p>
    <w:p>
      <w:pPr>
        <w:spacing w:after="0" w:line="19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Cash flow from operations for the first nine months increased to $83.7 million compared to $63.9 million in 2006. This improvement reflects higher operating profit and the company’s continued focus on asset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7" w:lineRule="exact"/>
        <w:rPr>
          <w:sz w:val="20"/>
          <w:szCs w:val="20"/>
          <w:color w:val="auto"/>
        </w:rPr>
      </w:pPr>
    </w:p>
    <w:p>
      <w:pPr>
        <w:ind w:right="480"/>
        <w:spacing w:after="0" w:line="277" w:lineRule="auto"/>
        <w:rPr>
          <w:sz w:val="20"/>
          <w:szCs w:val="20"/>
          <w:color w:val="auto"/>
        </w:rPr>
      </w:pPr>
      <w:r>
        <w:rPr>
          <w:rFonts w:ascii="Arial" w:cs="Arial" w:eastAsia="Arial" w:hAnsi="Arial"/>
          <w:sz w:val="17"/>
          <w:szCs w:val="17"/>
          <w:color w:val="auto"/>
        </w:rPr>
        <w:t>“In the fiscal year’s final quarter, we remain focused on advancing our market leadership positions with innovative products while continuing to drive profitability improvement company-wide,” said Hoffman. “Our strategic GrowLean initiatives for long-term growth, bottom-line leverage, and a lower working capital level have us on track to deliver solid full year results and positions us well for fiscal 2008.”</w:t>
      </w:r>
    </w:p>
    <w:p>
      <w:pPr>
        <w:spacing w:after="0" w:line="20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Given the current market conditions and increased focus on reducing field inventory towards a working capital goal, the company said it expects net sales growth for the fiscal year to be approximately 3 percent. The company also noted that it is narrowing its previous guidance of 11 to 14 percent for net earnings per diluted share to the higher end of the range. It now expects fiscal full year net earnings per diluted share to increase 13 to14 percent.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23, 2007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The Toro Company will conduct a conference call and webcast for investors beginning at 10:00 a.m. Central Time (CDT) on August 23, 2007.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color w:val="auto"/>
        </w:rPr>
        <w:t>. Webcast participants will need to complete a brief registration form and should allocate extra time before the webcast begins to register and, if necessary, download and install audio software.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and other commodities; rising costs of transportation; the impact of abnormal weather patterns and natural disasters; the level of growth in our markets, including the golf market; reduced government spending for grounds maintenance equipment due to reduced tax revenue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our current three-year growth, profit and asset management initiative called “GrowLean” which is intended to improve our revenue growth, after-tax return on sales and working capital efficiency; our increased dependence on international sales and the risks attendant to international operations; interest rates and currency movements including, in particular, our exposure to foreign currency risk;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220" w:type="dxa"/>
            <w:vAlign w:val="bottom"/>
            <w:gridSpan w:val="7"/>
          </w:tcPr>
          <w:p>
            <w:pPr>
              <w:jc w:val="center"/>
              <w:ind w:right="780"/>
              <w:spacing w:after="0"/>
              <w:rPr>
                <w:sz w:val="20"/>
                <w:szCs w:val="20"/>
                <w:color w:val="auto"/>
              </w:rPr>
            </w:pPr>
            <w:r>
              <w:rPr>
                <w:rFonts w:ascii="Arial" w:cs="Arial" w:eastAsia="Arial" w:hAnsi="Arial"/>
                <w:sz w:val="18"/>
                <w:szCs w:val="18"/>
                <w:b w:val="1"/>
                <w:bCs w:val="1"/>
                <w:color w:val="auto"/>
              </w:rPr>
              <w:t>THE TORO COMPANY AND SUBSIDIARIES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8"/>
          </w:tcPr>
          <w:p>
            <w:pPr>
              <w:jc w:val="center"/>
              <w:ind w:left="2610"/>
              <w:spacing w:after="0"/>
              <w:rPr>
                <w:sz w:val="20"/>
                <w:szCs w:val="20"/>
                <w:color w:val="auto"/>
              </w:rPr>
            </w:pPr>
            <w:r>
              <w:rPr>
                <w:rFonts w:ascii="Arial" w:cs="Arial" w:eastAsia="Arial" w:hAnsi="Arial"/>
                <w:sz w:val="18"/>
                <w:szCs w:val="18"/>
                <w:b w:val="1"/>
                <w:bCs w:val="1"/>
                <w:color w:val="auto"/>
                <w:w w:val="89"/>
              </w:rPr>
              <w:t>Condensed Consolidated Statements of Earnings (Unaudited)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220" w:type="dxa"/>
            <w:vAlign w:val="bottom"/>
            <w:gridSpan w:val="7"/>
          </w:tcPr>
          <w:p>
            <w:pPr>
              <w:jc w:val="center"/>
              <w:ind w:right="800"/>
              <w:spacing w:after="0"/>
              <w:rPr>
                <w:sz w:val="20"/>
                <w:szCs w:val="20"/>
                <w:color w:val="auto"/>
              </w:rPr>
            </w:pPr>
            <w:r>
              <w:rPr>
                <w:rFonts w:ascii="Arial" w:cs="Arial" w:eastAsia="Arial" w:hAnsi="Arial"/>
                <w:sz w:val="18"/>
                <w:szCs w:val="18"/>
                <w:b w:val="1"/>
                <w:bCs w:val="1"/>
                <w:color w:val="auto"/>
                <w:w w:val="88"/>
              </w:rPr>
              <w:t>(Dollars and shares in thousands, except per-share data)</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7"/>
              </w:rPr>
              <w:t>August 3,</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August 4,</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5"/>
              </w:rPr>
              <w:t>August 3,</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5"/>
              </w:rPr>
              <w:t>August 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478,707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477,861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1,544,448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Gross profit</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177,443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170,336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562,224</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 percent</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7"/>
              </w:rPr>
              <w:t>Selling, general, and administrative expense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110,598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108,615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348,722</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340,129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Earnings from operations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66,845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61,721</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213,502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(4,959)</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(4,677)</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(15,235)</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Earnings before income taxes</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63,840</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59,800</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204,088</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21,354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19,478</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68,186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Net earnings</w:t>
            </w:r>
          </w:p>
        </w:tc>
        <w:tc>
          <w:tcPr>
            <w:tcW w:w="24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42,486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40,322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135,902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124,683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Diluted net earnings per share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w w:val="89"/>
              </w:rPr>
              <w:t>Weighted average number of shares of common</w:t>
            </w: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stock outstanding – Basic</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40,569</w:t>
            </w:r>
          </w:p>
        </w:tc>
        <w:tc>
          <w:tcPr>
            <w:tcW w:w="1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42,852</w:t>
            </w:r>
          </w:p>
        </w:tc>
        <w:tc>
          <w:tcPr>
            <w:tcW w:w="1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40,938</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w w:val="89"/>
              </w:rPr>
              <w:t>Weighted average number of shares of common</w:t>
            </w:r>
          </w:p>
        </w:tc>
        <w:tc>
          <w:tcPr>
            <w:tcW w:w="2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stock outstanding – Dilutive</w:t>
            </w:r>
          </w:p>
        </w:tc>
        <w:tc>
          <w:tcPr>
            <w:tcW w:w="2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41,803</w:t>
            </w:r>
          </w:p>
        </w:tc>
        <w:tc>
          <w:tcPr>
            <w:tcW w:w="1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44,360</w:t>
            </w:r>
          </w:p>
        </w:tc>
        <w:tc>
          <w:tcPr>
            <w:tcW w:w="1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42,113</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44,806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80" w:type="dxa"/>
            <w:vAlign w:val="bottom"/>
            <w:gridSpan w:val="8"/>
          </w:tcPr>
          <w:p>
            <w:pPr>
              <w:jc w:val="center"/>
              <w:ind w:left="70"/>
              <w:spacing w:after="0"/>
              <w:rPr>
                <w:sz w:val="20"/>
                <w:szCs w:val="20"/>
                <w:color w:val="auto"/>
              </w:rPr>
            </w:pPr>
            <w:r>
              <w:rPr>
                <w:rFonts w:ascii="Arial" w:cs="Arial" w:eastAsia="Arial" w:hAnsi="Arial"/>
                <w:sz w:val="18"/>
                <w:szCs w:val="18"/>
                <w:b w:val="1"/>
                <w:bCs w:val="1"/>
                <w:color w:val="auto"/>
              </w:rPr>
              <w:t>THE TORO COMPANY AND SUBSIDIARIES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gridSpan w:val="6"/>
          </w:tcPr>
          <w:p>
            <w:pPr>
              <w:jc w:val="center"/>
              <w:ind w:left="250"/>
              <w:spacing w:after="0"/>
              <w:rPr>
                <w:sz w:val="20"/>
                <w:szCs w:val="20"/>
                <w:color w:val="auto"/>
              </w:rPr>
            </w:pPr>
            <w:r>
              <w:rPr>
                <w:rFonts w:ascii="Arial" w:cs="Arial" w:eastAsia="Arial" w:hAnsi="Arial"/>
                <w:sz w:val="18"/>
                <w:szCs w:val="18"/>
                <w:b w:val="1"/>
                <w:bCs w:val="1"/>
                <w:color w:val="auto"/>
                <w:w w:val="91"/>
              </w:rPr>
              <w:t>Segment Data (Unaudited)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89"/>
              </w:rPr>
              <w:t>(Dollars in thousands)</w:t>
            </w:r>
          </w:p>
        </w:tc>
        <w:tc>
          <w:tcPr>
            <w:tcW w:w="2240" w:type="dxa"/>
            <w:vAlign w:val="bottom"/>
            <w:gridSpan w:val="6"/>
            <w:vMerge w:val="restart"/>
          </w:tcPr>
          <w:p>
            <w:pPr>
              <w:jc w:val="right"/>
              <w:ind w:right="720"/>
              <w:spacing w:after="0"/>
              <w:rPr>
                <w:sz w:val="20"/>
                <w:szCs w:val="20"/>
                <w:color w:val="auto"/>
              </w:rPr>
            </w:pPr>
            <w:r>
              <w:rPr>
                <w:rFonts w:ascii="Arial" w:cs="Arial" w:eastAsia="Arial" w:hAnsi="Arial"/>
                <w:sz w:val="18"/>
                <w:szCs w:val="18"/>
                <w:color w:val="auto"/>
                <w:w w:val="89"/>
              </w:rPr>
              <w:t>Three Months Ended</w:t>
            </w:r>
          </w:p>
        </w:tc>
        <w:tc>
          <w:tcPr>
            <w:tcW w:w="120" w:type="dxa"/>
            <w:vAlign w:val="bottom"/>
          </w:tcPr>
          <w:p>
            <w:pPr>
              <w:spacing w:after="0"/>
              <w:rPr>
                <w:sz w:val="20"/>
                <w:szCs w:val="20"/>
                <w:color w:val="auto"/>
              </w:rPr>
            </w:pPr>
          </w:p>
        </w:tc>
        <w:tc>
          <w:tcPr>
            <w:tcW w:w="2480" w:type="dxa"/>
            <w:vAlign w:val="bottom"/>
            <w:gridSpan w:val="6"/>
            <w:vMerge w:val="restart"/>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4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August 4,</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August 3,</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August 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Segment Net Sales</w:t>
            </w:r>
          </w:p>
        </w:tc>
        <w:tc>
          <w:tcPr>
            <w:tcW w:w="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9"/>
              </w:rPr>
              <w:t>August 3, 2007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Professional</w:t>
            </w:r>
          </w:p>
        </w:tc>
        <w:tc>
          <w:tcPr>
            <w:tcW w:w="2580" w:type="dxa"/>
            <w:vAlign w:val="bottom"/>
            <w:gridSpan w:val="4"/>
            <w:shd w:val="clear" w:color="auto" w:fill="CCEEFF"/>
          </w:tcPr>
          <w:p>
            <w:pPr>
              <w:ind w:left="24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332,014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319,733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1,052,013</w:t>
            </w:r>
          </w:p>
        </w:tc>
        <w:tc>
          <w:tcPr>
            <w:tcW w:w="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Residential</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132,981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145,308</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463,043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29,392</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ind w:left="160"/>
              <w:spacing w:after="0"/>
              <w:rPr>
                <w:sz w:val="20"/>
                <w:szCs w:val="20"/>
                <w:color w:val="auto"/>
              </w:rPr>
            </w:pPr>
            <w:r>
              <w:rPr>
                <w:rFonts w:ascii="Arial" w:cs="Arial" w:eastAsia="Arial" w:hAnsi="Arial"/>
                <w:sz w:val="18"/>
                <w:szCs w:val="18"/>
                <w:color w:val="auto"/>
              </w:rPr>
              <w:t>Total *</w:t>
            </w:r>
          </w:p>
        </w:tc>
        <w:tc>
          <w:tcPr>
            <w:tcW w:w="2580" w:type="dxa"/>
            <w:vAlign w:val="bottom"/>
            <w:gridSpan w:val="4"/>
          </w:tcPr>
          <w:p>
            <w:pPr>
              <w:ind w:left="246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478,707</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477,861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1,544,448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1,506,505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 Includes international sales of</w:t>
            </w:r>
          </w:p>
        </w:tc>
        <w:tc>
          <w:tcPr>
            <w:tcW w:w="2580" w:type="dxa"/>
            <w:vAlign w:val="bottom"/>
            <w:gridSpan w:val="4"/>
          </w:tcPr>
          <w:p>
            <w:pPr>
              <w:ind w:left="246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120,319</w:t>
            </w:r>
          </w:p>
        </w:tc>
        <w:tc>
          <w:tcPr>
            <w:tcW w:w="1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113,651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441,793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402,000</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gridSpan w:val="6"/>
          </w:tcPr>
          <w:p>
            <w:pPr>
              <w:jc w:val="right"/>
              <w:ind w:right="720"/>
              <w:spacing w:after="0"/>
              <w:rPr>
                <w:sz w:val="20"/>
                <w:szCs w:val="20"/>
                <w:color w:val="auto"/>
              </w:rPr>
            </w:pPr>
            <w:r>
              <w:rPr>
                <w:rFonts w:ascii="Arial" w:cs="Arial" w:eastAsia="Arial" w:hAnsi="Arial"/>
                <w:sz w:val="18"/>
                <w:szCs w:val="18"/>
                <w:color w:val="auto"/>
                <w:w w:val="89"/>
              </w:rPr>
              <w:t>Three Months Ended</w:t>
            </w:r>
          </w:p>
        </w:tc>
        <w:tc>
          <w:tcPr>
            <w:tcW w:w="120" w:type="dxa"/>
            <w:vAlign w:val="bottom"/>
          </w:tcPr>
          <w:p>
            <w:pPr>
              <w:spacing w:after="0"/>
              <w:rPr>
                <w:sz w:val="24"/>
                <w:szCs w:val="24"/>
                <w:color w:val="auto"/>
              </w:rPr>
            </w:pPr>
          </w:p>
        </w:tc>
        <w:tc>
          <w:tcPr>
            <w:tcW w:w="248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August 4,</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August 3,</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August 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62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w w:val="89"/>
              </w:rPr>
              <w:t>Segment Earnings (Loss) Before Income Taxes</w:t>
            </w:r>
          </w:p>
        </w:tc>
        <w:tc>
          <w:tcPr>
            <w:tcW w:w="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9"/>
              </w:rPr>
              <w:t>August 3, 2007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Professional</w:t>
            </w:r>
          </w:p>
        </w:tc>
        <w:tc>
          <w:tcPr>
            <w:tcW w:w="2580" w:type="dxa"/>
            <w:vAlign w:val="bottom"/>
            <w:gridSpan w:val="4"/>
            <w:shd w:val="clear" w:color="auto" w:fill="CCEEFF"/>
          </w:tcPr>
          <w:p>
            <w:pPr>
              <w:ind w:left="24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70,887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62,474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227,737</w:t>
            </w:r>
          </w:p>
        </w:tc>
        <w:tc>
          <w:tcPr>
            <w:tcW w:w="2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Residential</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8,752</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40,055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(11,426)</w:t>
            </w:r>
          </w:p>
        </w:tc>
        <w:tc>
          <w:tcPr>
            <w:tcW w:w="1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(63,704)</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ind w:left="160"/>
              <w:spacing w:after="0"/>
              <w:rPr>
                <w:sz w:val="20"/>
                <w:szCs w:val="20"/>
                <w:color w:val="auto"/>
              </w:rPr>
            </w:pPr>
            <w:r>
              <w:rPr>
                <w:rFonts w:ascii="Arial" w:cs="Arial" w:eastAsia="Arial" w:hAnsi="Arial"/>
                <w:sz w:val="18"/>
                <w:szCs w:val="18"/>
                <w:color w:val="auto"/>
              </w:rPr>
              <w:t>Total</w:t>
            </w:r>
          </w:p>
        </w:tc>
        <w:tc>
          <w:tcPr>
            <w:tcW w:w="2580" w:type="dxa"/>
            <w:vAlign w:val="bottom"/>
            <w:gridSpan w:val="4"/>
          </w:tcPr>
          <w:p>
            <w:pPr>
              <w:ind w:left="246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63,840</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59,800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204,088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184,328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0" w:type="dxa"/>
            <w:vAlign w:val="bottom"/>
            <w:gridSpan w:val="11"/>
          </w:tcPr>
          <w:p>
            <w:pPr>
              <w:jc w:val="center"/>
              <w:ind w:right="1020"/>
              <w:spacing w:after="0"/>
              <w:rPr>
                <w:sz w:val="20"/>
                <w:szCs w:val="20"/>
                <w:color w:val="auto"/>
              </w:rPr>
            </w:pPr>
            <w:r>
              <w:rPr>
                <w:rFonts w:ascii="Arial" w:cs="Arial" w:eastAsia="Arial" w:hAnsi="Arial"/>
                <w:sz w:val="18"/>
                <w:szCs w:val="18"/>
                <w:b w:val="1"/>
                <w:bCs w:val="1"/>
                <w:color w:val="auto"/>
                <w:w w:val="88"/>
              </w:rPr>
              <w:t>Condensed Consolidated Balance Sheets (Unaudited)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89"/>
              </w:rPr>
              <w:t>(Dollars in thousands)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7"/>
              </w:rPr>
              <w:t>August 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0"/>
              </w:rPr>
              <w:t>August 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20" w:type="dxa"/>
            <w:vAlign w:val="bottom"/>
            <w:gridSpan w:val="5"/>
          </w:tcPr>
          <w:p>
            <w:pPr>
              <w:spacing w:after="0" w:line="202" w:lineRule="exact"/>
              <w:rPr>
                <w:sz w:val="20"/>
                <w:szCs w:val="20"/>
                <w:color w:val="auto"/>
              </w:rPr>
            </w:pPr>
            <w:r>
              <w:rPr>
                <w:rFonts w:ascii="Arial" w:cs="Arial" w:eastAsia="Arial" w:hAnsi="Arial"/>
                <w:sz w:val="18"/>
                <w:szCs w:val="18"/>
                <w:color w:val="auto"/>
              </w:rPr>
              <w:t>ASSETS</w:t>
            </w:r>
          </w:p>
        </w:tc>
        <w:tc>
          <w:tcPr>
            <w:tcW w:w="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94,192</w:t>
            </w:r>
          </w:p>
        </w:tc>
        <w:tc>
          <w:tcPr>
            <w:tcW w:w="18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379,788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394,038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243,437</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255,031</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58,499</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56,326</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788,934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744,834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170,748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163,703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Goodwill and other assets, net</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94,931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1,060,106</w:t>
            </w:r>
          </w:p>
        </w:tc>
        <w:tc>
          <w:tcPr>
            <w:tcW w:w="180" w:type="dxa"/>
            <w:vAlign w:val="bottom"/>
            <w:tcBorders>
              <w:lef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1,003,468</w:t>
            </w:r>
          </w:p>
        </w:tc>
        <w:tc>
          <w:tcPr>
            <w:tcW w:w="14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2880" w:type="dxa"/>
            <w:vAlign w:val="bottom"/>
            <w:tcBorders>
              <w:top w:val="single" w:sz="8" w:color="CCEEFF"/>
            </w:tcBorders>
            <w:gridSpan w:val="4"/>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9"/>
            <w:shd w:val="clear" w:color="auto" w:fill="CCEEFF"/>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6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top w:val="single" w:sz="8" w:color="auto"/>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ind w:right="19"/>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266,383</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269,145</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4"/>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351,198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380,690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Long-term debt, less current portion</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Deferred revenue and other long-term liabilities</w:t>
            </w:r>
          </w:p>
        </w:tc>
        <w:tc>
          <w:tcPr>
            <w:tcW w:w="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10,354</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475,397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437,301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1,060,106</w:t>
            </w:r>
          </w:p>
        </w:tc>
        <w:tc>
          <w:tcPr>
            <w:tcW w:w="180" w:type="dxa"/>
            <w:vAlign w:val="bottom"/>
            <w:tcBorders>
              <w:left w:val="single" w:sz="8" w:color="CCEEFF"/>
            </w:tcBorders>
            <w:shd w:val="clear" w:color="auto" w:fill="CCEEFF"/>
          </w:tcPr>
          <w:p>
            <w:pPr>
              <w:spacing w:after="0"/>
              <w:rPr>
                <w:sz w:val="20"/>
                <w:szCs w:val="20"/>
                <w:color w:val="auto"/>
              </w:rPr>
            </w:pPr>
          </w:p>
        </w:tc>
        <w:tc>
          <w:tcPr>
            <w:tcW w:w="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1,003,468</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60" w:type="dxa"/>
            <w:vAlign w:val="bottom"/>
          </w:tcPr>
          <w:p>
            <w:pPr>
              <w:jc w:val="center"/>
              <w:ind w:left="2850"/>
              <w:spacing w:after="0"/>
              <w:rPr>
                <w:sz w:val="20"/>
                <w:szCs w:val="20"/>
                <w:color w:val="auto"/>
              </w:rPr>
            </w:pPr>
            <w:r>
              <w:rPr>
                <w:rFonts w:ascii="Arial" w:cs="Arial" w:eastAsia="Arial" w:hAnsi="Arial"/>
                <w:sz w:val="18"/>
                <w:szCs w:val="18"/>
                <w:b w:val="1"/>
                <w:bCs w:val="1"/>
                <w:color w:val="auto"/>
              </w:rPr>
              <w:t>THE TORO COMPANY AND SUBSIDIARIES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88"/>
              </w:rPr>
              <w:t>Condensed Consolidated Statements of Cash Flows (Unaudited)</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Pr>
          <w:p>
            <w:pPr>
              <w:jc w:val="center"/>
              <w:ind w:left="2830"/>
              <w:spacing w:after="0"/>
              <w:rPr>
                <w:sz w:val="20"/>
                <w:szCs w:val="20"/>
                <w:color w:val="auto"/>
              </w:rPr>
            </w:pPr>
            <w:r>
              <w:rPr>
                <w:rFonts w:ascii="Arial" w:cs="Arial" w:eastAsia="Arial" w:hAnsi="Arial"/>
                <w:sz w:val="18"/>
                <w:szCs w:val="18"/>
                <w:b w:val="1"/>
                <w:bCs w:val="1"/>
                <w:color w:val="auto"/>
                <w:w w:val="89"/>
              </w:rPr>
              <w:t>(Dollars in thousands)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7"/>
              </w:rPr>
              <w:t>August 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9"/>
              </w:rPr>
              <w:t>August 3, 2007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earnings</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135,902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124,683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provided by operating activities: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Equity losses from investments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depreciation and amortization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Gain on disposal of property, plant, and equipment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(Increase) decrease in deferred income taxes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(86,942)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(99,062)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deferred revenue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9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83,733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Proceeds from asset disposals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investment in affiliates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Decrease in other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net of cash acquired</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(33,065)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short-term debt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Issuance of long-term debt, net of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121,465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12,956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Purchases of Toro common stock</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(70,382)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 on Toro common stock</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(13,236)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38,669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94,192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95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2019-12-13T13:49:31Z</dcterms:created>
  <dcterms:modified xsi:type="dcterms:W3CDTF">2019-12-13T13:49:31Z</dcterms:modified>
</cp:coreProperties>
</file>