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358140</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-224155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960" w:hanging="304"/>
        <w:spacing w:after="0"/>
        <w:tabs>
          <w:tab w:leader="none" w:pos="19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4, 2018</w:t>
      </w:r>
    </w:p>
    <w:p>
      <w:pPr>
        <w:spacing w:after="0" w:line="230" w:lineRule="exact"/>
        <w:rPr>
          <w:sz w:val="24"/>
          <w:szCs w:val="24"/>
          <w:color w:val="auto"/>
        </w:rPr>
      </w:pPr>
    </w:p>
    <w:p>
      <w:pPr>
        <w:ind w:left="1660"/>
        <w:spacing w:after="0"/>
        <w:rPr>
          <w:sz w:val="20"/>
          <w:szCs w:val="20"/>
          <w:color w:val="auto"/>
        </w:rPr>
      </w:pPr>
      <w:r>
        <w:rPr>
          <w:rFonts w:ascii="Arial" w:cs="Arial" w:eastAsia="Arial" w:hAnsi="Arial"/>
          <w:sz w:val="19"/>
          <w:szCs w:val="19"/>
          <w:b w:val="1"/>
          <w:bCs w:val="1"/>
          <w:color w:val="auto"/>
        </w:rPr>
        <w:t>o  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304"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360" w:space="500"/>
            <w:col w:w="4560"/>
          </w:cols>
          <w:pgMar w:left="240" w:top="233" w:right="239" w:bottom="1440" w:gutter="0" w:footer="0" w:header="0"/>
          <w:type w:val="continuous"/>
        </w:sectPr>
      </w:pP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174"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246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0" w:lineRule="exact"/>
        <w:rPr>
          <w:sz w:val="24"/>
          <w:szCs w:val="24"/>
          <w:color w:val="auto"/>
        </w:rPr>
      </w:pPr>
    </w:p>
    <w:p>
      <w:pPr>
        <w:sectPr>
          <w:pgSz w:w="11900" w:h="16838" w:orient="portrait"/>
          <w:cols w:equalWidth="0" w:num="3">
            <w:col w:w="4680" w:space="720"/>
            <w:col w:w="2960" w:space="720"/>
            <w:col w:w="2340"/>
          </w:cols>
          <w:pgMar w:left="240" w:top="233" w:right="2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40" w:space="720"/>
            <w:col w:w="2660" w:space="720"/>
            <w:col w:w="3380"/>
          </w:cols>
          <w:pgMar w:left="240" w:top="233" w:right="239" w:bottom="1440" w:gutter="0" w:footer="0" w:header="0"/>
          <w:type w:val="continuous"/>
        </w:sectPr>
      </w:pPr>
    </w:p>
    <w:p>
      <w:pPr>
        <w:spacing w:after="0" w:line="7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1200" w:type="dxa"/>
        <w:tblCellMar>
          <w:top w:w="0" w:type="dxa"/>
          <w:left w:w="0" w:type="dxa"/>
          <w:bottom w:w="0" w:type="dxa"/>
          <w:right w:w="0" w:type="dxa"/>
        </w:tblCellMar>
      </w:tblPr>
      <w:tr>
        <w:trPr>
          <w:trHeight w:val="230"/>
        </w:trPr>
        <w:tc>
          <w:tcPr>
            <w:tcW w:w="4820" w:type="dxa"/>
            <w:vAlign w:val="bottom"/>
          </w:tcPr>
          <w:p>
            <w:pPr>
              <w:jc w:val="center"/>
              <w:ind w:right="1410"/>
              <w:spacing w:after="0"/>
              <w:rPr>
                <w:sz w:val="20"/>
                <w:szCs w:val="20"/>
                <w:color w:val="auto"/>
              </w:rPr>
            </w:pPr>
            <w:r>
              <w:rPr>
                <w:rFonts w:ascii="Arial" w:cs="Arial" w:eastAsia="Arial" w:hAnsi="Arial"/>
                <w:sz w:val="18"/>
                <w:szCs w:val="18"/>
                <w:color w:val="auto"/>
                <w:w w:val="91"/>
              </w:rPr>
              <w:t>Large accelerated filer x</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594"/>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270"/>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spacing w:after="0"/>
              <w:rPr>
                <w:sz w:val="23"/>
                <w:szCs w:val="23"/>
                <w:color w:val="auto"/>
              </w:rPr>
            </w:pPr>
          </w:p>
        </w:tc>
      </w:tr>
      <w:tr>
        <w:trPr>
          <w:trHeight w:val="270"/>
        </w:trPr>
        <w:tc>
          <w:tcPr>
            <w:tcW w:w="4820" w:type="dxa"/>
            <w:vAlign w:val="bottom"/>
          </w:tcPr>
          <w:p>
            <w:pPr>
              <w:spacing w:after="0"/>
              <w:rPr>
                <w:sz w:val="23"/>
                <w:szCs w:val="23"/>
                <w:color w:val="auto"/>
              </w:rPr>
            </w:pP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June 1, 2018 was 105,193,660.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 Number</w:t>
            </w:r>
          </w:p>
        </w:tc>
      </w:tr>
      <w:tr>
        <w:trPr>
          <w:trHeight w:val="473"/>
        </w:trPr>
        <w:tc>
          <w:tcPr>
            <w:tcW w:w="13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52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80" w:type="dxa"/>
            <w:vAlign w:val="bottom"/>
            <w:tcBorders>
              <w:top w:val="single" w:sz="8" w:color="0000EE"/>
            </w:tcBorders>
          </w:tcPr>
          <w:p>
            <w:pPr>
              <w:spacing w:after="0"/>
              <w:rPr>
                <w:sz w:val="24"/>
                <w:szCs w:val="24"/>
                <w:color w:val="auto"/>
              </w:rPr>
            </w:pPr>
          </w:p>
        </w:tc>
        <w:tc>
          <w:tcPr>
            <w:tcW w:w="760" w:type="dxa"/>
            <w:vAlign w:val="bottom"/>
            <w:gridSpan w:val="3"/>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940" w:type="dxa"/>
            <w:vAlign w:val="bottom"/>
            <w:tcBorders>
              <w:top w:val="single" w:sz="8" w:color="0000EE"/>
            </w:tcBorders>
            <w:gridSpan w:val="3"/>
          </w:tcPr>
          <w:p>
            <w:pPr>
              <w:spacing w:after="0"/>
              <w:rPr>
                <w:sz w:val="24"/>
                <w:szCs w:val="24"/>
                <w:color w:val="auto"/>
              </w:rPr>
            </w:pPr>
          </w:p>
        </w:tc>
        <w:tc>
          <w:tcPr>
            <w:tcW w:w="6080" w:type="dxa"/>
            <w:vAlign w:val="bottom"/>
            <w:gridSpan w:val="8"/>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Income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0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r>
              <w:rPr>
                <w:rFonts w:ascii="Arial" w:cs="Arial" w:eastAsia="Arial" w:hAnsi="Arial"/>
                <w:sz w:val="18"/>
                <w:szCs w:val="18"/>
                <w:color w:val="000000"/>
              </w:rPr>
              <w:t>)</w:t>
            </w:r>
          </w:p>
        </w:tc>
        <w:tc>
          <w:tcPr>
            <w:tcW w:w="26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3540" w:type="dxa"/>
            <w:vAlign w:val="bottom"/>
            <w:gridSpan w:val="4"/>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326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20">
              <w:r>
                <w:rPr>
                  <w:rFonts w:ascii="Arial" w:cs="Arial" w:eastAsia="Arial" w:hAnsi="Arial"/>
                  <w:sz w:val="18"/>
                  <w:szCs w:val="18"/>
                  <w:b w:val="1"/>
                  <w:bCs w:val="1"/>
                  <w:color w:val="0000EE"/>
                  <w:w w:val="91"/>
                </w:rPr>
                <w:t>Item 2.</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3.</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Quantitative and Qualitative Disclosures about Market Risk</w:t>
              </w:r>
            </w:hyperlink>
          </w:p>
        </w:tc>
        <w:tc>
          <w:tcPr>
            <w:tcW w:w="2140" w:type="dxa"/>
            <w:vAlign w:val="bottom"/>
            <w:gridSpan w:val="5"/>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4.</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Controls and Procedures</w:t>
              </w:r>
            </w:hyperlink>
          </w:p>
        </w:tc>
        <w:tc>
          <w:tcPr>
            <w:tcW w:w="2540" w:type="dxa"/>
            <w:vAlign w:val="bottom"/>
            <w:gridSpan w:val="3"/>
          </w:tcPr>
          <w:p>
            <w:pPr>
              <w:spacing w:after="0"/>
              <w:rPr>
                <w:sz w:val="24"/>
                <w:szCs w:val="24"/>
                <w:color w:val="auto"/>
              </w:rPr>
            </w:pPr>
          </w:p>
        </w:tc>
        <w:tc>
          <w:tcPr>
            <w:tcW w:w="38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PART II.</w:t>
              </w:r>
            </w:hyperlink>
          </w:p>
        </w:tc>
        <w:tc>
          <w:tcPr>
            <w:tcW w:w="680" w:type="dxa"/>
            <w:vAlign w:val="bottom"/>
          </w:tcPr>
          <w:p>
            <w:pPr>
              <w:spacing w:after="0"/>
              <w:rPr>
                <w:sz w:val="24"/>
                <w:szCs w:val="24"/>
                <w:color w:val="auto"/>
              </w:rPr>
            </w:pPr>
          </w:p>
        </w:tc>
        <w:tc>
          <w:tcPr>
            <w:tcW w:w="21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640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6">
              <w:r>
                <w:rPr>
                  <w:rFonts w:ascii="Arial" w:cs="Arial" w:eastAsia="Arial" w:hAnsi="Arial"/>
                  <w:sz w:val="18"/>
                  <w:szCs w:val="18"/>
                  <w:b w:val="1"/>
                  <w:bCs w:val="1"/>
                  <w:color w:val="0000EE"/>
                  <w:w w:val="91"/>
                </w:rPr>
                <w:t>Item 1.</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5"/>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6840" w:type="dxa"/>
            <w:vAlign w:val="bottom"/>
            <w:gridSpan w:val="1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gridSpan w:val="5"/>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1A.</w:t>
              </w:r>
            </w:hyperlink>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8">
              <w:r>
                <w:rPr>
                  <w:rFonts w:ascii="Arial" w:cs="Arial" w:eastAsia="Arial" w:hAnsi="Arial"/>
                  <w:sz w:val="18"/>
                  <w:szCs w:val="18"/>
                  <w:b w:val="1"/>
                  <w:bCs w:val="1"/>
                  <w:color w:val="0000EE"/>
                  <w:w w:val="91"/>
                </w:rPr>
                <w:t>Item 6.</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72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7"/>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702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8"/>
        </w:trPr>
        <w:tc>
          <w:tcPr>
            <w:tcW w:w="5000" w:type="dxa"/>
            <w:vAlign w:val="bottom"/>
            <w:gridSpan w:val="2"/>
          </w:tcPr>
          <w:p>
            <w:pPr>
              <w:spacing w:after="0"/>
              <w:rPr>
                <w:sz w:val="20"/>
                <w:szCs w:val="20"/>
                <w:color w:val="auto"/>
              </w:rPr>
            </w:pPr>
            <w:r>
              <w:rPr>
                <w:rFonts w:ascii="Arial" w:cs="Arial" w:eastAsia="Arial" w:hAnsi="Arial"/>
                <w:sz w:val="18"/>
                <w:szCs w:val="18"/>
                <w:color w:val="auto"/>
              </w:rPr>
              <w:t>THE TORO COMPANY AND SUBSIDIARIES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Earnings (Unaudited)</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(Dollars and shares in thousands, except per share data)</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4"/>
                <w:szCs w:val="24"/>
                <w:color w:val="auto"/>
              </w:rPr>
            </w:pPr>
          </w:p>
        </w:tc>
        <w:tc>
          <w:tcPr>
            <w:tcW w:w="27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5,</w:t>
            </w:r>
          </w:p>
        </w:tc>
        <w:tc>
          <w:tcPr>
            <w:tcW w:w="36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6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5,</w:t>
            </w:r>
          </w:p>
        </w:tc>
      </w:tr>
      <w:tr>
        <w:trPr>
          <w:trHeight w:val="234"/>
        </w:trPr>
        <w:tc>
          <w:tcPr>
            <w:tcW w:w="12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875,280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872,767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1,423,526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1,388,606</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551,224</w:t>
            </w:r>
          </w:p>
        </w:tc>
        <w:tc>
          <w:tcPr>
            <w:tcW w:w="3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556,453</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895,231</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878,812</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324,056</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316,314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528,295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509,794</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4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153,783</w:t>
            </w:r>
          </w:p>
        </w:tc>
        <w:tc>
          <w:tcPr>
            <w:tcW w:w="3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157,018</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291,100</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289,928</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170,273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159,296</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237,195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219,866</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(4,720)</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(4,676)</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(9,538)</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(9,559)</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3,613</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3,701</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7,894</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7,567</w:t>
            </w:r>
          </w:p>
        </w:tc>
      </w:tr>
      <w:tr>
        <w:trPr>
          <w:trHeight w:val="237"/>
        </w:trPr>
        <w:tc>
          <w:tcPr>
            <w:tcW w:w="50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Earnings before income taxes</w:t>
            </w: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169,166</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158,321</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235,551</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217,874</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37,877</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37,846</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81,658</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52,409</w:t>
            </w:r>
          </w:p>
        </w:tc>
      </w:tr>
      <w:tr>
        <w:trPr>
          <w:trHeight w:val="237"/>
        </w:trPr>
        <w:tc>
          <w:tcPr>
            <w:tcW w:w="50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Net earnings</w:t>
            </w:r>
          </w:p>
        </w:tc>
        <w:tc>
          <w:tcPr>
            <w:tcW w:w="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131,289</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120,475</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153,893</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165,465</w:t>
            </w:r>
          </w:p>
        </w:tc>
      </w:tr>
      <w:tr>
        <w:trPr>
          <w:trHeight w:val="67"/>
        </w:trPr>
        <w:tc>
          <w:tcPr>
            <w:tcW w:w="128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1.23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1.44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1.41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5000" w:type="dxa"/>
            <w:vAlign w:val="bottom"/>
            <w:gridSpan w:val="2"/>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 Basic</w:t>
            </w:r>
          </w:p>
        </w:tc>
        <w:tc>
          <w:tcPr>
            <w:tcW w:w="4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106,423</w:t>
            </w:r>
          </w:p>
        </w:tc>
        <w:tc>
          <w:tcPr>
            <w:tcW w:w="3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108,203</w:t>
            </w:r>
          </w:p>
        </w:tc>
        <w:tc>
          <w:tcPr>
            <w:tcW w:w="36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106,830</w:t>
            </w:r>
          </w:p>
        </w:tc>
        <w:tc>
          <w:tcPr>
            <w:tcW w:w="3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108,419</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9"/>
        </w:trPr>
        <w:tc>
          <w:tcPr>
            <w:tcW w:w="5000" w:type="dxa"/>
            <w:vAlign w:val="bottom"/>
            <w:gridSpan w:val="2"/>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 Diluted</w:t>
            </w:r>
          </w:p>
        </w:tc>
        <w:tc>
          <w:tcPr>
            <w:tcW w:w="4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108,835</w:t>
            </w:r>
          </w:p>
        </w:tc>
        <w:tc>
          <w:tcPr>
            <w:tcW w:w="3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111,138</w:t>
            </w:r>
          </w:p>
        </w:tc>
        <w:tc>
          <w:tcPr>
            <w:tcW w:w="36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109,353</w:t>
            </w:r>
          </w:p>
        </w:tc>
        <w:tc>
          <w:tcPr>
            <w:tcW w:w="3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111,451</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7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4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5,</w:t>
            </w:r>
          </w:p>
        </w:tc>
        <w:tc>
          <w:tcPr>
            <w:tcW w:w="38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5,</w:t>
            </w:r>
          </w:p>
        </w:tc>
      </w:tr>
      <w:tr>
        <w:trPr>
          <w:trHeight w:val="234"/>
        </w:trPr>
        <w:tc>
          <w:tcPr>
            <w:tcW w:w="4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131,289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120,475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153,893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165,465</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(8,663)</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2,209</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w w:val="95"/>
              </w:rPr>
              <w:t>Derivative instruments, net of tax of $1,412; $(257); $833; and</w:t>
            </w: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$29, respectively</w:t>
            </w:r>
          </w:p>
        </w:tc>
        <w:tc>
          <w:tcPr>
            <w:tcW w:w="5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3,760</w:t>
            </w:r>
          </w:p>
        </w:tc>
        <w:tc>
          <w:tcPr>
            <w:tcW w:w="3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1,741</w:t>
            </w:r>
          </w:p>
        </w:tc>
        <w:tc>
          <w:tcPr>
            <w:tcW w:w="3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981</w:t>
            </w:r>
          </w:p>
        </w:tc>
        <w:tc>
          <w:tcPr>
            <w:tcW w:w="3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1,962</w:t>
            </w:r>
          </w:p>
        </w:tc>
      </w:tr>
      <w:tr>
        <w:trPr>
          <w:trHeight w:val="27"/>
        </w:trPr>
        <w:tc>
          <w:tcPr>
            <w:tcW w:w="4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retiree medical benefits</w:t>
            </w:r>
          </w:p>
        </w:tc>
        <w:tc>
          <w:tcPr>
            <w:tcW w:w="5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331</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(4,572)</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2,341</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3,521</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2,679</w:t>
            </w:r>
          </w:p>
        </w:tc>
      </w:tr>
      <w:tr>
        <w:trPr>
          <w:trHeight w:val="27"/>
        </w:trPr>
        <w:tc>
          <w:tcPr>
            <w:tcW w:w="4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126,717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122,816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157,414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168,144</w:t>
            </w:r>
          </w:p>
        </w:tc>
      </w:tr>
      <w:tr>
        <w:trPr>
          <w:trHeight w:val="20"/>
        </w:trPr>
        <w:tc>
          <w:tcPr>
            <w:tcW w:w="4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108"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6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5,</w:t>
            </w:r>
          </w:p>
        </w:tc>
        <w:tc>
          <w:tcPr>
            <w:tcW w:w="26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October 31,</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67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206,100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265,191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310,256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329,570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328,524</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183,073</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394,801</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341,576</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328,992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47,758</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41,272</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37,565</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978,229</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976,563</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859,886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gross</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901,768</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874,910</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885,614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656,420</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650,633</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650,384</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245,348</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224,277</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235,230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42,994</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57,117</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64,083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225,736</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201,915</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205,029</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109,710</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108,268</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103,743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33,730</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30,618</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25,816</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1,635,747</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1,598,758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1,493,787</w:t>
            </w:r>
          </w:p>
        </w:tc>
      </w:tr>
      <w:tr>
        <w:trPr>
          <w:trHeight w:val="67"/>
        </w:trPr>
        <w:tc>
          <w:tcPr>
            <w:tcW w:w="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03"/>
        </w:trPr>
        <w:tc>
          <w:tcPr>
            <w:tcW w:w="67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6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13,000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26,258</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Short-term debt</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832</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303,911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273,600</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211,752</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335,496</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324,878</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283,786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652,407</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622,415</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521,796</w:t>
            </w:r>
          </w:p>
        </w:tc>
      </w:tr>
      <w:tr>
        <w:trPr>
          <w:trHeight w:val="291"/>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299,302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311,957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305,629</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24,672</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24,948</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24,761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34,269</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31,667</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22,783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Preferred stock, par value $1.00 per share, authorized 1,000,000 voting and 850,000 non-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voting shares, none issued and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w w:val="94"/>
              </w:rPr>
              <w:t>Common stock, par value $1.00 per share, authorized 175,000,000 shares; issued and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w w:val="95"/>
              </w:rPr>
              <w:t>outstanding 105,456,188 shares as of May 4, 2018, 107,879,717 shares as of May 5,</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2017, and 106,882,972 shares as of October 31, 2017</w:t>
            </w: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105,456</w:t>
            </w:r>
          </w:p>
        </w:tc>
        <w:tc>
          <w:tcPr>
            <w:tcW w:w="36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107,880</w:t>
            </w:r>
          </w:p>
        </w:tc>
        <w:tc>
          <w:tcPr>
            <w:tcW w:w="2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106,883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538,470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535,648</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534,329</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(20,599)</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(35,757)</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(24,120)</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623,327</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607,771</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617,092</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1,635,747</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1,598,758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1,493,787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6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5,</w:t>
            </w:r>
          </w:p>
        </w:tc>
      </w:tr>
      <w:tr>
        <w:trPr>
          <w:trHeight w:val="234"/>
        </w:trPr>
        <w:tc>
          <w:tcPr>
            <w:tcW w:w="7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153,893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165,465</w:t>
            </w:r>
          </w:p>
        </w:tc>
      </w:tr>
      <w:tr>
        <w:trPr>
          <w:trHeight w:val="27"/>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(5,370)</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(4,686)</w:t>
            </w:r>
          </w:p>
        </w:tc>
      </w:tr>
      <w:tr>
        <w:trPr>
          <w:trHeight w:val="27"/>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to finance affiliate, net</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30,141</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34,548</w:t>
            </w:r>
          </w:p>
        </w:tc>
      </w:tr>
      <w:tr>
        <w:trPr>
          <w:trHeight w:val="27"/>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5,565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6,629</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21,121</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(143,947)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(164,495)</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(62,575)</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(30,100)</w:t>
            </w:r>
          </w:p>
        </w:tc>
      </w:tr>
      <w:tr>
        <w:trPr>
          <w:trHeight w:val="27"/>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151,007</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172,643</w:t>
            </w:r>
          </w:p>
        </w:tc>
      </w:tr>
      <w:tr>
        <w:trPr>
          <w:trHeight w:val="27"/>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138,434</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167,723</w:t>
            </w:r>
          </w:p>
        </w:tc>
      </w:tr>
      <w:tr>
        <w:trPr>
          <w:trHeight w:val="291"/>
        </w:trPr>
        <w:tc>
          <w:tcPr>
            <w:tcW w:w="7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(35,365)</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(22,273)</w:t>
            </w:r>
          </w:p>
        </w:tc>
      </w:tr>
      <w:tr>
        <w:trPr>
          <w:trHeight w:val="27"/>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noncontrolling interest</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(31,202)</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(24,181)</w:t>
            </w:r>
          </w:p>
        </w:tc>
      </w:tr>
      <w:tr>
        <w:trPr>
          <w:trHeight w:val="27"/>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(66,900)</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(46,454)</w:t>
            </w:r>
          </w:p>
        </w:tc>
      </w:tr>
      <w:tr>
        <w:trPr>
          <w:trHeight w:val="291"/>
        </w:trPr>
        <w:tc>
          <w:tcPr>
            <w:tcW w:w="7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Increase in short-term debt, net</w:t>
            </w:r>
          </w:p>
        </w:tc>
        <w:tc>
          <w:tcPr>
            <w:tcW w:w="1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832</w:t>
            </w:r>
          </w:p>
        </w:tc>
      </w:tr>
      <w:tr>
        <w:trPr>
          <w:trHeight w:val="27"/>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(20,239)</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5,778</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8,222</w:t>
            </w:r>
          </w:p>
        </w:tc>
      </w:tr>
      <w:tr>
        <w:trPr>
          <w:trHeight w:val="27"/>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for stock awards</w:t>
            </w:r>
          </w:p>
        </w:tc>
        <w:tc>
          <w:tcPr>
            <w:tcW w:w="1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(116,490)</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(82,239)</w:t>
            </w:r>
          </w:p>
        </w:tc>
      </w:tr>
      <w:tr>
        <w:trPr>
          <w:trHeight w:val="27"/>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1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(42,679)</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(37,936)</w:t>
            </w:r>
          </w:p>
        </w:tc>
      </w:tr>
      <w:tr>
        <w:trPr>
          <w:trHeight w:val="237"/>
        </w:trPr>
        <w:tc>
          <w:tcPr>
            <w:tcW w:w="73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(176,842)</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(129,774)</w:t>
            </w:r>
          </w:p>
        </w:tc>
      </w:tr>
      <w:tr>
        <w:trPr>
          <w:trHeight w:val="27"/>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1,152</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(104,156)</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(8,364)</w:t>
            </w:r>
          </w:p>
        </w:tc>
      </w:tr>
      <w:tr>
        <w:trPr>
          <w:trHeight w:val="27"/>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310,256</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273,555</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206,100</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265,191</w:t>
            </w:r>
          </w:p>
        </w:tc>
      </w:tr>
      <w:tr>
        <w:trPr>
          <w:trHeight w:val="27"/>
        </w:trPr>
        <w:tc>
          <w:tcPr>
            <w:tcW w:w="7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generally accepted accounting principles (“U.S. GAAP”) for complete financial statements. Unless the context indicates otherwise, the terms “company,” “Toro,” “we,” “our” or “us” refer to The Toro Company and its consolidated subsidiaries. All intercompany accounts and transactions have been eliminated from the unaudited Condensed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Since the company’s business is seasonal, operating results for the six months ended May 4, 2018 cannot be annualized to determine the expected results for the fiscal year ending October 31, 2018.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further information, refer to the Consolidated Financial Statements and Notes to Consolidated Financial Statements included in the company’s Annual Report on Form 10-K for the fiscal year ended October 31, 2017. The policies described in that report are used for preparing quarterly reports.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reserves, earn-out liabilities, allowance for doubtful accounts, pension and post-retirement accruals, self-insurance accruals, useful lives for tangible and definite-lived intangible assets, and future cash flows associated with impairment testing for goodwill, indefinite-lived intangible assets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 Changes in those estimates will be reflected in the Consolidated Financial Statements in future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Tax Reform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United States (“U.S.”) enacted Public Law No. 115-97 (“Tax Act”), originally introduced as the Tax Cuts and Jobs Act, to significantly modify the Internal Revenue Code. The Tax Act reduced the U.S. federal corporate tax rate from 35.0 percent to 21.0 percent, created a territorial tax system with an exemption for foreign dividends, and imposed a one-time deemed repatriation tax on a U.S. company's historical undistributed earnings and profits of foreign affiliates. The tax rate change is effective January 1, 2018, resulting in a blended statutory tax rate of 23.3 percent for the fiscal year ended October 31, 2018. Among other provisions, the Tax Act also increased expensing for certain business assets, created new taxes on certain foreign sourced earnings, adopted limitations on business interest expense deductions, repealed deductions for income attributable to domestic production activities, and added other anti-base erosion rules. The effective dates for the provisions set forth in the Tax Act vary as to when the provisions will apply to the company.</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response to the Tax Act, the U.S. Securities and Exchange Commission (“SEC”) provided guidance by issuing Staff Accounting Bulletin No. 118 (“SAB 118”). SAB 118 allows companies to record provisional amounts during a measurement period with respect to the impacts of the Tax Act for which the accounting requirements under Accounting Standards Codification (“ASC”)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Topic 740 are not complete, but a reasonable estimate has been determined. The measurement period under SAB 118 ends when a company has obtained, prepared, and analyzed the information that was needed in order to complete the accounting requirements under ASC Topic 740, but cannot exceed one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May 4, 2018, the company has not completed the accounting for the effects of the Tax Act. However, the company has estimated the impacts of the Tax Act in its annual effective tax rate, and has recorded provisional amounts for the remeasurement of deferred tax assets and liabilities and the deemed repatriation tax.</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have recorded provisional amounts for the items expected to most significantly impact our financial statements this year, our evaluation is not complete and, accordingly, we have not yet reached a final conclusion on the overall impacts of the Tax Act. The company needs additional time to obtain, prepare, and analyze information related to the applicable provisions of the Tax Act. The actual impact of the Tax Act may differ from the provisional amounts, due to, among other things, changes in interpretations and assumptions the company has made, guidance that may be issued, and changes in the company's structure or business model.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2018, the Financial Accounting Standards Board issued Accounting Standards Update No. 2018-02, </w:t>
      </w:r>
      <w:r>
        <w:rPr>
          <w:rFonts w:ascii="Arial" w:cs="Arial" w:eastAsia="Arial" w:hAnsi="Arial"/>
          <w:sz w:val="17"/>
          <w:szCs w:val="17"/>
          <w:i w:val="1"/>
          <w:iCs w:val="1"/>
          <w:color w:val="auto"/>
        </w:rPr>
        <w:t>Income Statement -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 (Topic 220): Reclassification of Certain Tax Effects from Accumulated Other Comprehensive Income</w:t>
      </w:r>
      <w:r>
        <w:rPr>
          <w:rFonts w:ascii="Arial" w:cs="Arial" w:eastAsia="Arial" w:hAnsi="Arial"/>
          <w:sz w:val="17"/>
          <w:szCs w:val="17"/>
          <w:color w:val="auto"/>
        </w:rPr>
        <w:t>, which provides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reclassification of the stranded tax effect of remeasuring deferred tax balances related to items within accumulated other comprehensive income (“AOCI”) to retained earnings resulting from the Tax Act. The amendment also includes disclosure requirements regarding an entity's accounting policy for releasing income tax effects from AOCI. The company elected to early adopt this guidance as of the beginning of the second quarter of fiscal 2018. The company had $0.1 million of net stranded income tax effects in accumulated other comprehensive loss (“AOCL”) within the Condensed Consolidated Balance Sheets as a result of the lower U.S. federal corporate tax rate due to the enactment of the Tax Act. The net amount of stranded income tax effects within AOCL was determined under the portfolio approach and was derived from the deferred tax balances on the company’s pension and post-retirement benefit plans and cash flow hedging derivative instruments. The adoption of the guidance resulted in the transfer of $0.1 million of net stranded income tax effects out of AOCL and into retained earnings with no impact to total stockholders’ equity or net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 Rich Products, Inc.</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Effective March 19, 2018, during the second quarter of fiscal 2018, the company completed the acquisition of substantially all of the assets of, and assumed certain liabilities for, L.T. Rich Products, Inc., a manufacturer of professional zero-turn spreader/sprayers, aerators, and snow and ice management equipment. The addition of these products broadens and strengthens the company’s Professional segment solutions for landscape contractors and grounds professionals.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purchase price of this acquisition was allocated to the identifiable assets acquired and liabilities assumed based on estimates of their fair value, with the excess purchase price recorded as goodwill. As of May 4, 2018, the company has not yet finalized the purchase accounting for this acquisition, but expects to finalize such purchase accounting within one year from the date of acquisition. Additional purchase accounting disclosures have been omitted given the immateriality of this acquisition in relation to the company's Consolidated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Regnerbau Calw GmbH</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2017, during the first quarter of fiscal 2017, the company completed the acquisition of all the outstanding shares of Regnerbau Calw GmbH (“Perrot”), a privately held manufacturer of professional irrigation equipment. The addition of these products broadened and strengthened the company's irrigation solutions for the sport, agricultural, and industrial markets. The acquisition was funded with existing foreign cash and cash equivalents.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in Joint Venture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primarily provides inventory financing to certain distributors and dealers of the company’s products in the United States. On November 29, 2016, during the first quarter of fiscal 2017, the company entered into amended agreements for its Red Iron joint venture with TCFIF. As a result, the amended term of Red Iron will continue until October 31, 2024, subject to two-year extensions thereafter. Either the company or TCFIF may elect not to extend the amended term, or any subsequent term, by giving one-year written notice to the other party.</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$550 million secured revolving credit facility established under a credit agreement between Red Iron and TCFIF. The company’s total investment in Red Iron as of May 4, 2018 was $29.0 million. The company has not guaranteed the outstanding indebtedness of Red Iron.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agreed to repurchase products repossessed by Red Iron and the TCFIF Canadian affiliate, up to a maximum aggregate amount of $7.5 million in a calendar year. 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six months ended May 4, 2018 and May 5, 2017 were $990.4 million and $959.8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2018, Red Iron’s total assets were $574.6 million and total liabilities were $510.2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a majority of the company's inventories and the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5,</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3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2017</w:t>
            </w:r>
          </w:p>
        </w:tc>
      </w:tr>
      <w:tr>
        <w:trPr>
          <w:trHeight w:val="27"/>
        </w:trPr>
        <w:tc>
          <w:tcPr>
            <w:tcW w:w="4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work in process</w:t>
            </w: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112,435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96,723</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100,077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Finished goods and service parts</w:t>
            </w:r>
          </w:p>
        </w:tc>
        <w:tc>
          <w:tcPr>
            <w:tcW w:w="2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349,167</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303,211</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295,716</w:t>
            </w:r>
          </w:p>
        </w:tc>
      </w:tr>
      <w:tr>
        <w:trPr>
          <w:trHeight w:val="27"/>
        </w:trPr>
        <w:tc>
          <w:tcPr>
            <w:tcW w:w="4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461,602</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399,934</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395,793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Less: adjustment to LIFO value</w:t>
            </w:r>
          </w:p>
        </w:tc>
        <w:tc>
          <w:tcPr>
            <w:tcW w:w="2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66,801</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58,358</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66,801</w:t>
            </w:r>
          </w:p>
        </w:tc>
      </w:tr>
      <w:tr>
        <w:trPr>
          <w:trHeight w:val="27"/>
        </w:trPr>
        <w:tc>
          <w:tcPr>
            <w:tcW w:w="46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net</w:t>
            </w:r>
          </w:p>
        </w:tc>
        <w:tc>
          <w:tcPr>
            <w:tcW w:w="2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394,801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341,576</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328,992</w:t>
            </w:r>
          </w:p>
        </w:tc>
      </w:tr>
      <w:tr>
        <w:trPr>
          <w:trHeight w:val="20"/>
        </w:trPr>
        <w:tc>
          <w:tcPr>
            <w:tcW w:w="468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six months of fiscal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9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Segment</w:t>
            </w:r>
          </w:p>
        </w:tc>
        <w:tc>
          <w:tcPr>
            <w:tcW w:w="30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Segment</w:t>
            </w:r>
          </w:p>
        </w:tc>
        <w:tc>
          <w:tcPr>
            <w:tcW w:w="4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9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2017</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194,464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205,029</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29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20,393</w:t>
            </w:r>
          </w:p>
        </w:tc>
        <w:tc>
          <w:tcPr>
            <w:tcW w:w="3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20,393</w:t>
            </w:r>
          </w:p>
        </w:tc>
      </w:tr>
      <w:tr>
        <w:trPr>
          <w:trHeight w:val="27"/>
        </w:trPr>
        <w:tc>
          <w:tcPr>
            <w:tcW w:w="3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9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37"/>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May 4, 2018</w:t>
            </w:r>
          </w:p>
        </w:tc>
        <w:tc>
          <w:tcPr>
            <w:tcW w:w="2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215,151</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10,585</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225,736</w:t>
            </w:r>
          </w:p>
        </w:tc>
      </w:tr>
      <w:tr>
        <w:trPr>
          <w:trHeight w:val="27"/>
        </w:trPr>
        <w:tc>
          <w:tcPr>
            <w:tcW w:w="39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2980" w:type="dxa"/>
            <w:vAlign w:val="bottom"/>
          </w:tcPr>
          <w:p>
            <w:pPr>
              <w:jc w:val="right"/>
              <w:ind w:right="1110"/>
              <w:spacing w:after="0"/>
              <w:rPr>
                <w:sz w:val="20"/>
                <w:szCs w:val="20"/>
                <w:color w:val="auto"/>
              </w:rPr>
            </w:pPr>
            <w:r>
              <w:rPr>
                <w:rFonts w:ascii="Arial" w:cs="Arial" w:eastAsia="Arial" w:hAnsi="Arial"/>
                <w:sz w:val="18"/>
                <w:szCs w:val="18"/>
                <w:color w:val="auto"/>
              </w:rPr>
              <w:t>8</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as of May 4,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Gross Carrying</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6,350</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6,918</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(6,806)</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89,874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68,590</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31,180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(27,872)</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3,308</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149,410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(70,423)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78,987</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30,723</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30,723</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(70,423)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109,710</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380" w:type="dxa"/>
            <w:vAlign w:val="bottom"/>
          </w:tcPr>
          <w:p>
            <w:pPr>
              <w:spacing w:after="0"/>
              <w:rPr>
                <w:sz w:val="20"/>
                <w:szCs w:val="20"/>
                <w:color w:val="auto"/>
              </w:rPr>
            </w:pPr>
            <w:r>
              <w:rPr>
                <w:rFonts w:ascii="Arial" w:cs="Arial" w:eastAsia="Arial" w:hAnsi="Arial"/>
                <w:sz w:val="18"/>
                <w:szCs w:val="18"/>
                <w:color w:val="auto"/>
                <w:w w:val="96"/>
              </w:rPr>
              <w:t>The components of other intangible assets as of October 31, 2017 were as follows:</w:t>
            </w: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63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218"/>
        </w:trPr>
        <w:tc>
          <w:tcPr>
            <w:tcW w:w="6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Gross Carrying</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6,896</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(6,775)</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87,461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68,521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30,212</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(26,939)</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3,273</w:t>
            </w:r>
          </w:p>
        </w:tc>
      </w:tr>
      <w:tr>
        <w:trPr>
          <w:trHeight w:val="27"/>
        </w:trPr>
        <w:tc>
          <w:tcPr>
            <w:tcW w:w="6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142,861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76,171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27,572</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27,572</w:t>
            </w:r>
          </w:p>
        </w:tc>
      </w:tr>
      <w:tr>
        <w:trPr>
          <w:trHeight w:val="27"/>
        </w:trPr>
        <w:tc>
          <w:tcPr>
            <w:tcW w:w="6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103,743</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intangible assets during the second quarter of fiscal 2018 was $1.8 million, compared to $2.5 million for the same period last fiscal year. Amortization expense for intangible assets during the first six months of fiscal 2018 was $3.6 million, compared to $4.9 million for the same period last fiscal year. Estimated amortization expense for the remainder of fiscal 2018 and succeeding fiscal years is as follows: fiscal 2018 (remainder), $3.7 million; fiscal 2019, $6.7 million; fiscal 2020, $6.2 million; fiscal 2021, $5.8 million; fiscal 2022, $5.6 million; fiscal 2023, $5.2 million; and after fiscal 2023, $45.8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AOCL, net of tax,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6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5,</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6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October 31, 2017</w:t>
            </w:r>
          </w:p>
        </w:tc>
      </w:tr>
      <w:tr>
        <w:trPr>
          <w:trHeight w:val="27"/>
        </w:trPr>
        <w:tc>
          <w:tcPr>
            <w:tcW w:w="44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19,094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30,508</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Pension and post-retirement benefits</w:t>
            </w:r>
          </w:p>
        </w:tc>
        <w:tc>
          <w:tcPr>
            <w:tcW w:w="26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1,681</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6,564</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2,012</w:t>
            </w:r>
          </w:p>
        </w:tc>
      </w:tr>
      <w:tr>
        <w:trPr>
          <w:trHeight w:val="27"/>
        </w:trPr>
        <w:tc>
          <w:tcPr>
            <w:tcW w:w="4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hedging derivative instruments</w:t>
            </w:r>
          </w:p>
        </w:tc>
        <w:tc>
          <w:tcPr>
            <w:tcW w:w="2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37"/>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20,599</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35,757</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24,120</w:t>
            </w:r>
          </w:p>
        </w:tc>
      </w:tr>
      <w:tr>
        <w:trPr>
          <w:trHeight w:val="27"/>
        </w:trPr>
        <w:tc>
          <w:tcPr>
            <w:tcW w:w="44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2600" w:type="dxa"/>
            <w:vAlign w:val="bottom"/>
          </w:tcPr>
          <w:p>
            <w:pPr>
              <w:jc w:val="right"/>
              <w:ind w:right="1210"/>
              <w:spacing w:after="0"/>
              <w:rPr>
                <w:sz w:val="20"/>
                <w:szCs w:val="20"/>
                <w:color w:val="auto"/>
              </w:rPr>
            </w:pPr>
            <w:r>
              <w:rPr>
                <w:rFonts w:ascii="Arial" w:cs="Arial" w:eastAsia="Arial" w:hAnsi="Arial"/>
                <w:sz w:val="18"/>
                <w:szCs w:val="18"/>
                <w:color w:val="auto"/>
              </w:rPr>
              <w:t>9</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six months of fiscal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Cash Flow</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Currency</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and Post-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Translation</w:t>
            </w:r>
          </w:p>
        </w:tc>
        <w:tc>
          <w:tcPr>
            <w:tcW w:w="30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Instruments</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21,303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(2,209)</w:t>
            </w:r>
          </w:p>
        </w:tc>
        <w:tc>
          <w:tcPr>
            <w:tcW w:w="3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(3,820)</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(5,944)</w:t>
            </w:r>
          </w:p>
        </w:tc>
      </w:tr>
      <w:tr>
        <w:trPr>
          <w:trHeight w:val="27"/>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2,839</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2,423</w:t>
            </w: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6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(2,209)</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(3,521)</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May 4, 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19,094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20,599</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six months of fiscal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Cash Flow</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Currency</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and Post-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Translation</w:t>
            </w:r>
          </w:p>
        </w:tc>
        <w:tc>
          <w:tcPr>
            <w:tcW w:w="30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Instruments</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31,430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38,436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3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7"/>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(922)</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205</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May 5, 2017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30,508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35,757</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components reclassified from AOCL to the respective line items within net earnings for the company's cash flow hedging derivative instruments, refer to Note 12,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costs related to stock-based awards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7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4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4,</w:t>
            </w:r>
          </w:p>
        </w:tc>
        <w:tc>
          <w:tcPr>
            <w:tcW w:w="40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5,</w:t>
            </w:r>
          </w:p>
        </w:tc>
        <w:tc>
          <w:tcPr>
            <w:tcW w:w="38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5,</w:t>
            </w:r>
          </w:p>
        </w:tc>
      </w:tr>
      <w:tr>
        <w:trPr>
          <w:trHeight w:val="234"/>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awards</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650</w:t>
            </w:r>
          </w:p>
        </w:tc>
        <w:tc>
          <w:tcPr>
            <w:tcW w:w="4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1,655</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1,151</w:t>
            </w:r>
          </w:p>
        </w:tc>
      </w:tr>
      <w:tr>
        <w:trPr>
          <w:trHeight w:val="27"/>
        </w:trPr>
        <w:tc>
          <w:tcPr>
            <w:tcW w:w="4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awards</w:t>
            </w: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551</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Unrestricted common stock awards</w:t>
            </w:r>
          </w:p>
        </w:tc>
        <w:tc>
          <w:tcPr>
            <w:tcW w:w="1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
        </w:trPr>
        <w:tc>
          <w:tcPr>
            <w:tcW w:w="4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compensation cost for stock-based awards</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2,441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6,629</w:t>
            </w:r>
          </w:p>
        </w:tc>
      </w:tr>
      <w:tr>
        <w:trPr>
          <w:trHeight w:val="20"/>
        </w:trPr>
        <w:tc>
          <w:tcPr>
            <w:tcW w:w="4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six months of fiscal years 2018 and 2017, 8,388 and 11,412 shares, respectively, of fully vested unrestricted common stock awards were granted to certain members of the company's Board of Directors as a component of their compensation for their service on the board and are recorded in selling, general and administrative expense in the Condensed Consolidated Statements of Earnings. No shares of fully vested unrestricted common stock awards were granted during the second quarter of fiscal years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expense equal to the grant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 grant because generally the option holder must be employed after the last day of the fiscal year in which the stock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stock price volatility, and dividend yield must be applied. The expected life is the average length of time in which executive officers, other employees, and non-employee directors are expected to exercise their stock options, which is primarily based on historical exercise experience. The company groups executive officers and non-employee directors for valuation purposes based on similar historical exercise behavior. Expected stock price volatilities are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620" w:type="dxa"/>
            <w:vAlign w:val="bottom"/>
          </w:tcPr>
          <w:p>
            <w:pPr>
              <w:ind w:left="2380"/>
              <w:spacing w:after="0"/>
              <w:rPr>
                <w:sz w:val="20"/>
                <w:szCs w:val="20"/>
                <w:color w:val="auto"/>
              </w:rPr>
            </w:pPr>
            <w:r>
              <w:rPr>
                <w:rFonts w:ascii="Arial" w:cs="Arial" w:eastAsia="Arial" w:hAnsi="Arial"/>
                <w:sz w:val="18"/>
                <w:szCs w:val="18"/>
                <w:b w:val="1"/>
                <w:bCs w:val="1"/>
                <w:color w:val="auto"/>
              </w:rPr>
              <w:t>Fiscal 2018</w:t>
            </w:r>
          </w:p>
        </w:tc>
        <w:tc>
          <w:tcPr>
            <w:tcW w:w="1520" w:type="dxa"/>
            <w:vAlign w:val="bottom"/>
          </w:tcPr>
          <w:p>
            <w:pPr>
              <w:ind w:left="360"/>
              <w:spacing w:after="0"/>
              <w:rPr>
                <w:sz w:val="20"/>
                <w:szCs w:val="20"/>
                <w:color w:val="auto"/>
              </w:rPr>
            </w:pPr>
            <w:r>
              <w:rPr>
                <w:rFonts w:ascii="Arial" w:cs="Arial" w:eastAsia="Arial" w:hAnsi="Arial"/>
                <w:sz w:val="18"/>
                <w:szCs w:val="18"/>
                <w:b w:val="1"/>
                <w:bCs w:val="1"/>
                <w:color w:val="auto"/>
              </w:rPr>
              <w:t>Fiscal 2017</w:t>
            </w:r>
          </w:p>
        </w:tc>
      </w:tr>
      <w:tr>
        <w:trPr>
          <w:trHeight w:val="27"/>
        </w:trPr>
        <w:tc>
          <w:tcPr>
            <w:tcW w:w="62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 in years</w:t>
            </w:r>
          </w:p>
        </w:tc>
        <w:tc>
          <w:tcPr>
            <w:tcW w:w="3620" w:type="dxa"/>
            <w:vAlign w:val="bottom"/>
            <w:tcBorders>
              <w:bottom w:val="single" w:sz="8" w:color="CCEEFF"/>
            </w:tcBorders>
            <w:shd w:val="clear" w:color="auto" w:fill="CCEEFF"/>
          </w:tcPr>
          <w:p>
            <w:pPr>
              <w:jc w:val="center"/>
              <w:ind w:left="1930"/>
              <w:spacing w:after="0"/>
              <w:rPr>
                <w:sz w:val="20"/>
                <w:szCs w:val="20"/>
                <w:color w:val="auto"/>
              </w:rPr>
            </w:pPr>
            <w:r>
              <w:rPr>
                <w:rFonts w:ascii="Arial" w:cs="Arial" w:eastAsia="Arial" w:hAnsi="Arial"/>
                <w:sz w:val="18"/>
                <w:szCs w:val="18"/>
                <w:color w:val="auto"/>
                <w:w w:val="91"/>
              </w:rPr>
              <w:t>6.04</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620" w:type="dxa"/>
            <w:vAlign w:val="bottom"/>
          </w:tcPr>
          <w:p>
            <w:pPr>
              <w:jc w:val="center"/>
              <w:ind w:left="1930"/>
              <w:spacing w:after="0"/>
              <w:rPr>
                <w:sz w:val="20"/>
                <w:szCs w:val="20"/>
                <w:color w:val="auto"/>
              </w:rPr>
            </w:pPr>
            <w:r>
              <w:rPr>
                <w:rFonts w:ascii="Arial" w:cs="Arial" w:eastAsia="Arial" w:hAnsi="Arial"/>
                <w:sz w:val="18"/>
                <w:szCs w:val="18"/>
                <w:color w:val="auto"/>
                <w:w w:val="91"/>
              </w:rPr>
              <w:t>20.58%</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22.15%</w:t>
            </w:r>
          </w:p>
        </w:tc>
      </w:tr>
      <w:tr>
        <w:trPr>
          <w:trHeight w:val="27"/>
        </w:trPr>
        <w:tc>
          <w:tcPr>
            <w:tcW w:w="62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62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90"/>
              </w:rPr>
              <w:t>2.21%</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620" w:type="dxa"/>
            <w:vAlign w:val="bottom"/>
          </w:tcPr>
          <w:p>
            <w:pPr>
              <w:jc w:val="center"/>
              <w:ind w:left="1910"/>
              <w:spacing w:after="0"/>
              <w:rPr>
                <w:sz w:val="20"/>
                <w:szCs w:val="20"/>
                <w:color w:val="auto"/>
              </w:rPr>
            </w:pPr>
            <w:r>
              <w:rPr>
                <w:rFonts w:ascii="Arial" w:cs="Arial" w:eastAsia="Arial" w:hAnsi="Arial"/>
                <w:sz w:val="18"/>
                <w:szCs w:val="18"/>
                <w:color w:val="auto"/>
                <w:w w:val="90"/>
              </w:rPr>
              <w:t>0.97%</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1.01%</w:t>
            </w:r>
          </w:p>
        </w:tc>
      </w:tr>
      <w:tr>
        <w:trPr>
          <w:trHeight w:val="27"/>
        </w:trPr>
        <w:tc>
          <w:tcPr>
            <w:tcW w:w="62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weighted-average fair value at date of grant</w:t>
            </w:r>
          </w:p>
        </w:tc>
        <w:tc>
          <w:tcPr>
            <w:tcW w:w="3620" w:type="dxa"/>
            <w:vAlign w:val="bottom"/>
            <w:tcBorders>
              <w:bottom w:val="single" w:sz="8" w:color="CCEEFF"/>
            </w:tcBorders>
            <w:shd w:val="clear" w:color="auto" w:fill="CCEEFF"/>
          </w:tcPr>
          <w:p>
            <w:pPr>
              <w:jc w:val="center"/>
              <w:ind w:left="1910"/>
              <w:spacing w:after="0"/>
              <w:rPr>
                <w:sz w:val="20"/>
                <w:szCs w:val="20"/>
                <w:color w:val="auto"/>
              </w:rPr>
            </w:pPr>
            <w:r>
              <w:rPr>
                <w:rFonts w:ascii="Arial" w:cs="Arial" w:eastAsia="Arial" w:hAnsi="Arial"/>
                <w:sz w:val="18"/>
                <w:szCs w:val="18"/>
                <w:color w:val="auto"/>
                <w:w w:val="90"/>
              </w:rPr>
              <w:t>$14.25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$12.55</w:t>
            </w:r>
          </w:p>
        </w:tc>
      </w:tr>
      <w:tr>
        <w:trPr>
          <w:trHeight w:val="20"/>
        </w:trPr>
        <w:tc>
          <w:tcPr>
            <w:tcW w:w="628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weighted-average fair value of performance share awards granted during the first quarter of fiscal 2018 and 2017 was $65.40 and $54.52, respectively. No performance share awards were granted during the second quarter of fiscal 2018 and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unit awards, is recognized for these awards over the vesting period. The per share weighted-average fair value of restricted stock unit awards granted during the first six months of fiscal 2018 and 2017 was $65.82 and $56.67,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c>
          <w:tcPr>
            <w:tcW w:w="29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Pr>
          <w:p>
            <w:pPr>
              <w:jc w:val="right"/>
              <w:ind w:right="650"/>
              <w:spacing w:after="0"/>
              <w:rPr>
                <w:sz w:val="20"/>
                <w:szCs w:val="20"/>
                <w:color w:val="auto"/>
              </w:rPr>
            </w:pPr>
            <w:r>
              <w:rPr>
                <w:rFonts w:ascii="Arial" w:cs="Arial" w:eastAsia="Arial" w:hAnsi="Arial"/>
                <w:sz w:val="18"/>
                <w:szCs w:val="18"/>
                <w:b w:val="1"/>
                <w:bCs w:val="1"/>
                <w:color w:val="auto"/>
              </w:rPr>
              <w:t>May 4,</w:t>
            </w:r>
          </w:p>
        </w:tc>
        <w:tc>
          <w:tcPr>
            <w:tcW w:w="1600" w:type="dxa"/>
            <w:vAlign w:val="bottom"/>
          </w:tcPr>
          <w:p>
            <w:pPr>
              <w:jc w:val="right"/>
              <w:ind w:right="630"/>
              <w:spacing w:after="0"/>
              <w:rPr>
                <w:sz w:val="20"/>
                <w:szCs w:val="20"/>
                <w:color w:val="auto"/>
              </w:rPr>
            </w:pPr>
            <w:r>
              <w:rPr>
                <w:rFonts w:ascii="Arial" w:cs="Arial" w:eastAsia="Arial" w:hAnsi="Arial"/>
                <w:sz w:val="18"/>
                <w:szCs w:val="18"/>
                <w:b w:val="1"/>
                <w:bCs w:val="1"/>
                <w:color w:val="auto"/>
              </w:rPr>
              <w:t>May 5,</w:t>
            </w: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May 4,</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5,</w:t>
            </w:r>
          </w:p>
        </w:tc>
      </w:tr>
      <w:tr>
        <w:trPr>
          <w:trHeight w:val="234"/>
        </w:trPr>
        <w:tc>
          <w:tcPr>
            <w:tcW w:w="5260" w:type="dxa"/>
            <w:vAlign w:val="bottom"/>
            <w:gridSpan w:val="4"/>
          </w:tcPr>
          <w:p>
            <w:pPr>
              <w:ind w:left="40"/>
              <w:spacing w:after="0"/>
              <w:rPr>
                <w:sz w:val="20"/>
                <w:szCs w:val="20"/>
                <w:color w:val="auto"/>
              </w:rPr>
            </w:pPr>
            <w:r>
              <w:rPr>
                <w:rFonts w:ascii="Arial" w:cs="Arial" w:eastAsia="Arial" w:hAnsi="Arial"/>
                <w:sz w:val="18"/>
                <w:szCs w:val="18"/>
                <w:b w:val="1"/>
                <w:bCs w:val="1"/>
                <w:color w:val="auto"/>
              </w:rPr>
              <w:t>(Shares in thousands)</w:t>
            </w:r>
          </w:p>
        </w:tc>
        <w:tc>
          <w:tcPr>
            <w:tcW w:w="16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6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5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526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Basic</w:t>
            </w:r>
          </w:p>
        </w:tc>
        <w:tc>
          <w:tcPr>
            <w:tcW w:w="16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Weighted-average number of shares of common stock</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106,423</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108,203</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106,804</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108,398</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Assumed issuance of contingent shares</w:t>
            </w:r>
          </w:p>
        </w:tc>
        <w:tc>
          <w:tcPr>
            <w:tcW w:w="1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22"/>
        </w:trPr>
        <w:tc>
          <w:tcPr>
            <w:tcW w:w="526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w w:val="95"/>
              </w:rPr>
              <w:t>Weighted-average number of shares of common stock and assumed</w:t>
            </w:r>
          </w:p>
        </w:tc>
        <w:tc>
          <w:tcPr>
            <w:tcW w:w="16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30"/>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106,423</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108,203</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106,830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108,419</w:t>
            </w:r>
          </w:p>
        </w:tc>
      </w:tr>
      <w:tr>
        <w:trPr>
          <w:trHeight w:val="67"/>
        </w:trPr>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183"/>
        </w:trPr>
        <w:tc>
          <w:tcPr>
            <w:tcW w:w="5260" w:type="dxa"/>
            <w:vAlign w:val="bottom"/>
            <w:gridSpan w:val="4"/>
            <w:shd w:val="clear" w:color="auto" w:fill="CCEEFF"/>
          </w:tcPr>
          <w:p>
            <w:pPr>
              <w:ind w:left="40"/>
              <w:spacing w:after="0" w:line="183" w:lineRule="exact"/>
              <w:rPr>
                <w:sz w:val="20"/>
                <w:szCs w:val="20"/>
                <w:color w:val="auto"/>
              </w:rPr>
            </w:pPr>
            <w:r>
              <w:rPr>
                <w:rFonts w:ascii="Arial" w:cs="Arial" w:eastAsia="Arial" w:hAnsi="Arial"/>
                <w:sz w:val="18"/>
                <w:szCs w:val="18"/>
                <w:i w:val="1"/>
                <w:iCs w:val="1"/>
                <w:color w:val="auto"/>
              </w:rPr>
              <w:t>Diluted</w:t>
            </w:r>
          </w:p>
        </w:tc>
        <w:tc>
          <w:tcPr>
            <w:tcW w:w="16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29"/>
        </w:trPr>
        <w:tc>
          <w:tcPr>
            <w:tcW w:w="5260" w:type="dxa"/>
            <w:vAlign w:val="bottom"/>
            <w:gridSpan w:val="4"/>
          </w:tcPr>
          <w:p>
            <w:pPr>
              <w:ind w:left="40"/>
              <w:spacing w:after="0"/>
              <w:rPr>
                <w:sz w:val="20"/>
                <w:szCs w:val="20"/>
                <w:color w:val="auto"/>
              </w:rPr>
            </w:pPr>
            <w:r>
              <w:rPr>
                <w:rFonts w:ascii="Arial" w:cs="Arial" w:eastAsia="Arial" w:hAnsi="Arial"/>
                <w:sz w:val="18"/>
                <w:szCs w:val="18"/>
                <w:color w:val="auto"/>
                <w:w w:val="95"/>
              </w:rPr>
              <w:t>Weighted-average number of shares of common stock and assumed</w:t>
            </w:r>
          </w:p>
        </w:tc>
        <w:tc>
          <w:tcPr>
            <w:tcW w:w="1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106,423</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108,203</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106,830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108,419</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2,412</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2,935</w:t>
            </w:r>
          </w:p>
        </w:tc>
        <w:tc>
          <w:tcPr>
            <w:tcW w:w="15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2,523</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3,032</w:t>
            </w:r>
          </w:p>
        </w:tc>
      </w:tr>
      <w:tr>
        <w:trPr>
          <w:trHeight w:val="222"/>
        </w:trPr>
        <w:tc>
          <w:tcPr>
            <w:tcW w:w="526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Weighted-average number of shares of common stock, assumed</w:t>
            </w:r>
          </w:p>
        </w:tc>
        <w:tc>
          <w:tcPr>
            <w:tcW w:w="16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30"/>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 and effect of dilutive securities</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108,835</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111,138</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109,353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111,451</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Incremental shares from options and restricted stock units are computed under the treasury stock method. Options to purchase 464,557 and 509,805 shares of common stock during the second quarter of fiscal 2018 and 2017, respectively, were excluded from diluted net earnings per share because they were anti-dilutive. Options to purchase 385,434 and 404,096 shares of common stock during the first six months of fiscal 2018 and 2017, respectively, were excluded from diluted net earnings per share because they were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Data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a wholly-owned domestic distributorship, has been combined with the company’s corporate activities and elimination of intersegment revenues and expenses that is shown as “Other” in the following tables due to the insignificance of the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May 4, 2018</w:t>
            </w:r>
          </w:p>
        </w:tc>
        <w:tc>
          <w:tcPr>
            <w:tcW w:w="144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660,373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212,169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875,280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Intersegment gross sales</w:t>
            </w:r>
          </w:p>
        </w:tc>
        <w:tc>
          <w:tcPr>
            <w:tcW w:w="14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10,664</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(10,771)</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164,979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26,304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169,166</w:t>
            </w:r>
          </w:p>
        </w:tc>
      </w:tr>
      <w:tr>
        <w:trPr>
          <w:trHeight w:val="129"/>
        </w:trPr>
        <w:tc>
          <w:tcPr>
            <w:tcW w:w="39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May 5, 2017</w:t>
            </w:r>
          </w:p>
        </w:tc>
        <w:tc>
          <w:tcPr>
            <w:tcW w:w="144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610,896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258,134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3,737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872,767</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Intersegment gross sales</w:t>
            </w:r>
          </w:p>
        </w:tc>
        <w:tc>
          <w:tcPr>
            <w:tcW w:w="14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12,634</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(12,752)</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149,011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35,047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158,321</w:t>
            </w:r>
          </w:p>
        </w:tc>
      </w:tr>
      <w:tr>
        <w:trPr>
          <w:trHeight w:val="129"/>
        </w:trPr>
        <w:tc>
          <w:tcPr>
            <w:tcW w:w="39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Six Months Ended May 4, 2018</w:t>
            </w:r>
          </w:p>
        </w:tc>
        <w:tc>
          <w:tcPr>
            <w:tcW w:w="144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1,064,042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354,676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4,808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1,423,526</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Intersegment gross sales</w:t>
            </w:r>
          </w:p>
        </w:tc>
        <w:tc>
          <w:tcPr>
            <w:tcW w:w="14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17,122</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(17,285)</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240,891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42,017</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235,551</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963,564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288,248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383,935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1,635,747</w:t>
            </w:r>
          </w:p>
        </w:tc>
      </w:tr>
      <w:tr>
        <w:trPr>
          <w:trHeight w:val="27"/>
        </w:trPr>
        <w:tc>
          <w:tcPr>
            <w:tcW w:w="39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53"/>
        </w:trPr>
        <w:tc>
          <w:tcPr>
            <w:tcW w:w="3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jc w:val="right"/>
              <w:ind w:right="79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Six Months Ended May 5, 2017</w:t>
            </w:r>
          </w:p>
        </w:tc>
        <w:tc>
          <w:tcPr>
            <w:tcW w:w="1460" w:type="dxa"/>
            <w:vAlign w:val="bottom"/>
          </w:tcPr>
          <w:p>
            <w:pPr>
              <w:spacing w:after="0"/>
              <w:rPr>
                <w:sz w:val="23"/>
                <w:szCs w:val="23"/>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982,705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398,524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7,377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1,388,606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Intersegment gross sales</w:t>
            </w:r>
          </w:p>
        </w:tc>
        <w:tc>
          <w:tcPr>
            <w:tcW w:w="14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17,190</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(17,382)</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217,177</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51,605</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(50,908)</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217,874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892,610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265,913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440,235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1,598,758</w:t>
            </w:r>
          </w:p>
        </w:tc>
      </w:tr>
      <w:tr>
        <w:trPr>
          <w:trHeight w:val="27"/>
        </w:trPr>
        <w:tc>
          <w:tcPr>
            <w:tcW w:w="3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0"/>
                <w:szCs w:val="20"/>
                <w:color w:val="auto"/>
              </w:rPr>
            </w:pPr>
          </w:p>
        </w:tc>
        <w:tc>
          <w:tcPr>
            <w:tcW w:w="27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4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5,</w:t>
            </w:r>
          </w:p>
        </w:tc>
        <w:tc>
          <w:tcPr>
            <w:tcW w:w="36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6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5,</w:t>
            </w:r>
          </w:p>
        </w:tc>
      </w:tr>
      <w:tr>
        <w:trPr>
          <w:trHeight w:val="234"/>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(50,211)</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(4,720)</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(4,676)</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(9,538)</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(9,559)</w:t>
            </w:r>
          </w:p>
        </w:tc>
      </w:tr>
      <w:tr>
        <w:trPr>
          <w:trHeight w:val="27"/>
        </w:trPr>
        <w:tc>
          <w:tcPr>
            <w:tcW w:w="4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8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3,699</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5,189</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7,678</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8,862</w:t>
            </w:r>
          </w:p>
        </w:tc>
      </w:tr>
      <w:tr>
        <w:trPr>
          <w:trHeight w:val="237"/>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segment operating loss before income taxes</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(22,117)</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(25,737)</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(47,357)</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(50,908)</w:t>
            </w:r>
          </w:p>
        </w:tc>
      </w:tr>
      <w:tr>
        <w:trPr>
          <w:trHeight w:val="27"/>
        </w:trPr>
        <w:tc>
          <w:tcPr>
            <w:tcW w:w="4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Contingencies — Litigation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Warranty Guarantees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The company sells extended warranty coverage on select products for a prescribed period after the original warranty period expires.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696"/>
        </w:trPr>
        <w:tc>
          <w:tcPr>
            <w:tcW w:w="4460" w:type="dxa"/>
            <w:vAlign w:val="bottom"/>
            <w:gridSpan w:val="2"/>
          </w:tcPr>
          <w:p>
            <w:pPr>
              <w:spacing w:after="0"/>
              <w:rPr>
                <w:sz w:val="20"/>
                <w:szCs w:val="20"/>
                <w:color w:val="auto"/>
              </w:rPr>
            </w:pPr>
            <w:r>
              <w:rPr>
                <w:rFonts w:ascii="Arial" w:cs="Arial" w:eastAsia="Arial" w:hAnsi="Arial"/>
                <w:sz w:val="18"/>
                <w:szCs w:val="18"/>
                <w:color w:val="auto"/>
              </w:rPr>
              <w:t>The changes in accrued warranties were as follows:</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4"/>
                <w:szCs w:val="24"/>
                <w:color w:val="auto"/>
              </w:rPr>
            </w:pPr>
          </w:p>
        </w:tc>
        <w:tc>
          <w:tcPr>
            <w:tcW w:w="27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2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5,</w:t>
            </w:r>
          </w:p>
        </w:tc>
        <w:tc>
          <w:tcPr>
            <w:tcW w:w="36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6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5,</w:t>
            </w:r>
          </w:p>
        </w:tc>
      </w:tr>
      <w:tr>
        <w:trPr>
          <w:trHeight w:val="234"/>
        </w:trPr>
        <w:tc>
          <w:tcPr>
            <w:tcW w:w="4460" w:type="dxa"/>
            <w:vAlign w:val="bottom"/>
            <w:gridSpan w:val="2"/>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74,885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72,573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74,155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72,158</w:t>
            </w: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Warranty provisions</w:t>
            </w:r>
          </w:p>
        </w:tc>
        <w:tc>
          <w:tcPr>
            <w:tcW w:w="9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17,219</w:t>
            </w:r>
          </w:p>
        </w:tc>
        <w:tc>
          <w:tcPr>
            <w:tcW w:w="3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17,180</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27,789</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26,795</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claims</w:t>
            </w:r>
          </w:p>
        </w:tc>
        <w:tc>
          <w:tcPr>
            <w:tcW w:w="9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(8,876)</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(18,301)</w:t>
            </w: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Changes in estimates</w:t>
            </w:r>
          </w:p>
        </w:tc>
        <w:tc>
          <w:tcPr>
            <w:tcW w:w="9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1,040</w:t>
            </w:r>
          </w:p>
        </w:tc>
        <w:tc>
          <w:tcPr>
            <w:tcW w:w="3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1,040</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1,341</w:t>
            </w:r>
          </w:p>
        </w:tc>
      </w:tr>
      <w:tr>
        <w:trPr>
          <w:trHeight w:val="27"/>
        </w:trPr>
        <w:tc>
          <w:tcPr>
            <w:tcW w:w="12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84,268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81,993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84,268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81,993</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company policies that place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Hedging Instruments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 parties, foreign plant operations, and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8"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hedging instruments, and the related excluded components, of sales and foreign plant operations are recorded in net sales and cost of sales, respectively.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of May 4, 2018, the notional amount outstanding of forward contracts designated as cash flow hedging instruments was $70.0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Hedging Instruments</w:t>
      </w:r>
    </w:p>
    <w:p>
      <w:pPr>
        <w:spacing w:after="0" w:line="22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4,</w:t>
            </w:r>
          </w:p>
        </w:tc>
        <w:tc>
          <w:tcPr>
            <w:tcW w:w="38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5,</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0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2017</w:t>
            </w:r>
          </w:p>
        </w:tc>
      </w:tr>
      <w:tr>
        <w:trPr>
          <w:trHeight w:val="27"/>
        </w:trPr>
        <w:tc>
          <w:tcPr>
            <w:tcW w:w="50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0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2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2,008</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20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20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w:t>
            </w: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2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1,213</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2,831</w:t>
            </w:r>
          </w:p>
        </w:tc>
        <w:tc>
          <w:tcPr>
            <w:tcW w:w="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1,041</w:t>
            </w:r>
          </w:p>
        </w:tc>
      </w:tr>
      <w:tr>
        <w:trPr>
          <w:trHeight w:val="67"/>
        </w:trPr>
        <w:tc>
          <w:tcPr>
            <w:tcW w:w="50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20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2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1,563</w:t>
            </w: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20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20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2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1,505</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2,266</w:t>
            </w:r>
          </w:p>
        </w:tc>
      </w:tr>
      <w:tr>
        <w:trPr>
          <w:trHeight w:val="27"/>
        </w:trPr>
        <w:tc>
          <w:tcPr>
            <w:tcW w:w="50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56"/>
        </w:trPr>
        <w:tc>
          <w:tcPr>
            <w:tcW w:w="5020" w:type="dxa"/>
            <w:vAlign w:val="bottom"/>
          </w:tcPr>
          <w:p>
            <w:pPr>
              <w:spacing w:after="0"/>
              <w:rPr>
                <w:sz w:val="24"/>
                <w:szCs w:val="24"/>
                <w:color w:val="auto"/>
              </w:rPr>
            </w:pPr>
          </w:p>
        </w:tc>
        <w:tc>
          <w:tcPr>
            <w:tcW w:w="2040" w:type="dxa"/>
            <w:vAlign w:val="bottom"/>
          </w:tcPr>
          <w:p>
            <w:pPr>
              <w:jc w:val="right"/>
              <w:ind w:right="1170"/>
              <w:spacing w:after="0"/>
              <w:rPr>
                <w:sz w:val="20"/>
                <w:szCs w:val="20"/>
                <w:color w:val="auto"/>
              </w:rPr>
            </w:pPr>
            <w:r>
              <w:rPr>
                <w:rFonts w:ascii="Arial" w:cs="Arial" w:eastAsia="Arial" w:hAnsi="Arial"/>
                <w:sz w:val="18"/>
                <w:szCs w:val="18"/>
                <w:color w:val="auto"/>
              </w:rPr>
              <w:t>15</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in its 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effects of the master netting arrangements on the fair value of the company’s derivative contracts that are recorded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91440</wp:posOffset>
            </wp:positionV>
            <wp:extent cx="7212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4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5,</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October 31, 2017</w:t>
            </w:r>
          </w:p>
        </w:tc>
      </w:tr>
      <w:tr>
        <w:trPr>
          <w:trHeight w:val="27"/>
        </w:trPr>
        <w:tc>
          <w:tcPr>
            <w:tcW w:w="5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0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i w:val="1"/>
                <w:iCs w:val="1"/>
                <w:color w:val="auto"/>
              </w:rPr>
              <w:t>Forward currency contracts</w:t>
            </w:r>
          </w:p>
        </w:tc>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amounts of recognized assets</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2,918</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w:t>
            </w: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Gross liabilities offset in the balance sheets</w:t>
            </w:r>
          </w:p>
        </w:tc>
        <w:tc>
          <w:tcPr>
            <w:tcW w:w="10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amounts of assets presented in the Consolidated Balance Sheets</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5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Forward currency contracts</w:t>
            </w:r>
          </w:p>
        </w:tc>
        <w:tc>
          <w:tcPr>
            <w:tcW w:w="10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Gross amounts of recognized liabilities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(2,266)</w:t>
            </w:r>
          </w:p>
        </w:tc>
      </w:tr>
      <w:tr>
        <w:trPr>
          <w:trHeight w:val="27"/>
        </w:trPr>
        <w:tc>
          <w:tcPr>
            <w:tcW w:w="5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assets offset in the balance sheets</w:t>
            </w:r>
          </w:p>
        </w:tc>
        <w:tc>
          <w:tcPr>
            <w:tcW w:w="10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amounts of liabilities presented in the Consolidated Balance Sheets</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(1,505)</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w:t>
            </w:r>
          </w:p>
        </w:tc>
      </w:tr>
      <w:tr>
        <w:trPr>
          <w:trHeight w:val="27"/>
        </w:trPr>
        <w:tc>
          <w:tcPr>
            <w:tcW w:w="5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present the impact and location of the amounts reclassified from AOCL into earnings on the Condensed Consolidated Statements of Earnings and the impact of derivative instruments on the Condensed Consolidated Statements of Comprehensive Income for the company's derivatives designated as cash flow hedging instruments for the three and six months ended May 4, 2018 and May 5, 2017:</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Gain (Loss) Reclassified from AOCL</w:t>
            </w:r>
          </w:p>
        </w:tc>
        <w:tc>
          <w:tcPr>
            <w:tcW w:w="240" w:type="dxa"/>
            <w:vAlign w:val="bottom"/>
          </w:tcPr>
          <w:p>
            <w:pPr>
              <w:spacing w:after="0"/>
              <w:rPr>
                <w:sz w:val="18"/>
                <w:szCs w:val="18"/>
                <w:color w:val="auto"/>
              </w:rPr>
            </w:pPr>
          </w:p>
        </w:tc>
        <w:tc>
          <w:tcPr>
            <w:tcW w:w="28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Gain (Loss) Recognized in OCI on</w:t>
            </w: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into Earnings</w:t>
            </w:r>
          </w:p>
        </w:tc>
        <w:tc>
          <w:tcPr>
            <w:tcW w:w="240" w:type="dxa"/>
            <w:vAlign w:val="bottom"/>
          </w:tcPr>
          <w:p>
            <w:pPr>
              <w:spacing w:after="0"/>
              <w:rPr>
                <w:sz w:val="20"/>
                <w:szCs w:val="20"/>
                <w:color w:val="auto"/>
              </w:rPr>
            </w:pPr>
          </w:p>
        </w:tc>
        <w:tc>
          <w:tcPr>
            <w:tcW w:w="28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Derivatives</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May 4, 2018</w:t>
            </w:r>
          </w:p>
        </w:tc>
        <w:tc>
          <w:tcPr>
            <w:tcW w:w="26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5, 2017</w:t>
            </w:r>
          </w:p>
        </w:tc>
        <w:tc>
          <w:tcPr>
            <w:tcW w:w="24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4, 2018</w:t>
            </w:r>
          </w:p>
        </w:tc>
        <w:tc>
          <w:tcPr>
            <w:tcW w:w="26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May 5, 2017</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Forward currency contracts</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2,267</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hedging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Gain (Loss) Reclassified from AOCL</w:t>
            </w:r>
          </w:p>
        </w:tc>
        <w:tc>
          <w:tcPr>
            <w:tcW w:w="240" w:type="dxa"/>
            <w:vAlign w:val="bottom"/>
          </w:tcPr>
          <w:p>
            <w:pPr>
              <w:spacing w:after="0"/>
              <w:rPr>
                <w:sz w:val="18"/>
                <w:szCs w:val="18"/>
                <w:color w:val="auto"/>
              </w:rPr>
            </w:pPr>
          </w:p>
        </w:tc>
        <w:tc>
          <w:tcPr>
            <w:tcW w:w="28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Gain (Loss) Recognized in OCI on</w:t>
            </w: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into Earnings</w:t>
            </w:r>
          </w:p>
        </w:tc>
        <w:tc>
          <w:tcPr>
            <w:tcW w:w="240" w:type="dxa"/>
            <w:vAlign w:val="bottom"/>
          </w:tcPr>
          <w:p>
            <w:pPr>
              <w:spacing w:after="0"/>
              <w:rPr>
                <w:sz w:val="20"/>
                <w:szCs w:val="20"/>
                <w:color w:val="auto"/>
              </w:rPr>
            </w:pPr>
          </w:p>
        </w:tc>
        <w:tc>
          <w:tcPr>
            <w:tcW w:w="28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Derivatives</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May 4, 2018</w:t>
            </w:r>
          </w:p>
        </w:tc>
        <w:tc>
          <w:tcPr>
            <w:tcW w:w="26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5, 2017</w:t>
            </w:r>
          </w:p>
        </w:tc>
        <w:tc>
          <w:tcPr>
            <w:tcW w:w="24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May 4, 2018</w:t>
            </w:r>
          </w:p>
        </w:tc>
        <w:tc>
          <w:tcPr>
            <w:tcW w:w="26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May 5, 2017</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Forward currency contracts</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(1,323)</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2,116</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hedging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1,962</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immaterial gains within other income, net in net earnings during the second quarter and first six months of fiscal 2018 due to the discontinuance of cash flow hedge accounting on certain forward currency contracts designated as cash flow hedging instruments. For the second quarter and first six months of fiscal 2017, the company did not discontinue cash flow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hedge accounting on any forward currency contracts designated as cash flow hedging instruments. As of May 4, 2018, the company expects to reclassify approximately $0.7 million of gains from AOCL to earnings during the next twelve months.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60" w:type="dxa"/>
            <w:vAlign w:val="bottom"/>
            <w:gridSpan w:val="8"/>
          </w:tcPr>
          <w:p>
            <w:pPr>
              <w:jc w:val="right"/>
              <w:spacing w:after="0"/>
              <w:rPr>
                <w:sz w:val="20"/>
                <w:szCs w:val="20"/>
                <w:color w:val="auto"/>
              </w:rPr>
            </w:pPr>
            <w:r>
              <w:rPr>
                <w:rFonts w:ascii="Arial" w:cs="Arial" w:eastAsia="Arial" w:hAnsi="Arial"/>
                <w:sz w:val="16"/>
                <w:szCs w:val="16"/>
                <w:b w:val="1"/>
                <w:bCs w:val="1"/>
                <w:color w:val="auto"/>
                <w:w w:val="92"/>
              </w:rPr>
              <w:t>Gain (Loss) Recognized in Earnings on Cash Flow Hedging Instruments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May 4, 2018</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May 5, 2017</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209"/>
        </w:trPr>
        <w:tc>
          <w:tcPr>
            <w:tcW w:w="3900" w:type="dxa"/>
            <w:vAlign w:val="bottom"/>
          </w:tcPr>
          <w:p>
            <w:pPr>
              <w:jc w:val="right"/>
              <w:ind w:right="79"/>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Other Income,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Other Income,</w:t>
            </w:r>
          </w:p>
        </w:tc>
      </w:tr>
      <w:tr>
        <w:trPr>
          <w:trHeight w:val="210"/>
        </w:trPr>
        <w:tc>
          <w:tcPr>
            <w:tcW w:w="3900" w:type="dxa"/>
            <w:vAlign w:val="bottom"/>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Net Sales</w:t>
            </w:r>
          </w:p>
        </w:tc>
        <w:tc>
          <w:tcPr>
            <w:tcW w:w="22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w w:val="86"/>
              </w:rPr>
              <w:t>Cost of Sales</w:t>
            </w:r>
          </w:p>
        </w:tc>
        <w:tc>
          <w:tcPr>
            <w:tcW w:w="20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Net</w:t>
            </w:r>
          </w:p>
        </w:tc>
        <w:tc>
          <w:tcPr>
            <w:tcW w:w="2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Net Sales</w:t>
            </w: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w w:val="86"/>
              </w:rPr>
              <w:t>Cost of Sales</w:t>
            </w:r>
          </w:p>
        </w:tc>
        <w:tc>
          <w:tcPr>
            <w:tcW w:w="340" w:type="dxa"/>
            <w:vAlign w:val="bottom"/>
          </w:tcPr>
          <w:p>
            <w:pPr>
              <w:spacing w:after="0"/>
              <w:rPr>
                <w:sz w:val="18"/>
                <w:szCs w:val="18"/>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auto"/>
                <w:w w:val="92"/>
              </w:rPr>
              <w:t>Net</w:t>
            </w:r>
          </w:p>
        </w:tc>
      </w:tr>
      <w:tr>
        <w:trPr>
          <w:trHeight w:val="33"/>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Consolidated Statements of Earnings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 amounts in which the effects of cash flow</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hedging instruments are recorded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875,280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(551,224)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872,767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(556,453)</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3,701</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Gain (loss) on derivatives designated as cash flow</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hedging instruments: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0"/>
        </w:trPr>
        <w:tc>
          <w:tcPr>
            <w:tcW w:w="3900" w:type="dxa"/>
            <w:vAlign w:val="bottom"/>
          </w:tcPr>
          <w:p>
            <w:pPr>
              <w:ind w:left="280"/>
              <w:spacing w:after="0"/>
              <w:rPr>
                <w:sz w:val="20"/>
                <w:szCs w:val="20"/>
                <w:color w:val="auto"/>
              </w:rPr>
            </w:pPr>
            <w:r>
              <w:rPr>
                <w:rFonts w:ascii="Arial" w:cs="Arial" w:eastAsia="Arial" w:hAnsi="Arial"/>
                <w:sz w:val="16"/>
                <w:szCs w:val="16"/>
                <w:color w:val="auto"/>
              </w:rPr>
              <w:t>Amount of gain (loss) reclassified from AOCL into</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900" w:type="dxa"/>
            <w:vAlign w:val="bottom"/>
          </w:tcPr>
          <w:p>
            <w:pPr>
              <w:ind w:left="280"/>
              <w:spacing w:after="0"/>
              <w:rPr>
                <w:sz w:val="20"/>
                <w:szCs w:val="20"/>
                <w:color w:val="auto"/>
              </w:rPr>
            </w:pPr>
            <w:r>
              <w:rPr>
                <w:rFonts w:ascii="Arial" w:cs="Arial" w:eastAsia="Arial" w:hAnsi="Arial"/>
                <w:sz w:val="16"/>
                <w:szCs w:val="16"/>
                <w:color w:val="auto"/>
              </w:rPr>
              <w:t>earnings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(2,301)</w:t>
            </w:r>
          </w:p>
        </w:tc>
        <w:tc>
          <w:tcPr>
            <w:tcW w:w="220" w:type="dxa"/>
            <w:vAlign w:val="bottom"/>
          </w:tcPr>
          <w:p>
            <w:pPr>
              <w:spacing w:after="0"/>
              <w:rPr>
                <w:sz w:val="17"/>
                <w:szCs w:val="17"/>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295</w:t>
            </w:r>
          </w:p>
        </w:tc>
        <w:tc>
          <w:tcPr>
            <w:tcW w:w="2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1,627</w:t>
            </w: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3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components excluded from effectiveness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testing recognized in earnings based on changes in</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4"/>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366"/>
        </w:trPr>
        <w:tc>
          <w:tcPr>
            <w:tcW w:w="39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160" w:type="dxa"/>
            <w:vAlign w:val="bottom"/>
            <w:tcBorders>
              <w:top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w w:val="92"/>
              </w:rPr>
              <w:t>Gain (Loss) Recognized in Earnings on Cash Flow Hedging Instruments</w:t>
            </w: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33"/>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May 4, 2018</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May 5, 2017</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209"/>
        </w:trPr>
        <w:tc>
          <w:tcPr>
            <w:tcW w:w="3900" w:type="dxa"/>
            <w:vAlign w:val="bottom"/>
          </w:tcPr>
          <w:p>
            <w:pPr>
              <w:jc w:val="right"/>
              <w:ind w:right="79"/>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Other Income,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Other Income,</w:t>
            </w:r>
          </w:p>
        </w:tc>
      </w:tr>
      <w:tr>
        <w:trPr>
          <w:trHeight w:val="210"/>
        </w:trPr>
        <w:tc>
          <w:tcPr>
            <w:tcW w:w="3900" w:type="dxa"/>
            <w:vAlign w:val="bottom"/>
          </w:tcPr>
          <w:p>
            <w:pPr>
              <w:jc w:val="right"/>
              <w:ind w:right="79"/>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Net Sales</w:t>
            </w:r>
          </w:p>
        </w:tc>
        <w:tc>
          <w:tcPr>
            <w:tcW w:w="22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w w:val="86"/>
              </w:rPr>
              <w:t>Cost of Sales</w:t>
            </w:r>
          </w:p>
        </w:tc>
        <w:tc>
          <w:tcPr>
            <w:tcW w:w="20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Net</w:t>
            </w:r>
          </w:p>
        </w:tc>
        <w:tc>
          <w:tcPr>
            <w:tcW w:w="2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Net Sales</w:t>
            </w:r>
          </w:p>
        </w:tc>
        <w:tc>
          <w:tcPr>
            <w:tcW w:w="2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w w:val="86"/>
              </w:rPr>
              <w:t>Cost of Sales</w:t>
            </w:r>
          </w:p>
        </w:tc>
        <w:tc>
          <w:tcPr>
            <w:tcW w:w="340" w:type="dxa"/>
            <w:vAlign w:val="bottom"/>
          </w:tcPr>
          <w:p>
            <w:pPr>
              <w:spacing w:after="0"/>
              <w:rPr>
                <w:sz w:val="18"/>
                <w:szCs w:val="18"/>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auto"/>
                <w:w w:val="92"/>
              </w:rPr>
              <w:t>Net</w:t>
            </w:r>
          </w:p>
        </w:tc>
      </w:tr>
      <w:tr>
        <w:trPr>
          <w:trHeight w:val="33"/>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Consolidated Statements of Earnings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 amounts in which the effects of cash flow</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hedging instruments are recorded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1,423,526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(895,231)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1,388,606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(878,812)</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7,567</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Gain (loss) on derivatives designated as cash flow</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hedging instruments: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0"/>
        </w:trPr>
        <w:tc>
          <w:tcPr>
            <w:tcW w:w="3900" w:type="dxa"/>
            <w:vAlign w:val="bottom"/>
          </w:tcPr>
          <w:p>
            <w:pPr>
              <w:ind w:left="280"/>
              <w:spacing w:after="0"/>
              <w:rPr>
                <w:sz w:val="20"/>
                <w:szCs w:val="20"/>
                <w:color w:val="auto"/>
              </w:rPr>
            </w:pPr>
            <w:r>
              <w:rPr>
                <w:rFonts w:ascii="Arial" w:cs="Arial" w:eastAsia="Arial" w:hAnsi="Arial"/>
                <w:sz w:val="16"/>
                <w:szCs w:val="16"/>
                <w:color w:val="auto"/>
              </w:rPr>
              <w:t>Amount of gain (loss) reclassified from AOCL into</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900" w:type="dxa"/>
            <w:vAlign w:val="bottom"/>
          </w:tcPr>
          <w:p>
            <w:pPr>
              <w:ind w:left="280"/>
              <w:spacing w:after="0"/>
              <w:rPr>
                <w:sz w:val="20"/>
                <w:szCs w:val="20"/>
                <w:color w:val="auto"/>
              </w:rPr>
            </w:pPr>
            <w:r>
              <w:rPr>
                <w:rFonts w:ascii="Arial" w:cs="Arial" w:eastAsia="Arial" w:hAnsi="Arial"/>
                <w:sz w:val="16"/>
                <w:szCs w:val="16"/>
                <w:color w:val="auto"/>
              </w:rPr>
              <w:t>earnings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(3,312)</w:t>
            </w:r>
          </w:p>
        </w:tc>
        <w:tc>
          <w:tcPr>
            <w:tcW w:w="220" w:type="dxa"/>
            <w:vAlign w:val="bottom"/>
          </w:tcPr>
          <w:p>
            <w:pPr>
              <w:spacing w:after="0"/>
              <w:rPr>
                <w:sz w:val="17"/>
                <w:szCs w:val="17"/>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473</w:t>
            </w:r>
          </w:p>
        </w:tc>
        <w:tc>
          <w:tcPr>
            <w:tcW w:w="2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2,066</w:t>
            </w: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(1,323)</w:t>
            </w:r>
          </w:p>
        </w:tc>
        <w:tc>
          <w:tcPr>
            <w:tcW w:w="3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(loss) on components excluded from</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9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effectiveness testing recognized in earnings based on</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r>
      <w:tr>
        <w:trPr>
          <w:trHeight w:val="20"/>
        </w:trPr>
        <w:tc>
          <w:tcPr>
            <w:tcW w:w="3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and location of derivative instruments on the Condensed Consolidated Statements of Earnings for the company’s derivatives not designated as cash flow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0"/>
                <w:szCs w:val="20"/>
                <w:color w:val="auto"/>
              </w:rPr>
            </w:pPr>
          </w:p>
        </w:tc>
        <w:tc>
          <w:tcPr>
            <w:tcW w:w="27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ind w:left="180"/>
              <w:spacing w:after="0"/>
              <w:rPr>
                <w:sz w:val="20"/>
                <w:szCs w:val="20"/>
                <w:color w:val="auto"/>
              </w:rPr>
            </w:pPr>
            <w:r>
              <w:rPr>
                <w:rFonts w:ascii="Arial" w:cs="Arial" w:eastAsia="Arial" w:hAnsi="Arial"/>
                <w:sz w:val="18"/>
                <w:szCs w:val="18"/>
                <w:b w:val="1"/>
                <w:bCs w:val="1"/>
                <w:color w:val="auto"/>
              </w:rPr>
              <w:t>May 4,</w:t>
            </w:r>
          </w:p>
        </w:tc>
        <w:tc>
          <w:tcPr>
            <w:tcW w:w="40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5,</w:t>
            </w:r>
          </w:p>
        </w:tc>
        <w:tc>
          <w:tcPr>
            <w:tcW w:w="360" w:type="dxa"/>
            <w:vAlign w:val="bottom"/>
          </w:tcPr>
          <w:p>
            <w:pPr>
              <w:spacing w:after="0"/>
              <w:rPr>
                <w:sz w:val="18"/>
                <w:szCs w:val="18"/>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May 4,</w:t>
            </w:r>
          </w:p>
        </w:tc>
        <w:tc>
          <w:tcPr>
            <w:tcW w:w="36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5,</w:t>
            </w:r>
          </w:p>
        </w:tc>
      </w:tr>
      <w:tr>
        <w:trPr>
          <w:trHeight w:val="234"/>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9"/>
              </w:rPr>
              <w:t>Gain (loss) on derivatives not designated as cash flow hedging</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instruments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22"/>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Total gain (loss) on derivatives not designated as cash flow hedging</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1,200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554</w:t>
            </w:r>
          </w:p>
        </w:tc>
      </w:tr>
      <w:tr>
        <w:trPr>
          <w:trHeight w:val="27"/>
        </w:trPr>
        <w:tc>
          <w:tcPr>
            <w:tcW w:w="5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categorizes its assets and liabilities measured at fair value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derivative instruments consist of forward currency contracts that are measured at fair value on a recurring basis. The fair value of forward currency contracts is determined based on observable market transactions of forward currency prices and spot currency rates as of the reporting date. There were no transfers between levels for the company's recurring fair value measurements during the three and six months ended May 4, 2018 and May 5, 2017, or the twelve months ended October 31, 2017.</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present, by level within the fair value hierarchy, the company's financial assets and liabilities that are measured at fair value on a recurring basis as of May 4, 2018, May 5, 2017, and October 31, 2017, according to the valuation technique utilized to determine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May 4, 2018</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1,213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1,213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1,505</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1,505</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6"/>
        </w:trPr>
        <w:tc>
          <w:tcPr>
            <w:tcW w:w="29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May 5, 2017</w:t>
            </w:r>
          </w:p>
        </w:tc>
        <w:tc>
          <w:tcPr>
            <w:tcW w:w="112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2,831</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2,831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40"/>
        </w:trPr>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18</w:t>
            </w: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October 31, 2017</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1,041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1,041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2,266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2,266</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2,266</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the result of an impairment charge. Assets acquired and liabilities assumed as part of acquisitions are measured at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the company's short-term financial instruments, including cash and cash equivalents, accounts receivable, accounts payable, and short-term debt, including current maturities of long-term debt, approximate their fair values due to their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as follows:</w:t>
      </w:r>
    </w:p>
    <w:p>
      <w:pPr>
        <w:spacing w:after="0" w:line="214" w:lineRule="exact"/>
        <w:rPr>
          <w:sz w:val="20"/>
          <w:szCs w:val="20"/>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Forward-Looking Information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provided non-GAAP financial measures, which are not calculated or presented in accordance with accounting principles generally accepted in the United States (“GAAP”), as information supplemental and in addition to the financial measures presented in this report that are calculated and presented in accordance with GAAP. This MD&amp;A contains certain non-GAAP financial measures, consisting of adjusted net earnings, adjusted net earnings per diluted share, and an adjusted effective tax rate as measures of our operating performance. Management believes these measures may be useful in performing meaningful comparisons of past and present operating results, to understand the performance of our ongoing operations, and how management views the business. Reconciliations of adjusted non-GAAP financial measures to the most directly comparable reported GAAP financial measures are included in the section titled “Non-GAAP Financial Measures” within this MD&amp;A. These measures, however, should not be construed as an alternative to any other measure of performance determined in accordance with GAAP.</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MD&amp;A should be read in conjunction with the MD&amp;A included in Part II, Item 7 of our Annual Report on Form 10-K for the fiscal year ended October 31, 2017. This discussion contains various “Forward-Looking Statements” within the meaning of</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Private Securities Litigation Reform Act of 1995 and we refer readers to the section titled “Forward-Looking Information” located at the end of Part I, Item 2 of this report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irrigation systems, landscaping equipment and lighting products, snow and ice management products, agricultural irrigation systems, rental and specialty construction equipment, and residential yard and snow thrower products. We sell our products worldwide through a network of distributors, dealers, mass retailers, hardware retailers, home centers, as well as online (direct to end-users). We classify our operations into three reportable business segments: Professional, Residential, and Distribution. Our Distribution segment, which consists of our wholly owned domestic distributorship, has been combined with our corporate activities and elimination of intersegment revenues and expenses and is presented as “Other.”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Tax Reform</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United States (“U.S.”) enacted Public Law No. 115-97 (“Tax Act”), originally introduced as the Tax Cuts and Jobs Act, to significantly modify the Internal Revenue Code. The Tax Act reduced the U.S. federal corporate tax rate from 35.0 percent to 21.0 percent, created a territorial tax system with an exemption for foreign dividends, and imposed a one-time deemed repatriation tax on a U.S. company's historical undistributed earnings and profits of foreign affiliates. The tax rate change was effective January 1, 2018, resulting in a blended statutory tax rate of 23.3 percent for the fiscal year ended October 31, 2018. Among other provisions, the Tax Act also increased expensing for certain business assets, created new taxes on certain foreign sourced earnings, adopted limitations on business interest expense deductions, repealed deductions for income attributable to domestic production activities, and added other anti-base erosion rules. The effective dates for the provisions set forth in the Tax Act vary as to when the provisions will apply to Toro.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response to the Tax Act, the SEC provided guidance by issuing Staff Accounting Bulletin No. 118 (“SAB 118”). SAB 118 allows companies to record provisional amounts during a measurement period with respect to the impacts of the Tax Act for which the accounting requirements under ASC Topic 740 are not complete, but a reasonable estimate has been determined. The measurement period under SAB 118 ends when a company has obtained, prepared, and analyzed the information that was needed in order to complete the accounting requirements under ASC Topic 740, but cannot exceed one year.</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May 4, 2018, we have not completed the accounting for the effects of the Tax Act. However, we have estimated the impacts of the Tax Act on our annual effective tax rate, and have recorded provisional amounts for the remeasurement of deferred tax assets and liabilities and the deemed repatriation tax.</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have recorded provisional amounts for the items expected to most significantly impact our financial statements this year, our evaluation is not complete and, accordingly, we have not yet reached a final conclusion on the overall impacts of the Tax Act. We need additional time to obtain, prepare, and analyze information related to the applicable provisions of the Tax Act. The actual impact of the Tax Act may differ from the provisional amounts, due to, among other things, changes in interpretations and assumptions we have made, guidance that may be issued, and changes in our structure or business model. Please reference the sections below titled “Provision for income taxes” and “Net earnings” within this MD&amp;A for further information regarding the impacts of the Tax Act on us for the three and six month periods ended May 4, 2018.</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second quarter of fiscal 2018, our net sales increased 0.3 percent, as compared to the second quarter of fiscal 2017. Year-to-date fiscal 2018 net sales increased 2.5 percent compared to the same period in the prior fiscal year. Professional segment net sales increased 8.1 percent and 8.3 percent for the second quarter and year-to-date comparisons, respectively. The second quarter and year-to-date Professional segment sales increases were driven primarily by strong channel demand and a successful new product introduction for our landscape contractor zero-turn radius riding mowers as channel partners prepared for the upcoming turf season, continued growth in our golf and grounds business, strong retail demand of our rental and specialty construction equipment, increased shipments of our ag-irrigation products due to favorable weather conditions in key regions, increased shipments of our snow and ice management products, and sales of new products as a result of our acquisition of L.T. Rich Products, Inc. Residential segment net sales were down 17.8 percent for the second quarter comparison, mainly due to decreased net sales of our zero-turn radius riding mowers and walk power mowers primarily attributable to unfavorable spring weather conditions, as well as channel demand pulled forward into the first quarter of fiscal 2018. These Residential segment decreases were partially offset by increased sales of Pope-branded irrigation products and higher shipments of snow product due to late snowfall in the second quarter of fiscal 2018. Residential segment net sales decreased 11.0 percent for the year-to-date comparison, primarily due to decreased net sales of walk power mowers and zero-turn radius riding mowers primarily attributable to unfavorable spring weather conditions, as well as fewer shipments of snow product due to below average snowfall early in the fiscal 2018 season. These Residential segment decreases were partially offset by increased sales of Pope-branded irrigation products.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foreign currency exchange rates resulted in an increase of our net sales of approximately $7.9 million and $13.2 million for the second quarter and year-to-date periods of fiscal 2018, respectively.</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earnings for the second quarter of fiscal 2018 were $131.3 million compared to $120.5 million for the second quarter of fiscal 2017. Adjusted net earnings for the second quarter of fiscal 2018 were $130.3 million compared to $109.4 million for the prior year comparative period, an increase of 19.0 percent. The primary factors contributing to the adjusted net earnings increase for the second quarter of fiscal 2018 included increased gross margin and decreased selling, general, and administrative (“SG&amp;A”) expenses as a percentage of net sales. Net earnings for the first six months of fiscal 2018 were $153.9 million, which was lower than the comparable fiscal 2017 reported net earnings of $165.5 million, due primarily to the one-time impacts of the Tax Act during the current fiscal year period. Adjusted year-to-date fiscal 2018 net earnings were $182.4 million, compared to adjusted net earnings of $149.5 million in the comparable fiscal 2017 period, an increase of 22.0 percent. The adjusted net earnings growth for the year-to-date period of fiscal 2018 was primarily attributable to increased gross margin and increased sales while leveraging SG&amp;A expenses. Reconciliations of adjusted non-GAAP financial measures to the most directly comparable reported GAAP financial measures are included in the section titled “Non-GAAP Financial Measures” within this MD&amp;A. No adjustments to provisional amounts related to the enactment of the Tax Act were recorded during the second quarter of fiscal 2018.</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increased our cash dividend for the second quarter of fiscal 2018 by 14.3 percent to $0.20 per share compared to the $0.175 per share cash dividend paid in the second quarter of fiscal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Inventory levels increased $53.2 million, or 15.6 percent, as of the end of the second quarter of fiscal 2018, mainly driven by lower than anticipated sales due to unfavorable spring weather conditions and the impact of foreign currency exchange rates. Accounts receivable increased $1.0 million, or 0.3 percent, largely due to higher Professional segment sales volume and the impact of foreign currency exchange rates, partially offset by lower Residential segment sales due to unfavorable spring weather conditions. As of the end of the second quarter of fiscal 2018, field inventory levels were higher due to strong anticipated demand for Professional segment products as channel partners prepared for the turf season and softened retail demand for Residential segment walk power mowers due to unfavorable spring weather conditions, partially offset by lower Professional and Residential segment snow product inventory due to late snowfall in the second quarter of fiscal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Three-Year Employee Initiative - “Vision 2020”</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current multi-year employee initiative, “Vision 2020”, which began with our 2018 fiscal year, focuses on driving profitable growth with an emphasis on innovation and serving our customers, which we believe will generate further momentum for the organization. Through our Vision 2020 initiative, we have set specific goals intended to help us drive organic revenue and operating earnings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Organic Revenue Growth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pursue strategic growth of our existing businesses and product categories with an organic revenue goal to achieve at least five percent or more of organic revenue growth in each of the three fiscal years of this initiative. For purposes of this goal, we define organic revenue growth as the increase in net sales, less net sales from acquisitions that occurred in the current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as part of our new Vision 2020 initiative growth goals, we have set an operating earnings goal to increase operating earnings as a percentage of net sales to 15.5 percent or higher by the end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Worldwide consolidated net sales for the second quarter of fiscal 2018 were $875.3 million, up 0.3 percent compared to $872.8 million in the second quarter of fiscal 2017. The net sales increase for the quarter comparison was primarily due to strong Professional segment net sales driven by strong channel demand and a successful new product introduction for our landscape contractor zero-turn radius riding mowers as channel partners prepared for the upcoming turf season, increased shipments of our snow and ice management products, continued growth in our golf and grounds business, strong retail demand of our rental and specialty construction equipment, sales of new products as a result of our acquisition of L.T. Rich Products, Inc., increased shipments of our ag-irrigation products due to favorable weather conditions in key regions, and increased sales of Pope-branded irrigation products. These net sales increases were partially offset by the impact of unfavorable spring weather conditions, which drove decreased Residential segment net sales of our zero-turn radius riding mowers and walk power mowers. For the year-to-date period of fiscal 2018, net sales were $1,423.5 million, up 2.5 percent from the same period in the prior fiscal year. The year-to-date net sales increase was primarily due to strong channel demand and a successful new product introduction for our landscape contractor zero-turn radius riding mowers, continued growth in our golf and grounds business, strong retail demand of our rental and specialty construction equipment, increased shipments of our ag-irrigation products and our snow and ice management products, sales of new products as a result of our acquisition of L.T. Rich Products, Inc., and increased sales of Pope-branded irrigation products. These net sales increases were partially offset by the impact of unfavorable spring weather conditions, which drove decreased Residential segment net sales of our walk power mowers and zero-turn radius riding mowers, as well as fewer shipments of Residential snow product due to below average snowfall early in the fiscal 2018 season.</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in international markets increased by 2.7 percent and 6.3 percent for the second quarter and year-to-date periods of fiscal 2018, respectively. The net sales increase for the quarter comparison was mainly due to strong demand for our rental and specialty construction equipment, increased shipments of our Professional segment zero-turn radius riding mowers, and increased sales of Perrot-branded and Pope-branded irrigation products. These increases were partially offset by fewer shipments of Residential segment zero-turn radius riding mowers and walk power mowers due to unfavorable weather conditions across Europe during the second quarter of fiscal 2018. The net sales increase for the year-to-date period of fiscal 2018 was primarily due to increased shipments of our Professional segment and Residential segment zero-turn radius riding mowers, increased sales of Perrot-branded and Pope-branded irrigation products, and strong demand for our rental and specialty construction equipment. Changes in foreign currency exchange rates positively impacted our international net sales by approximately $7.9 million and $13.2 million for the second quarter and year-to-date periods of fiscal 2018,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8240" w:type="dxa"/>
            <w:vAlign w:val="bottom"/>
            <w:gridSpan w:val="4"/>
          </w:tcPr>
          <w:p>
            <w:pPr>
              <w:spacing w:after="0"/>
              <w:rPr>
                <w:sz w:val="20"/>
                <w:szCs w:val="20"/>
                <w:color w:val="auto"/>
              </w:rPr>
            </w:pPr>
            <w:r>
              <w:rPr>
                <w:rFonts w:ascii="Arial" w:cs="Arial" w:eastAsia="Arial" w:hAnsi="Arial"/>
                <w:sz w:val="18"/>
                <w:szCs w:val="18"/>
                <w:color w:val="auto"/>
                <w:w w:val="97"/>
              </w:rPr>
              <w:t>The following table summarizes the major operating costs and other income as a percentage of net sales:</w:t>
            </w: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4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c>
          <w:tcPr>
            <w:tcW w:w="318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340" w:type="dxa"/>
            <w:vAlign w:val="bottom"/>
          </w:tcPr>
          <w:p>
            <w:pPr>
              <w:jc w:val="right"/>
              <w:ind w:right="690"/>
              <w:spacing w:after="0"/>
              <w:rPr>
                <w:sz w:val="20"/>
                <w:szCs w:val="20"/>
                <w:color w:val="auto"/>
              </w:rPr>
            </w:pPr>
            <w:r>
              <w:rPr>
                <w:rFonts w:ascii="Arial" w:cs="Arial" w:eastAsia="Arial" w:hAnsi="Arial"/>
                <w:sz w:val="18"/>
                <w:szCs w:val="18"/>
                <w:b w:val="1"/>
                <w:bCs w:val="1"/>
                <w:color w:val="auto"/>
              </w:rPr>
              <w:t>May 4,</w:t>
            </w:r>
          </w:p>
        </w:tc>
        <w:tc>
          <w:tcPr>
            <w:tcW w:w="1700" w:type="dxa"/>
            <w:vAlign w:val="bottom"/>
          </w:tcPr>
          <w:p>
            <w:pPr>
              <w:jc w:val="right"/>
              <w:ind w:right="690"/>
              <w:spacing w:after="0"/>
              <w:rPr>
                <w:sz w:val="20"/>
                <w:szCs w:val="20"/>
                <w:color w:val="auto"/>
              </w:rPr>
            </w:pPr>
            <w:r>
              <w:rPr>
                <w:rFonts w:ascii="Arial" w:cs="Arial" w:eastAsia="Arial" w:hAnsi="Arial"/>
                <w:sz w:val="18"/>
                <w:szCs w:val="18"/>
                <w:b w:val="1"/>
                <w:bCs w:val="1"/>
                <w:color w:val="auto"/>
              </w:rPr>
              <w:t>May 5,</w:t>
            </w:r>
          </w:p>
        </w:tc>
        <w:tc>
          <w:tcPr>
            <w:tcW w:w="1700" w:type="dxa"/>
            <w:vAlign w:val="bottom"/>
          </w:tcPr>
          <w:p>
            <w:pPr>
              <w:jc w:val="right"/>
              <w:ind w:right="690"/>
              <w:spacing w:after="0"/>
              <w:rPr>
                <w:sz w:val="20"/>
                <w:szCs w:val="20"/>
                <w:color w:val="auto"/>
              </w:rPr>
            </w:pPr>
            <w:r>
              <w:rPr>
                <w:rFonts w:ascii="Arial" w:cs="Arial" w:eastAsia="Arial" w:hAnsi="Arial"/>
                <w:sz w:val="18"/>
                <w:szCs w:val="18"/>
                <w:b w:val="1"/>
                <w:bCs w:val="1"/>
                <w:color w:val="auto"/>
              </w:rPr>
              <w:t>May 4,</w:t>
            </w: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May 5,</w:t>
            </w:r>
          </w:p>
        </w:tc>
      </w:tr>
      <w:tr>
        <w:trPr>
          <w:trHeight w:val="234"/>
        </w:trPr>
        <w:tc>
          <w:tcPr>
            <w:tcW w:w="1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3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7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7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100.0%</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100.0%</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100.0%</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(63.0)</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(63.8)</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(62.9)</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(63.3)</w:t>
            </w:r>
          </w:p>
        </w:tc>
      </w:tr>
      <w:tr>
        <w:trPr>
          <w:trHeight w:val="27"/>
        </w:trPr>
        <w:tc>
          <w:tcPr>
            <w:tcW w:w="1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37.0</w:t>
            </w:r>
          </w:p>
        </w:tc>
        <w:tc>
          <w:tcPr>
            <w:tcW w:w="17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36.2</w:t>
            </w:r>
          </w:p>
        </w:tc>
        <w:tc>
          <w:tcPr>
            <w:tcW w:w="17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37.1</w:t>
            </w:r>
          </w:p>
        </w:tc>
        <w:tc>
          <w:tcPr>
            <w:tcW w:w="1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36.7</w:t>
            </w: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(17.5)</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(18.0)</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(20.4)</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(20.9)</w:t>
            </w:r>
          </w:p>
        </w:tc>
      </w:tr>
      <w:tr>
        <w:trPr>
          <w:trHeight w:val="27"/>
        </w:trPr>
        <w:tc>
          <w:tcPr>
            <w:tcW w:w="1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2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19.5</w:t>
            </w:r>
          </w:p>
        </w:tc>
        <w:tc>
          <w:tcPr>
            <w:tcW w:w="17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18.2</w:t>
            </w:r>
          </w:p>
        </w:tc>
        <w:tc>
          <w:tcPr>
            <w:tcW w:w="17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16.7</w:t>
            </w:r>
          </w:p>
        </w:tc>
        <w:tc>
          <w:tcPr>
            <w:tcW w:w="1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15.8</w:t>
            </w: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(0.5)</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(0.5)</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(0.7)</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(0.6)</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0.3</w:t>
            </w:r>
          </w:p>
        </w:tc>
        <w:tc>
          <w:tcPr>
            <w:tcW w:w="17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0.4</w:t>
            </w:r>
          </w:p>
        </w:tc>
        <w:tc>
          <w:tcPr>
            <w:tcW w:w="17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0.5</w:t>
            </w:r>
          </w:p>
        </w:tc>
        <w:tc>
          <w:tcPr>
            <w:tcW w:w="1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0.5</w:t>
            </w: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(4.3)</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(4.3)</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(5.7)</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(3.8)</w:t>
            </w:r>
          </w:p>
        </w:tc>
      </w:tr>
      <w:tr>
        <w:trPr>
          <w:trHeight w:val="27"/>
        </w:trPr>
        <w:tc>
          <w:tcPr>
            <w:tcW w:w="1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15.0%</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13.8%</w:t>
            </w: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10.8%</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percentage of net sales, gross profit for the second quarter of fiscal 2018 was 37.0 percent, up 80 basis points when compared to the second quarter of fiscal 2017. This increase was primarily due to the impact of segment mix, favorable foreign currency exchange rate fluctuations, improved price realization on Professional segment products, and cost reduction efforts, partially offset by higher commodity costs. Gross profit as a percentage of net sales for the fiscal 2018 year-to-date period was 37.1 percent, up 40 basis points when compared with the prior year comparative period. The year-to-date comparison results were also due mainly to favorable foreign currency exchange rate fluctuations, the impact of segment mix, improved price realization on Professional segment products, and cost reduction efforts, partially offset by higher commodity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expense decreased $3.2 million, or 2.1 percent, for the second quarter of fiscal 2018 and increased $1.2 million, or 0.4 percent, for the year-to-date period of fiscal 2018. As a percentage of net sales, SG&amp;A expense decreased 50 basis points for the second quarter of fiscal 2018 and decreased 50 basis points for the year-to-date period of fiscal 2018. The decrease as a percentage of net sales for the second quarter comparison was primarily due to lower incentive compensation expense, partially offset by increased warehousing costs due to higher inventory levels and plant-to-warehouse freight costs and increased engineering expense. The decrease as a percentage of net sales for the year-to-date comparison was primarily due to lower incentive compensation expense and the leveraging of expenses over higher sales volume.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increased by 0.9 percent for the second quarter of fiscal 2018 and decreased 0.2 percent for the year-to-date period of fiscal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income, net for the second quarter of fiscal 2018 decreased $0.1 million when compared to the second quarter of fiscal 2017. The decrease was primarily due to costs incurred for litigation settlements, partially offset by higher interest income on marketable securities and higher earnings from our equity investment in Red Iron. Other income, net for the year-to-date period of fiscal 2018 increased $0.3 million compared to the same period of fiscal 2017. This increase was driven mainly by higher interest income on marketable securities and higher earnings from our equity investment in Red Iron, partially offset by foreign currency exchange rate losses and costs incurred for litigation settlements.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tax rate for the second quarter of fiscal 2018 was 22.4 percent compared to 23.9 percent in the second quarter of 2017. The decrease for the second quarter of fiscal 2018 was primarily driven by a $16.4 million benefit resulting from the reduction in the federal corporate tax rate from the enactment of the Tax Act on all items other than the excess tax deduction for share-based compensation. This decrease was partially offset by a $10.0 million year-over-year decrease in the benefit of the excess tax deduction for share-based compensation, which includes a $0.5 million unfavorable impact on the benefit due to the reduction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corporate tax rate. The adjusted effective tax rate for the second quarter of fiscal 2018 was 23.0 percent, compared to an adjusted effective tax rate of 30.9 percent in the same period last year. The decrease for the second quarter of fiscal 2018 was driven by the benefit resulting from the reduction in the federal corporate tax rate from the enactment of the Tax Act. The adjusted effective tax rate for the second quarter of fiscal 2018 excludes a benefit of $1.0 million for the excess tax deduction for share-based compensation. The adjusted effective tax rate for the second quarter of fiscal 2017 excludes a benefit of $11.1 million for the excess tax deduction for share-based compensation.</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effective tax rate for the year-to-date period of fiscal 2018 was 34.7 percent compared to 24.1 percent in the same period of fiscal 2017. The effective tax rate was significantly impacted by the enactment of the Tax Act for the year-to-date period of fiscal 2018. This increase was driven by the provisional remeasurement of deferred tax assets and liabilities, which resulted in a non-cash discrete tax charge of $20.5 million, and the provisional calculation of the deemed repatriation tax, which resulted in a discrete tax charge of $12.6 million, payable over eight years. In addition to these one-time charges resulting from the Tax Act, the increase in the effective tax rate was driven by an $11.3 million year-over-year decrease in the benefit of the excess tax deduction for share-based compensation, which includes a $2.0 million unfavorable impact on the benefit due to the reduction in the federal corporate tax rate. These increases were partially offset by a benefit of $22.9 million resulting from the reduction in the federal corporate tax rate on all items other than the excess tax deduction for share-based compensation. The adjusted effective tax rate for the year-to-date period of fiscal 2018 was 22.6 percent, compared to an adjusted effective tax rate of 31.4 percent in the same period of fiscal 2017. The adjusted effective tax rate for fiscal 2018 excludes one-time charges associated with the Tax Act of $33.1 million and a benefit of $4.6 million for the excess tax deduction for share-based compensation. The adjusted effective tax rate for fiscal 2017 excludes the benefit of $15.9 million for the excess tax deduction for share-based compensation.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earnings for the second quarter of fiscal 2018 were $131.3 million, or $1.21 per diluted share, compared to $120.5 million, or $1.08 per diluted share, for the second quarter of fiscal 2017. The primary factors contributing to the net earnings increase for the second quarter comparison included increased gross margin and decreased SG&amp;A expense as a percentage of net sales. Adjusted net earnings for the second quarter of fiscal 2018 were $130.3 million, or $1.20 per diluted share, compared to $109.4 million, or $0.98 per diluted share, for the second quarter of fiscal 2017, an increase of 19.0 percent. The second quarter of fiscal 2018 adjusted net earnings excludes a benefit of $1.0 million, or $0.01 per diluted share, for the excess tax deduction for share-based compensation. The second quarter of fiscal 2017 adjusted net earnings excludes a benefit of $11.1 million, or $0.10 per diluted share, for the excess tax deduction for share-based compensation.</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Year-to-date net earnings in fiscal 2018 were $153.9 million, or $1.41 per diluted share, compared to $165.5 million, or $1.48 per diluted share, in the prior year comparative period. Net earnings for the year-to-date period of fiscal 2018 were significantly impacted by the enactment of the Tax Act. As previously mentioned, the impact from the enactment of the Tax Act was driven by the provisional remeasurement of deferred tax assets and liabilities, which resulted in a non-cash discrete tax charge of $20.5 million, and the provisional calculation of the deemed repatriation tax, which resulted in a discrete tax charge of $12.6 million, payable over eight years. The unfavorable impact of these one-time charges was partially offset by a benefit of $20.9 million resulting from the reduction in the federal corporate tax rate. Adjusted net earnings for the year-to-date period of fiscal 2018 were $182.4 million, or $1.68 per diluted share, compared to $149.5 million, or $1.34 per diluted share, for the prior year comparable period, an increase of 25.4 percent. The year-to-date period of fiscal 2018 adjusted net earnings excludes one-time charges associated with the Tax Act of $33.1 million, or $0.31 per diluted share, and a benefit of $4.6 million, or $0.04 per diluted share, for the excess tax deduction for share-based compensation. The comparable period of fiscal 2017 adjusted net earnings excludes a benefit of $15.9 million, or $0.14 per diluted share, for the excess tax deduction for share-based compensation.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operate in three reportable business segments: Professional, Residential, and Distribution. Our Distribution segment, which consists of our wholly-owned domestic distributorship, has been combined with our corporate activities and elimination of intersegment revenues and expenses that is shown as “Other” in the following tables. Segment earnings for our Professional and Residential segments are defined as operating earnings plus other income, net. Segment loss for “Other” includes operating earnings (loss), corporate activities, other income, net, and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net sales by reportable business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0"/>
                <w:szCs w:val="20"/>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2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May 4, 2018</w:t>
            </w:r>
          </w:p>
        </w:tc>
        <w:tc>
          <w:tcPr>
            <w:tcW w:w="28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May 5, 2017</w:t>
            </w:r>
          </w:p>
        </w:tc>
        <w:tc>
          <w:tcPr>
            <w:tcW w:w="3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660,373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610,896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49,477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212,169</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258,134</w:t>
            </w:r>
          </w:p>
        </w:tc>
        <w:tc>
          <w:tcPr>
            <w:tcW w:w="34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(45,965)</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(17.8)</w:t>
            </w:r>
          </w:p>
        </w:tc>
      </w:tr>
      <w:tr>
        <w:trPr>
          <w:trHeight w:val="27"/>
        </w:trPr>
        <w:tc>
          <w:tcPr>
            <w:tcW w:w="3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2,738</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3,737</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(999)</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(26.7)</w:t>
            </w:r>
          </w:p>
        </w:tc>
      </w:tr>
      <w:tr>
        <w:trPr>
          <w:trHeight w:val="237"/>
        </w:trPr>
        <w:tc>
          <w:tcPr>
            <w:tcW w:w="38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net sales*</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875,280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872,767</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2,513</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67"/>
        </w:trPr>
        <w:tc>
          <w:tcPr>
            <w:tcW w:w="38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78"/>
        </w:trPr>
        <w:tc>
          <w:tcPr>
            <w:tcW w:w="38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*Includes international net sales of:</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207,079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201,641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5,438</w:t>
            </w:r>
          </w:p>
        </w:tc>
        <w:tc>
          <w:tcPr>
            <w:tcW w:w="14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3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72"/>
        </w:trPr>
        <w:tc>
          <w:tcPr>
            <w:tcW w:w="3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Six Months Ended</w:t>
            </w:r>
          </w:p>
        </w:tc>
        <w:tc>
          <w:tcPr>
            <w:tcW w:w="1480" w:type="dxa"/>
            <w:vAlign w:val="bottom"/>
          </w:tcPr>
          <w:p>
            <w:pPr>
              <w:spacing w:after="0"/>
              <w:rPr>
                <w:sz w:val="24"/>
                <w:szCs w:val="24"/>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42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May 4, 2018</w:t>
            </w:r>
          </w:p>
        </w:tc>
        <w:tc>
          <w:tcPr>
            <w:tcW w:w="28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May 5, 2017</w:t>
            </w:r>
          </w:p>
        </w:tc>
        <w:tc>
          <w:tcPr>
            <w:tcW w:w="3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1,064,042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982,705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81,337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354,676</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398,524</w:t>
            </w:r>
          </w:p>
        </w:tc>
        <w:tc>
          <w:tcPr>
            <w:tcW w:w="34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(43,848)</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(11.0)</w:t>
            </w:r>
          </w:p>
        </w:tc>
      </w:tr>
      <w:tr>
        <w:trPr>
          <w:trHeight w:val="27"/>
        </w:trPr>
        <w:tc>
          <w:tcPr>
            <w:tcW w:w="3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4,808</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7,377</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(2,569)</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w:t>
            </w:r>
          </w:p>
        </w:tc>
      </w:tr>
      <w:tr>
        <w:trPr>
          <w:trHeight w:val="237"/>
        </w:trPr>
        <w:tc>
          <w:tcPr>
            <w:tcW w:w="38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net sales*</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1,423,526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1,388,606</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34,920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r>
      <w:tr>
        <w:trPr>
          <w:trHeight w:val="67"/>
        </w:trPr>
        <w:tc>
          <w:tcPr>
            <w:tcW w:w="38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78"/>
        </w:trPr>
        <w:tc>
          <w:tcPr>
            <w:tcW w:w="38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*Includes international net sales of:</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353,869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332,883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20,986</w:t>
            </w:r>
          </w:p>
        </w:tc>
        <w:tc>
          <w:tcPr>
            <w:tcW w:w="148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3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reportable business segment earnings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0"/>
                <w:szCs w:val="20"/>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80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4, 2018</w:t>
            </w:r>
          </w:p>
        </w:tc>
        <w:tc>
          <w:tcPr>
            <w:tcW w:w="26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5, 2017</w:t>
            </w:r>
          </w:p>
        </w:tc>
        <w:tc>
          <w:tcPr>
            <w:tcW w:w="32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164,979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149,011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15,968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8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26,304</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35,047</w:t>
            </w:r>
          </w:p>
        </w:tc>
        <w:tc>
          <w:tcPr>
            <w:tcW w:w="32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(8,743)</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(24.9)</w:t>
            </w:r>
          </w:p>
        </w:tc>
      </w:tr>
      <w:tr>
        <w:trPr>
          <w:trHeight w:val="27"/>
        </w:trPr>
        <w:tc>
          <w:tcPr>
            <w:tcW w:w="3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(25,737)</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3,620</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14.1</w:t>
            </w:r>
          </w:p>
        </w:tc>
      </w:tr>
      <w:tr>
        <w:trPr>
          <w:trHeight w:val="237"/>
        </w:trPr>
        <w:tc>
          <w:tcPr>
            <w:tcW w:w="34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segment earnings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169,166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158,321</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10,845</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6.9 %</w:t>
            </w:r>
          </w:p>
        </w:tc>
      </w:tr>
      <w:tr>
        <w:trPr>
          <w:trHeight w:val="27"/>
        </w:trPr>
        <w:tc>
          <w:tcPr>
            <w:tcW w:w="3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Six Months Ended</w:t>
            </w:r>
          </w:p>
        </w:tc>
        <w:tc>
          <w:tcPr>
            <w:tcW w:w="1480" w:type="dxa"/>
            <w:vAlign w:val="bottom"/>
          </w:tcPr>
          <w:p>
            <w:pPr>
              <w:spacing w:after="0"/>
              <w:rPr>
                <w:sz w:val="20"/>
                <w:szCs w:val="20"/>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80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4, 2018</w:t>
            </w:r>
          </w:p>
        </w:tc>
        <w:tc>
          <w:tcPr>
            <w:tcW w:w="26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May 5, 2017</w:t>
            </w:r>
          </w:p>
        </w:tc>
        <w:tc>
          <w:tcPr>
            <w:tcW w:w="32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240,891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217,177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23,714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8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42,017</w:t>
            </w:r>
          </w:p>
        </w:tc>
        <w:tc>
          <w:tcPr>
            <w:tcW w:w="26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51,605</w:t>
            </w:r>
          </w:p>
        </w:tc>
        <w:tc>
          <w:tcPr>
            <w:tcW w:w="32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(9,588)</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(18.6)</w:t>
            </w:r>
          </w:p>
        </w:tc>
      </w:tr>
      <w:tr>
        <w:trPr>
          <w:trHeight w:val="27"/>
        </w:trPr>
        <w:tc>
          <w:tcPr>
            <w:tcW w:w="3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(47,357)</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(50,908)</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3,551</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r>
      <w:tr>
        <w:trPr>
          <w:trHeight w:val="237"/>
        </w:trPr>
        <w:tc>
          <w:tcPr>
            <w:tcW w:w="34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segment earnings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235,551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217,874</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17,677</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3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Worldwide net sales for our Professional segment increased 8.1 percent and 8.3 percent for the second quarter and year-to-date comparisons, respectively. These increases for the second quarter and year-to-date comparisons were driven primarily by strong channel demand for our landscape contractor zero-turn radius riding mowers and a successful new product introduction for our diesel-powered Exmark® Lazer Z</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as channel partners prepared for the upcoming turf season, continued growth in our golf and grounds business with increased shipments of our Reelmaster® and Groundsmaster® series mowers, strong retail demand of our</w:t>
      </w:r>
    </w:p>
    <w:p>
      <w:pPr>
        <w:sectPr>
          <w:pgSz w:w="11900" w:h="16838" w:orient="portrait"/>
          <w:cols w:equalWidth="0" w:num="1">
            <w:col w:w="11420"/>
          </w:cols>
          <w:pgMar w:left="240" w:top="125"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Dingo® TX 1000 compact utility loader within our rental and specialty construction business, increased shipments of our ag-irrigation products due to favorable weather conditions in key regions, increased shipments of our snow and ice management products, and sales of new products as a result of our acquisition of L.T. Rich Products,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Professional segment earnings for the second quarter of fiscal 2018 increased by 10.7 percent compared to the second quarter of fiscal 2017, and when expressed as a percentage of net sales, increased to 25.0 percent from 24.4 percent. As a percentage of net sales, the segment earnings increase was primarily due to higher gross margins driven by favorable foreign currency exchange rate fluctuations, improved price realization on Professional segment products, and cost reduction efforts, partially offset by higher commodity costs. Lower SG&amp;A expenses also contributed to the increase in segment earnings mainly due to lower incentive compensation expense. For the year-to-date period of fiscal 2018, Professional segment earnings increased by 10.9 percent compared to the same period in the prior fiscal year and increased to 22.6 percent from 22.1 percent as a percentage of net sales for the year-to-date period of fiscal 2017. As a percentage of net sales, the segment earnings increase was primarily due to lower incentive compensation expense and leveraging SG&amp;A expense over higher sales volume, as gross margin was flat for the year-to-date comparison.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Worldwide net sales for our Residential segment for the second quarter and year-to-date periods of fiscal 2018 decreased 17.8 percent and 11.0 percent, respectively, compared to the prior fiscal year period. The Residential segment net sales decrease for the second quarter comparison was primarily due to decreased net sales of our zero-turn radius riding mowers and walk power mowers primarily attributable to unfavorable spring weather conditions, as well as channel demand pulled forward into the first quarter of fiscal 2018, partially offset by increased sales of Pope-branded irrigation products and higher shipments of snow product due to late snowfall in the second quarter of fiscal 2018. The Residential segment net sales decrease for the year-to-date comparison was primarily driven by decreased net sales of walk power mowers and zero-turn radius riding mowers primarily attributable to unfavorable spring weather conditions, as well as fewer shipments of snow product due to below average snowfall early in the fiscal 2018 season. These Residential segment decreases were partially offset by increased sales of Pope-branded irrigation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Residential segment earnings for the second quarter of fiscal 2018 decreased 24.9 percent compared to the second quarter of fiscal 2017, and when expressed as a percentage of net sales, decreased to 12.4 percent from 13.6 percent. For the year-to-date period of fiscal 2018, Residential segment earnings decreased 18.6 percent compared to the same period in the prior fiscal year, and when expressed as a percentage of net sales, decreased to 11.8 percent from 12.9 percent. As a percentage of net sales, the segment earnings decreases for the second quarter and year-to-date comparisons were primarily due to lower gross margins due to higher commodity costs and the impact of segment product mix, partially offset by favorable foreign currency exchange rate fluctuations and cost reduction efforts. Higher SG&amp;A expenses also contributed to the decrease in segment earnings for the year-to-date comparison due to higher warehousing costs driven by increased inventory levels and plant-to-warehouse freight costs and increased engineering costs for new product development, partially offset by lower incentive compensation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for the Other segment include sales from our wholly owned domestic distribution company less sales from the Professional and Residential segments to the distribution company. The Other segment net sales in the second quarter and year-to-date periods of fiscal 2018 decreased by $1.0 million and $2.6 million, respectively, mainly due to decreased sales of our golf and grounds equipment through our wholly owned domestic distribution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segment loss decreased $3.6 million for the second quarter and year-to-date periods of fiscal 2018, primarily due to lower incentive compensation expense, higher interest income on marketable securities, and higher earnings from our equity investment in Red Iron.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continues to place emphasis on improving asset utilization with a focus on reducing the amount of working capital in the supply chain, adjusting production plans, and maintaining or improving order replenishment and service levels to end-users. Our average net working capital as a percentage of net sales for the twelve months ended May 4, 2018, was 14.0 percent compared to 14.4 percent for the twelve months ended May 5, 2017. We calculate our average net working capital as average net accounts receivable plus net inventory, less accounts payable for a twelve month period as percentage of rolling twelve month net sales.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Inventory levels were up $53.2 million, or 15.6 percent, as of the end of the second quarter of fiscal 2018 compared to the end of the second quarter of fiscal 2017, mainly driven by lower than anticipated sales due to unfavorable spring weather conditions and the impact of foreign currency exchange rates. Accounts receivable as of the end of the second quarter of fiscal 2018 increased $1.0 million, or 0.3 percent, compared to the end of the second quarter of fiscal 2017, largely due to higher Professional segment sales volume and the impact of foreign currency exchange rates, partially offset by lower Residential segment sales due to unfavorable spring weather conditions. Our average days sales outstanding for receivables increased to 30.3 days, based on sales for the last twelve months ended May 4, 2018, compared to 30.1 days for the twelve months ended May 5, 2017. In addition, accounts payable increased $30.3 million, or 11.1 percent, as of the end of our second quarter of fiscal 2018 compared to the end of the second quarter of fiscal 2017, mainly due to negotiating payment terms with suppliers as a component of our working capital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for the first six months of fiscal 2018 decreased $29.3 million compared to the first six months of fiscal 2017, primarily driven by changes in working capital, mainly cash used for purchases of inventory and a lower year-over-year benefit from extending accounts payable terms with suppliers as a component of our working capital initiatives. Cash used in investing activities increased $20.4 million during the first six months of fiscal 2018 compared to the first six months of fiscal 2017, primarily due to cash utilized for purchases of property, plant and equipment and the acquisition of L.T. Rich Products, Inc. that closed during the second quarter of fiscal 2018. Cash used in financing activities for the first six months of fiscal 2018 increased $47.1 million compared to the first six months of fiscal 2017, mainly due to cash utilized for common stock repurchases, increased common stock dividends paid, and higher payments on long-term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common stock repurchases for at least the next twelve months. As of May 4, 2018, cash and short-term investments held by our foreign subsidiaries were approximately $142.2 million.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$100.0 million. Funds are available under the revolving credit facility for working capital, capital expenditures, and other lawful purposes, including, but not limited to, acquisitions and common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$6.0 million. These facilities bear interest at various rates depending on the rates in their respective countries of operation. As of May 4, 2018 we had no outstanding short-term debt under these lines of credit, compared to $0.8 million of outstanding short-term debt under these lines of credit as of May 5, 2017. As of May 4, 2018, we had $4.2 million of outstanding letters of credit and $151.8 million of unutilized availability under our credit agreements.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as of May 4, 2018, we had $312.3 million outstanding in long-term debt that includes $100.0 million of 7.8 percent debentures due June 15, 2027, $123.8 million of 6.625 percent senior notes due May 1, 2037, a $91.0 million term loan, and partially offsetting debt issuance costs and deferred charges of $2.5 million related to our outstanding long-term debt.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revolving and term loan credit facility contains standard covenants, including, without limitation, financial covenants, such as the maintenance of minimum interest coverage and maximum debt to earnings before interest, taxes, depreciation, and amortization (“EBITDA”)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our debt to EBITDA ratio from the previous quarter compliance certificate is less than or equal to 3.25, provided that immediately after giving effect of any such proposed action, no default or event of default would exist. As of May 4, 2018, we were not limited in the amount for payments of cash dividends and common stock repurchases. We were in compliance with all covenants related to our credit agreement for our revolving credit facility as of May 4, 2018, and we expect to be in compliance with all covenants during the remainder of fiscal 2018.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canceled by the banks based solely on a ratings downgrade. Our debt rating for long-term unsecured senior, non-credit enhanced debt was unchanged during the second quarter of fiscal 2018 by Standard and Poor’s Ratings Group at BBB and by Moody’s Investors Service at Baa3.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approved a cash dividend of $0.20 per share for the second quarter of fiscal 2018 that was paid on April 18, 2018. This was an increase of 14.3 percent over our cash dividend of $0.175 per share for the second quarter of fiscal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Red Iron joint venture with TCFIF provides inventory financing to certain distributors and dealers of our products in the U.S. that enables them to carry representative inventories of our products. Some independent international dealers continue to finance their products with a third party finance company. This third party financing company purchased $15.4 million of receivables from us during the first six months of fiscal 2018. As of May 4, 2018, $11.2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the effects of inflation, deflation, and changing prices. In the first six months of fiscal 2018, the average cost of commodities and components purchased were higher compared to the average cost of commodities and components purchased in the first six months of fiscal 2017. We intend to continue to closely follow the cost of commodities and components that affect our product lines, and we anticipate that the average cost for some commodities and components to be higher for the remainder of fiscal 2018, as compared to fiscal 2017. Historically, we have mitigated, and we currently expect that we would mitigate, any commodity cost increases, in part, by collaborating with suppliers, reviewing alternative sourcing options, substituting materials, utilization of Lean methods, engaging in internal cost reduction efforts, and increasing prices on some of our products, all as appropriate.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provided non-GAAP financial measures, which are not calculated or presented in accordance with GAAP, as information supplemental and in addition to the most directly comparable financial measures that are calculated and presented in accordance with GAAP. Such non-GAAP financial measures should not be considered superior to, as a substitute for, or as an alternative to, and should be considered in conjunction with, the GAAP financial measures. The non-GAAP financial measures may differ from similar measures used by other companies.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provide reconciliations of financial measures calculated and reported in accordance with GAAP as well as adjusted non-GAAP financial measures for the three and six month periods ended May 4, 2018 and May 5, 2017. We believe these measures may be useful in performing meaningful comparisons of past and present operating results, to understand the performance of our ongoing operations, and how management views the business. The following is a reconciliation of our net earnings, diluted earnings per share (“EPS”), and effective tax rate to our adjusted net earnings, adjusted diluted EPS, and adjusted effective tax rate: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500" w:type="dxa"/>
            <w:vAlign w:val="bottom"/>
          </w:tcPr>
          <w:p>
            <w:pPr>
              <w:spacing w:after="0"/>
              <w:rPr>
                <w:sz w:val="18"/>
                <w:szCs w:val="18"/>
                <w:color w:val="auto"/>
              </w:rPr>
            </w:pPr>
          </w:p>
        </w:tc>
        <w:tc>
          <w:tcPr>
            <w:tcW w:w="244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Net Earnings</w:t>
            </w:r>
          </w:p>
        </w:tc>
        <w:tc>
          <w:tcPr>
            <w:tcW w:w="360" w:type="dxa"/>
            <w:vAlign w:val="bottom"/>
          </w:tcPr>
          <w:p>
            <w:pPr>
              <w:spacing w:after="0"/>
              <w:rPr>
                <w:sz w:val="18"/>
                <w:szCs w:val="18"/>
                <w:color w:val="auto"/>
              </w:rPr>
            </w:pPr>
          </w:p>
        </w:tc>
        <w:tc>
          <w:tcPr>
            <w:tcW w:w="264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rPr>
              <w:t>Diluted EPS</w:t>
            </w:r>
          </w:p>
        </w:tc>
        <w:tc>
          <w:tcPr>
            <w:tcW w:w="264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2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2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4,</w:t>
            </w:r>
          </w:p>
        </w:tc>
        <w:tc>
          <w:tcPr>
            <w:tcW w:w="300" w:type="dxa"/>
            <w:vAlign w:val="bottom"/>
          </w:tcPr>
          <w:p>
            <w:pPr>
              <w:spacing w:after="0"/>
              <w:rPr>
                <w:sz w:val="18"/>
                <w:szCs w:val="18"/>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5,</w:t>
            </w:r>
          </w:p>
        </w:tc>
        <w:tc>
          <w:tcPr>
            <w:tcW w:w="36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4,</w:t>
            </w:r>
          </w:p>
        </w:tc>
        <w:tc>
          <w:tcPr>
            <w:tcW w:w="3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May 5,</w:t>
            </w:r>
          </w:p>
        </w:tc>
        <w:tc>
          <w:tcPr>
            <w:tcW w:w="1480" w:type="dxa"/>
            <w:vAlign w:val="bottom"/>
          </w:tcPr>
          <w:p>
            <w:pPr>
              <w:jc w:val="right"/>
              <w:ind w:right="599"/>
              <w:spacing w:after="0"/>
              <w:rPr>
                <w:sz w:val="20"/>
                <w:szCs w:val="20"/>
                <w:color w:val="auto"/>
              </w:rPr>
            </w:pPr>
            <w:r>
              <w:rPr>
                <w:rFonts w:ascii="Arial" w:cs="Arial" w:eastAsia="Arial" w:hAnsi="Arial"/>
                <w:sz w:val="16"/>
                <w:szCs w:val="16"/>
                <w:b w:val="1"/>
                <w:bCs w:val="1"/>
                <w:color w:val="auto"/>
              </w:rPr>
              <w:t>May 4,</w:t>
            </w: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5,</w:t>
            </w:r>
          </w:p>
        </w:tc>
      </w:tr>
      <w:tr>
        <w:trPr>
          <w:trHeight w:val="210"/>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2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c>
          <w:tcPr>
            <w:tcW w:w="14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2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131,289</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120,475</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1.08</w:t>
            </w:r>
          </w:p>
        </w:tc>
        <w:tc>
          <w:tcPr>
            <w:tcW w:w="1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70"/>
        </w:trPr>
        <w:tc>
          <w:tcPr>
            <w:tcW w:w="2840" w:type="dxa"/>
            <w:vAlign w:val="bottom"/>
          </w:tcPr>
          <w:p>
            <w:pPr>
              <w:ind w:left="40"/>
              <w:spacing w:after="0"/>
              <w:rPr>
                <w:sz w:val="20"/>
                <w:szCs w:val="20"/>
                <w:color w:val="auto"/>
              </w:rPr>
            </w:pPr>
            <w:r>
              <w:rPr>
                <w:rFonts w:ascii="Arial" w:cs="Arial" w:eastAsia="Arial" w:hAnsi="Arial"/>
                <w:sz w:val="16"/>
                <w:szCs w:val="16"/>
                <w:color w:val="auto"/>
              </w:rPr>
              <w:t>Impacts of tax reform</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2</w:t>
            </w: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3</w:t>
            </w:r>
          </w:p>
        </w:tc>
        <w:tc>
          <w:tcPr>
            <w:tcW w:w="50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of the excess tax deduction for</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9"/>
        </w:trPr>
        <w:tc>
          <w:tcPr>
            <w:tcW w:w="284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4</w:t>
            </w:r>
          </w:p>
        </w:tc>
        <w:tc>
          <w:tcPr>
            <w:tcW w:w="5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(11,059)</w:t>
            </w: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(0.10)</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31"/>
        </w:trPr>
        <w:tc>
          <w:tcPr>
            <w:tcW w:w="284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130,252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109,416</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99"/>
              <w:spacing w:after="0"/>
              <w:rPr>
                <w:sz w:val="20"/>
                <w:szCs w:val="20"/>
                <w:color w:val="auto"/>
              </w:rPr>
            </w:pPr>
            <w:r>
              <w:rPr>
                <w:rFonts w:ascii="Arial" w:cs="Arial" w:eastAsia="Arial" w:hAnsi="Arial"/>
                <w:sz w:val="16"/>
                <w:szCs w:val="16"/>
                <w:color w:val="auto"/>
              </w:rPr>
              <w:t>0.98</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23.0%</w:t>
            </w:r>
          </w:p>
        </w:tc>
        <w:tc>
          <w:tcPr>
            <w:tcW w:w="116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33"/>
        </w:trPr>
        <w:tc>
          <w:tcPr>
            <w:tcW w:w="2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480" w:type="dxa"/>
            <w:vAlign w:val="bottom"/>
          </w:tcPr>
          <w:p>
            <w:pPr>
              <w:spacing w:after="0"/>
              <w:rPr>
                <w:sz w:val="18"/>
                <w:szCs w:val="18"/>
                <w:color w:val="auto"/>
              </w:rPr>
            </w:pPr>
          </w:p>
        </w:tc>
        <w:tc>
          <w:tcPr>
            <w:tcW w:w="246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Net Earnings</w:t>
            </w:r>
          </w:p>
        </w:tc>
        <w:tc>
          <w:tcPr>
            <w:tcW w:w="360" w:type="dxa"/>
            <w:vAlign w:val="bottom"/>
          </w:tcPr>
          <w:p>
            <w:pPr>
              <w:spacing w:after="0"/>
              <w:rPr>
                <w:sz w:val="18"/>
                <w:szCs w:val="18"/>
                <w:color w:val="auto"/>
              </w:rPr>
            </w:pPr>
          </w:p>
        </w:tc>
        <w:tc>
          <w:tcPr>
            <w:tcW w:w="264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rPr>
              <w:t>Diluted EPS</w:t>
            </w:r>
          </w:p>
        </w:tc>
        <w:tc>
          <w:tcPr>
            <w:tcW w:w="268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2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2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4,</w:t>
            </w:r>
          </w:p>
        </w:tc>
        <w:tc>
          <w:tcPr>
            <w:tcW w:w="320" w:type="dxa"/>
            <w:vAlign w:val="bottom"/>
          </w:tcPr>
          <w:p>
            <w:pPr>
              <w:spacing w:after="0"/>
              <w:rPr>
                <w:sz w:val="18"/>
                <w:szCs w:val="18"/>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5,</w:t>
            </w:r>
          </w:p>
        </w:tc>
        <w:tc>
          <w:tcPr>
            <w:tcW w:w="36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4,</w:t>
            </w:r>
          </w:p>
        </w:tc>
        <w:tc>
          <w:tcPr>
            <w:tcW w:w="300" w:type="dxa"/>
            <w:vAlign w:val="bottom"/>
          </w:tcPr>
          <w:p>
            <w:pPr>
              <w:spacing w:after="0"/>
              <w:rPr>
                <w:sz w:val="18"/>
                <w:szCs w:val="18"/>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May 5,</w:t>
            </w:r>
          </w:p>
        </w:tc>
        <w:tc>
          <w:tcPr>
            <w:tcW w:w="1520" w:type="dxa"/>
            <w:vAlign w:val="bottom"/>
          </w:tcPr>
          <w:p>
            <w:pPr>
              <w:jc w:val="right"/>
              <w:ind w:right="619"/>
              <w:spacing w:after="0"/>
              <w:rPr>
                <w:sz w:val="20"/>
                <w:szCs w:val="20"/>
                <w:color w:val="auto"/>
              </w:rPr>
            </w:pPr>
            <w:r>
              <w:rPr>
                <w:rFonts w:ascii="Arial" w:cs="Arial" w:eastAsia="Arial" w:hAnsi="Arial"/>
                <w:sz w:val="16"/>
                <w:szCs w:val="16"/>
                <w:b w:val="1"/>
                <w:bCs w:val="1"/>
                <w:color w:val="auto"/>
              </w:rPr>
              <w:t>May 4,</w:t>
            </w: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5,</w:t>
            </w:r>
          </w:p>
        </w:tc>
      </w:tr>
      <w:tr>
        <w:trPr>
          <w:trHeight w:val="210"/>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Six Months Ended</w:t>
            </w:r>
          </w:p>
        </w:tc>
        <w:tc>
          <w:tcPr>
            <w:tcW w:w="4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300" w:type="dxa"/>
            <w:vAlign w:val="bottom"/>
          </w:tcPr>
          <w:p>
            <w:pPr>
              <w:jc w:val="right"/>
              <w:ind w:right="679"/>
              <w:spacing w:after="0"/>
              <w:rPr>
                <w:sz w:val="20"/>
                <w:szCs w:val="20"/>
                <w:color w:val="auto"/>
              </w:rPr>
            </w:pPr>
            <w:r>
              <w:rPr>
                <w:rFonts w:ascii="Arial" w:cs="Arial" w:eastAsia="Arial" w:hAnsi="Arial"/>
                <w:sz w:val="16"/>
                <w:szCs w:val="16"/>
                <w:b w:val="1"/>
                <w:bCs w:val="1"/>
                <w:color w:val="auto"/>
              </w:rPr>
              <w:t>2017</w:t>
            </w:r>
          </w:p>
        </w:tc>
        <w:tc>
          <w:tcPr>
            <w:tcW w:w="1520" w:type="dxa"/>
            <w:vAlign w:val="bottom"/>
          </w:tcPr>
          <w:p>
            <w:pPr>
              <w:jc w:val="right"/>
              <w:ind w:right="679"/>
              <w:spacing w:after="0"/>
              <w:rPr>
                <w:sz w:val="20"/>
                <w:szCs w:val="20"/>
                <w:color w:val="auto"/>
              </w:rPr>
            </w:pPr>
            <w:r>
              <w:rPr>
                <w:rFonts w:ascii="Arial" w:cs="Arial" w:eastAsia="Arial" w:hAnsi="Arial"/>
                <w:sz w:val="16"/>
                <w:szCs w:val="16"/>
                <w:b w:val="1"/>
                <w:bCs w:val="1"/>
                <w:color w:val="auto"/>
              </w:rPr>
              <w:t>2018</w:t>
            </w: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2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153,893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165,465</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1.48</w:t>
            </w:r>
          </w:p>
        </w:tc>
        <w:tc>
          <w:tcPr>
            <w:tcW w:w="1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34.7 %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70"/>
        </w:trPr>
        <w:tc>
          <w:tcPr>
            <w:tcW w:w="2800" w:type="dxa"/>
            <w:vAlign w:val="bottom"/>
          </w:tcPr>
          <w:p>
            <w:pPr>
              <w:ind w:left="40"/>
              <w:spacing w:after="0"/>
              <w:rPr>
                <w:sz w:val="20"/>
                <w:szCs w:val="20"/>
                <w:color w:val="auto"/>
              </w:rPr>
            </w:pPr>
            <w:r>
              <w:rPr>
                <w:rFonts w:ascii="Arial" w:cs="Arial" w:eastAsia="Arial" w:hAnsi="Arial"/>
                <w:sz w:val="16"/>
                <w:szCs w:val="16"/>
                <w:color w:val="auto"/>
              </w:rPr>
              <w:t>Impacts of tax reform</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2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2</w:t>
            </w: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20,513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0.19</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80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3</w:t>
            </w:r>
          </w:p>
        </w:tc>
        <w:tc>
          <w:tcPr>
            <w:tcW w:w="48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12,600</w:t>
            </w:r>
          </w:p>
        </w:tc>
        <w:tc>
          <w:tcPr>
            <w:tcW w:w="320" w:type="dxa"/>
            <w:vAlign w:val="bottom"/>
          </w:tcPr>
          <w:p>
            <w:pPr>
              <w:spacing w:after="0"/>
              <w:rPr>
                <w:sz w:val="23"/>
                <w:szCs w:val="23"/>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0.12</w:t>
            </w:r>
          </w:p>
        </w:tc>
        <w:tc>
          <w:tcPr>
            <w:tcW w:w="300" w:type="dxa"/>
            <w:vAlign w:val="bottom"/>
          </w:tcPr>
          <w:p>
            <w:pPr>
              <w:spacing w:after="0"/>
              <w:rPr>
                <w:sz w:val="23"/>
                <w:szCs w:val="23"/>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(5.3)%</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of the excess tax deduction for</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9"/>
        </w:trPr>
        <w:tc>
          <w:tcPr>
            <w:tcW w:w="280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4</w:t>
            </w:r>
          </w:p>
        </w:tc>
        <w:tc>
          <w:tcPr>
            <w:tcW w:w="4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(4,613)</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(15,927)</w:t>
            </w:r>
          </w:p>
        </w:tc>
        <w:tc>
          <w:tcPr>
            <w:tcW w:w="3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(0.14)</w:t>
            </w:r>
          </w:p>
        </w:tc>
        <w:tc>
          <w:tcPr>
            <w:tcW w:w="15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31"/>
        </w:trPr>
        <w:tc>
          <w:tcPr>
            <w:tcW w:w="280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182,393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149,538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1.34</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22.6 %</w:t>
            </w:r>
          </w:p>
        </w:tc>
        <w:tc>
          <w:tcPr>
            <w:tcW w:w="116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33"/>
        </w:trPr>
        <w:tc>
          <w:tcPr>
            <w:tcW w:w="2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180" w:hanging="172"/>
        <w:spacing w:after="0" w:line="217" w:lineRule="auto"/>
        <w:tabs>
          <w:tab w:leader="none" w:pos="18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The actual impact of the U.S. tax reform may differ from our estimates, due to, among other things, changes in interpretations and assumptions we have made, guidance that may be issued, and changes in our structure or business model.</w:t>
      </w:r>
    </w:p>
    <w:p>
      <w:pPr>
        <w:spacing w:after="0" w:line="172" w:lineRule="exact"/>
        <w:rPr>
          <w:sz w:val="20"/>
          <w:szCs w:val="20"/>
          <w:color w:val="auto"/>
        </w:rPr>
      </w:pPr>
    </w:p>
    <w:p>
      <w:pPr>
        <w:jc w:val="both"/>
        <w:ind w:left="180" w:hanging="172"/>
        <w:spacing w:after="0" w:line="230" w:lineRule="auto"/>
        <w:tabs>
          <w:tab w:leader="none" w:pos="18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Signed into law on December 22, 2017, the Tax Act, reduced the U.S. federal corporate tax rate from 35.0 percent to 21.0 percent, effective January 1, 2018, resulting in a blended U.S. federal statutory tax rate of 23.3 percent for the fiscal year ended October 31, 2018. This reduction in rate requires the re-measurement of the company's net deferred taxes as of the date of enactment which resulted in a non-cash charge of $20.5 million during the six month period ended May 4, 2018. No deferred tax remeasurement charges were recorded in the second quarter of fiscal 2018.</w:t>
      </w:r>
    </w:p>
    <w:p>
      <w:pPr>
        <w:spacing w:after="0" w:line="174" w:lineRule="exact"/>
        <w:rPr>
          <w:sz w:val="20"/>
          <w:szCs w:val="20"/>
          <w:color w:val="auto"/>
        </w:rPr>
      </w:pPr>
    </w:p>
    <w:p>
      <w:pPr>
        <w:ind w:left="180" w:hanging="172"/>
        <w:spacing w:after="0" w:line="229"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The Tax Act imposed a one-time deemed repatriation tax on our historical undistributed earnings and profits of foreign affiliates which resulted in a one-time charge of $12.6 million during the six month period ended May 4, 2018, payable over eight years. No repatriation tax charges were recorded in the second quarter of fiscal 2018.</w:t>
      </w:r>
    </w:p>
    <w:p>
      <w:pPr>
        <w:spacing w:after="0" w:line="172" w:lineRule="exact"/>
        <w:rPr>
          <w:sz w:val="20"/>
          <w:szCs w:val="20"/>
          <w:color w:val="auto"/>
        </w:rPr>
      </w:pPr>
    </w:p>
    <w:p>
      <w:pPr>
        <w:jc w:val="both"/>
        <w:ind w:left="180" w:hanging="172"/>
        <w:spacing w:after="0" w:line="233" w:lineRule="auto"/>
        <w:tabs>
          <w:tab w:leader="none" w:pos="18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 the first quarter of fiscal 2017, we adopted Accounting Standards Update No. 2016-09, Stock-based Compensation: Improvements to Employee Share-based Payment Accounting, which requires that any excess tax deduction for share-based compensation be immediately recorded within income tax expense. We recorded discrete tax benefits of $1.0 million and $4.6 million as excess tax deductions for share-based compensation during the three and six months ended May 4, 2018, respectively. The Tax Act reduced the U.S. federal corporate tax rate, which reduced the tax benefit related to share-based compensation by $0.5 million and $2.0 million for the for the three and six month periods ended May 4, 2018, respectively.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have been no material changes to our critical accounting policies and estimates since our most recent Annual Report on Form 10-K for the fiscal year ended October 31, 2017. Refer to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Part II, Item 8,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within our Annual Report on Form 10-K for the fiscal year ended October 31, 2017 for a discussion of our critical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Updates (“ASU”) No.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that updates the principles for recognizing revenue. The core principle of the guidance is that an entity should recognize revenue to depict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deferred the effective date of this standard by one year. The guidance permits the use of either a retrospective or cumulative effect transition method. We have elected to use a cumulative effect transition method for adoption of the amended guidance. We expect to adopt this guidance on November 1, 2018, as required, based on the new effective date. We are currently assessing our contracts with customers and developing related financial disclosures in order to evaluate the impact of the amended guidance on our existing revenue recognition policies, procedures, and internal controls. The majority of our revenue arrangements generally consist of a single performance obligation to transfer promised goods or services. While we have not identified any material differences in the amount and timing of revenue recognition related to ASU 2014-09, our evaluation is not complete and, accordingly, we have not yet reached a conclusion on the overall impacts of adopting ASU 2014-09.</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among other things, requires lessees to recognize most leases on-balance sheet. The standard requires the recognition of right-of-use assets and lease liabilities by lessees for those leases classified as operating leases under previous GAAP. The standard also requires a greater level of quantitative and qualitative disclosures regarding the nature of the entity’s leasing activities than were previously required under GAAP. In January 2018, the FASB issued ASU No. 2018-01, </w:t>
      </w:r>
      <w:r>
        <w:rPr>
          <w:rFonts w:ascii="Arial" w:cs="Arial" w:eastAsia="Arial" w:hAnsi="Arial"/>
          <w:sz w:val="17"/>
          <w:szCs w:val="17"/>
          <w:i w:val="1"/>
          <w:iCs w:val="1"/>
          <w:color w:val="auto"/>
        </w:rPr>
        <w:t>Leases (Topic 842): Land Easement Practical Expedient for Transition to Topic</w:t>
      </w:r>
      <w:r>
        <w:rPr>
          <w:rFonts w:ascii="Arial" w:cs="Arial" w:eastAsia="Arial" w:hAnsi="Arial"/>
          <w:sz w:val="17"/>
          <w:szCs w:val="17"/>
          <w:color w:val="auto"/>
        </w:rPr>
        <w:t xml:space="preserve"> </w:t>
      </w:r>
      <w:r>
        <w:rPr>
          <w:rFonts w:ascii="Arial" w:cs="Arial" w:eastAsia="Arial" w:hAnsi="Arial"/>
          <w:sz w:val="17"/>
          <w:szCs w:val="17"/>
          <w:i w:val="1"/>
          <w:iCs w:val="1"/>
          <w:color w:val="auto"/>
        </w:rPr>
        <w:t>842</w:t>
      </w:r>
      <w:r>
        <w:rPr>
          <w:rFonts w:ascii="Arial" w:cs="Arial" w:eastAsia="Arial" w:hAnsi="Arial"/>
          <w:sz w:val="17"/>
          <w:szCs w:val="17"/>
          <w:color w:val="auto"/>
        </w:rPr>
        <w:t>, which provides an optional transition practical expedient to not evaluate existing or expired land easements under the amended lease guidance. ASU No.</w:t>
      </w:r>
      <w:r>
        <w:rPr>
          <w:rFonts w:ascii="Arial" w:cs="Arial" w:eastAsia="Arial" w:hAnsi="Arial"/>
          <w:sz w:val="17"/>
          <w:szCs w:val="17"/>
          <w:i w:val="1"/>
          <w:iCs w:val="1"/>
          <w:color w:val="auto"/>
        </w:rPr>
        <w:t xml:space="preserve"> </w:t>
      </w:r>
      <w:r>
        <w:rPr>
          <w:rFonts w:ascii="Arial" w:cs="Arial" w:eastAsia="Arial" w:hAnsi="Arial"/>
          <w:sz w:val="17"/>
          <w:szCs w:val="17"/>
          <w:color w:val="auto"/>
        </w:rPr>
        <w:t>2016-02, as augmented by ASU No. 2018-01 (the “amended guidance”), will become effective for us commencing in the first quarter of fiscal 2020. Entities are required to use a modified retrospective approach, with early adoption permitted. We are currently reviewing the amended guidance, assessing our leases, and evaluating the related impact on our Consolidated Financial Statements, Notes to Consolidated Financial Statements, business processes, internal controls, and information systems.</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which simplifies the accounting for goodwill impairments by eliminating step 2 from the goodwill impairment test. The amended guidance will become effective for us commencing in the first quarter of fiscal 2021. We are currently evaluating the impact of this new standard on our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guidance on the types of changes to the terms or conditions of share-based payment awards to which an entity would be required to apply modification accounting under Topic 718. The amended guidance will become effective for us commencing in the first quarter of fiscal 2019. Early adoption is permitted. We are currently evaluating the impact of this new standard on our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all other recently issued accounting pronouncements from the FASB that we have not noted above, will not have a material impact on our Consolidated Financial Statements or do not apply to our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tax reform, new accounting pronouncements, and outstanding litigation on our business and future performance.</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jc w:val="both"/>
        <w:ind w:left="660" w:hanging="328"/>
        <w:spacing w:after="0" w:line="25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increased unemployment rates;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4"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in the past affected our operating results and could continue to result in declines in our net sales and net earnings.</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cost, or disruption in the availability, of raw materials, components, parts and accessories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or increased tariffs, duties or other charges as a result of changes to international trade agreements may adversely affect our profit margins and businesses.</w:t>
      </w:r>
    </w:p>
    <w:p>
      <w:pPr>
        <w:spacing w:after="0" w:line="2"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certain factors, including golf course revenues and the amount of investment in golf course renovations and improvements; the level of new golf course development and golf course closures; the extent to which property owners outsource their lawn care and snow and ice removal activities; residential and commercial construction activity; continued acceptance of, and demand for, ag-irrigation solutions; the timing and occurrence of winter weather conditions; demand for our products in the rental and specialty construction markets; availability of cash or credit to Professional segment customers on acceptable terms to finance new product purchases; and the amount of government revenues, budget, and spending levels for grounds maintenance equipment.</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consumers buying our products at dealers, mass retailers, and home centers, such as The Home Depot, Inc.; the amount of product placement at mass retailers and home centers; consumer confidence and spending levels; changing buying patterns of customers; and the impact of significant sales or promotional events.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including our profit margins and net earnings, can be impacted depending on the mix of products we sell during a given period, as our Professional segment products generally have higher profit margins than our Residential segment products. Similarly, within each segment, if we experience lower sales of products that generally carry higher profit margins, our financial performance, including profit margins and net earnings, could be negatively impacted.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intend to grow our business in part through acquisitions and alliances, strong customer relations, and new joint ventures and partnerships, which could be risky and harm our business, reputation, financial condition, and operating results, particularly if we are not able to successfully integrate such acquisitions and alliances, joint ventures, and partnerships.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17" w:lineRule="auto"/>
        <w:rPr>
          <w:sz w:val="20"/>
          <w:szCs w:val="20"/>
          <w:color w:val="auto"/>
        </w:rPr>
      </w:pPr>
      <w:r>
        <w:rPr>
          <w:rFonts w:ascii="Arial" w:cs="Arial" w:eastAsia="Arial" w:hAnsi="Arial"/>
          <w:sz w:val="16"/>
          <w:szCs w:val="16"/>
          <w:color w:val="auto"/>
        </w:rPr>
        <w:t>If previous or future acquisitions do not produce the expected results or integration into our operations takes more time than expected, our business could be harmed. We cannot guarantee previous or future acquisitions, alliances, joint ventures or partnerships will in fact produce any benefits.</w:t>
      </w:r>
    </w:p>
    <w:p>
      <w:pPr>
        <w:spacing w:after="0" w:line="1" w:lineRule="exact"/>
        <w:rPr>
          <w:sz w:val="20"/>
          <w:szCs w:val="20"/>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our inventory levels to meet our customers' demand for our products is important for our business. If we underestimate or overestimate demand for our products and do not maintain appropriate inventory levels, our net sales and/or working capital could be negatively impacted.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composition of, financial viability of, and/or the relationships with, our distribution channel customers could negatively impact our business and operating results.</w:t>
      </w: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policy changes between the U.S. and other countries, weakened international economic conditions, or the United Kingdom’s process for exiting the European Union;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5"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continue to enhance existing products, as well as develop and market new products, that respond to customer needs and preferences and achieve market acceptance, including by incorporating new or emerging technologies that may become preferred by our customers, we may experience a decrease in demand for our products, and our net sales could be adversely affected.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disruption, including as a result of natural or man-made disasters, climate change-related events, work slowdowns, strikes, or other events, at any of our facilities or in our manufacturing or other operations, or those of our distribution channel customers or suppliers,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production labor needs fluctuate throughout the year and any failure by us to hire and/or retain a production labor force to adequately staff our manufacturing operations, or by our production labor force to adequately and safely perform their jobs could adversely affect our business, operating results, and reputation.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information security practices, or those of our business partners or third party service providers, fail to adequately perform and/or protect sensitive or confidential information, or if we, our business partners, or third party service providers experience an interruption in, or breach of, the operation of such systems or practices, including by theft, loss or damage from unauthorized access, security breaches, natural or man-made disasters, cyber attacks, computer viruses, malware, phishing, denial of service attacks, power loss or other disruptive events, our business, reputation, financial condition, and operating results could be adversely affected.</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66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in the U.S. or other countries in which we conduct business also may adversely affect our financial results, including as a result of, (i) taxation and tax policy changes, tax rate changes, new tax laws, new or revised tax law interpretations or guidance, including as a result of the Tax Act, (ii) changes to, or adoption of new, healthcare laws or regulations, or (iii) changes to international trade agreements that could result in additional duties or other charges on raw materials, components, parts or accessories we import.</w:t>
      </w:r>
    </w:p>
    <w:p>
      <w:pPr>
        <w:spacing w:after="0" w:line="1"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standards or assumptions in applying accounting policies could adversely affect our financial statements, including our financial results and financial condition.</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Climate change legislation, regulations, or accords may adversely impact our operations.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product quality issues, product liability claims, and other litigation from time to time that could adversely affect our business, reputation, operating results, or financial condition.</w:t>
      </w:r>
    </w:p>
    <w:p>
      <w:pPr>
        <w:jc w:val="both"/>
        <w:ind w:left="660" w:right="4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our Red Iron joint venture, we are dependent upon the joint venture to provide competitive inventory financing programs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expanding and renovating our corporate and other facilities and could experience disruptions to our operations in connection with such efforts.</w:t>
      </w:r>
    </w:p>
    <w:p>
      <w:pPr>
        <w:ind w:left="660" w:hanging="328"/>
        <w:spacing w:after="0" w:line="29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achieve our projected financial information or other business initiatives, such as the goals of our “Vision 2020” initiative, in the time periods that we anticipate, or at all, which could have an adverse effect on our business, operating results and financial condition.</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interest rate risk and equity market risk included in our Annual Report on Form 10-K for the fiscal year ended October 31, 2017. Refer below for further discussion on foreign currency exchange rate risk and commodity cost risk.</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Additionally, refer to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within our most recent Annual Report on Form 10-K for the fiscal year ended October 31, 2017 for a complete discussion of our market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foreign currency exchange rate risk arising from transactions in the normal course of business, such as sales to third party customers, sales and loans to wholly owned foreign subsidiaries, foreign plant operations, and purchases from suppliers. Our primary foreign currency exchange rate exposures are with the Euro, the Australian dollar, the Canadian dollar, the British pound, the Mexican peso, the Japanese yen, the Chinese Renminbi, the Romanian New Leu against the U.S. dollar, and the Romanian New Leu against the Euro, including exposure as a result of the volatility and uncertainty that may arise as a result of the United Kingdom’s process for exiting the European Union. Because our products are manufactured or sourced primarily from the United States and Mexico, a stronger U.S. dollar and Mexican peso generally have a negative impact on our results from operations, while a weaker U.S. dollar and Mexican peso generally have a positive effect.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reduce our exposure to foreign currency exchange rate risk, we actively manage the exposure of our foreign currency exchange rate risk by entering into various derivative instruments to hedge against such risk, authorized under company policies that place controls on these hedging activities, with counterparties that are highly rated financial institutions. Our policy does not allow the use of derivative instruments for trading or speculative purposes.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changes in values of the related exposures. Therefore, changes in the values of our derivative instruments are highly correlated with changes in the market values of underlying hedged items both at inception and over the life of the derivative instrument.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the fair values of the spot rate component of outstanding, highly effective cash flow hedging instruments included in the assessment of hedge effectiveness are recorded in other comprehensive income within accumulated other comprehensive loss (“AOCL”) on the Condensed Consolidated Balance Sheets and are subsequently reclassified to net earnings within the Condensed Consolidated Statements of Earnings during the same period in which the cash flows of the underlying hedged transaction affect net earnings. Certain derivative instruments we hold do not meet the cash flow hedge accounting criteria or have components that are excluded from cash flow hedge accounting; therefore, changes in their fair value are recorded in the Condensed Consolidated Statements of Earnings within the same line item as that of the underlying exposure. For additional information regarding our derivative instruments, see Note 12 in our Notes to Condensed Consolidated Financial Statements under the heading “Derivative Instruments and Hedging Activities” included in Item 1 of this Quarterly Report on Form 10-Q.</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foreign currency exchange contracts in the table below have maturity dates in fiscal 2018 through fiscal 2019. All items are non-trading and stated in U.S. dollars. As of May 4, 2018, the average contracted rate, notional amount, and the gain (loss) at fair value of outstanding derivative instruments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380" w:type="dxa"/>
            <w:vAlign w:val="bottom"/>
          </w:tcPr>
          <w:p>
            <w:pPr>
              <w:jc w:val="right"/>
              <w:ind w:right="370"/>
              <w:spacing w:after="0"/>
              <w:rPr>
                <w:sz w:val="20"/>
                <w:szCs w:val="20"/>
                <w:color w:val="auto"/>
              </w:rPr>
            </w:pPr>
            <w:r>
              <w:rPr>
                <w:rFonts w:ascii="Arial" w:cs="Arial" w:eastAsia="Arial" w:hAnsi="Arial"/>
                <w:sz w:val="18"/>
                <w:szCs w:val="18"/>
                <w:b w:val="1"/>
                <w:bCs w:val="1"/>
                <w:color w:val="auto"/>
              </w:rPr>
              <w:t>Average</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Gain (Loss) at</w:t>
            </w:r>
          </w:p>
        </w:tc>
      </w:tr>
      <w:tr>
        <w:trPr>
          <w:trHeight w:val="234"/>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 except average contracted rate)</w:t>
            </w:r>
          </w:p>
        </w:tc>
        <w:tc>
          <w:tcPr>
            <w:tcW w:w="3380" w:type="dxa"/>
            <w:vAlign w:val="bottom"/>
          </w:tcPr>
          <w:p>
            <w:pPr>
              <w:jc w:val="right"/>
              <w:ind w:right="50"/>
              <w:spacing w:after="0"/>
              <w:rPr>
                <w:sz w:val="20"/>
                <w:szCs w:val="20"/>
                <w:color w:val="auto"/>
              </w:rPr>
            </w:pPr>
            <w:r>
              <w:rPr>
                <w:rFonts w:ascii="Arial" w:cs="Arial" w:eastAsia="Arial" w:hAnsi="Arial"/>
                <w:sz w:val="18"/>
                <w:szCs w:val="18"/>
                <w:b w:val="1"/>
                <w:bCs w:val="1"/>
                <w:color w:val="auto"/>
              </w:rPr>
              <w:t>Contracted Rate</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Notional Amount</w:t>
            </w:r>
          </w:p>
        </w:tc>
        <w:tc>
          <w:tcPr>
            <w:tcW w:w="22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9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U.S. dollar/Sell Australian dollar</w:t>
            </w:r>
          </w:p>
        </w:tc>
        <w:tc>
          <w:tcPr>
            <w:tcW w:w="3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0.7681</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43,362.6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Buy U.S. dollar/Sell Canadian dollar</w:t>
            </w:r>
          </w:p>
        </w:tc>
        <w:tc>
          <w:tcPr>
            <w:tcW w:w="3380" w:type="dxa"/>
            <w:vAlign w:val="bottom"/>
          </w:tcPr>
          <w:p>
            <w:pPr>
              <w:jc w:val="right"/>
              <w:ind w:right="50"/>
              <w:spacing w:after="0"/>
              <w:rPr>
                <w:sz w:val="20"/>
                <w:szCs w:val="20"/>
                <w:color w:val="auto"/>
              </w:rPr>
            </w:pPr>
            <w:r>
              <w:rPr>
                <w:rFonts w:ascii="Arial" w:cs="Arial" w:eastAsia="Arial" w:hAnsi="Arial"/>
                <w:sz w:val="18"/>
                <w:szCs w:val="18"/>
                <w:color w:val="auto"/>
              </w:rPr>
              <w:t>1.2685</w:t>
            </w:r>
          </w:p>
        </w:tc>
        <w:tc>
          <w:tcPr>
            <w:tcW w:w="5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7,710.0</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98.8</w:t>
            </w:r>
          </w:p>
        </w:tc>
      </w:tr>
      <w:tr>
        <w:trPr>
          <w:trHeight w:val="27"/>
        </w:trPr>
        <w:tc>
          <w:tcPr>
            <w:tcW w:w="49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U.S. dollar/Sell Euro</w:t>
            </w:r>
          </w:p>
        </w:tc>
        <w:tc>
          <w:tcPr>
            <w:tcW w:w="3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1.1687</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57,849.6</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(1,792.0)</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Buy U.S. dollar/Sell British pound</w:t>
            </w:r>
          </w:p>
        </w:tc>
        <w:tc>
          <w:tcPr>
            <w:tcW w:w="3380" w:type="dxa"/>
            <w:vAlign w:val="bottom"/>
          </w:tcPr>
          <w:p>
            <w:pPr>
              <w:jc w:val="right"/>
              <w:ind w:right="50"/>
              <w:spacing w:after="0"/>
              <w:rPr>
                <w:sz w:val="20"/>
                <w:szCs w:val="20"/>
                <w:color w:val="auto"/>
              </w:rPr>
            </w:pPr>
            <w:r>
              <w:rPr>
                <w:rFonts w:ascii="Arial" w:cs="Arial" w:eastAsia="Arial" w:hAnsi="Arial"/>
                <w:sz w:val="18"/>
                <w:szCs w:val="18"/>
                <w:color w:val="auto"/>
              </w:rPr>
              <w:t>1.3554</w:t>
            </w:r>
          </w:p>
        </w:tc>
        <w:tc>
          <w:tcPr>
            <w:tcW w:w="5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27,163.0</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(220.2)</w:t>
            </w:r>
          </w:p>
        </w:tc>
      </w:tr>
      <w:tr>
        <w:trPr>
          <w:trHeight w:val="27"/>
        </w:trPr>
        <w:tc>
          <w:tcPr>
            <w:tcW w:w="49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Mexican peso/Sell U.S. dollar</w:t>
            </w:r>
          </w:p>
        </w:tc>
        <w:tc>
          <w:tcPr>
            <w:tcW w:w="3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21.4374</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5,535.2</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609.5</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Buy Japanese yen/Sell U.S. dollar</w:t>
            </w:r>
          </w:p>
        </w:tc>
        <w:tc>
          <w:tcPr>
            <w:tcW w:w="3380" w:type="dxa"/>
            <w:vAlign w:val="bottom"/>
          </w:tcPr>
          <w:p>
            <w:pPr>
              <w:jc w:val="right"/>
              <w:ind w:right="50"/>
              <w:spacing w:after="0"/>
              <w:rPr>
                <w:sz w:val="20"/>
                <w:szCs w:val="20"/>
                <w:color w:val="auto"/>
              </w:rPr>
            </w:pPr>
            <w:r>
              <w:rPr>
                <w:rFonts w:ascii="Arial" w:cs="Arial" w:eastAsia="Arial" w:hAnsi="Arial"/>
                <w:sz w:val="18"/>
                <w:szCs w:val="18"/>
                <w:color w:val="auto"/>
              </w:rPr>
              <w:t>109.7980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669"/>
        </w:trPr>
        <w:tc>
          <w:tcPr>
            <w:tcW w:w="4900" w:type="dxa"/>
            <w:vAlign w:val="bottom"/>
          </w:tcPr>
          <w:p>
            <w:pPr>
              <w:spacing w:after="0"/>
              <w:rPr>
                <w:sz w:val="24"/>
                <w:szCs w:val="24"/>
                <w:color w:val="auto"/>
              </w:rPr>
            </w:pPr>
          </w:p>
        </w:tc>
        <w:tc>
          <w:tcPr>
            <w:tcW w:w="3380" w:type="dxa"/>
            <w:vAlign w:val="bottom"/>
          </w:tcPr>
          <w:p>
            <w:pPr>
              <w:jc w:val="right"/>
              <w:ind w:right="239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AOCL in stockholders’ equity on the Consolidated Balance Sheets, and would not impact net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Cost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Some raw materials used in our products are exposed to commodity cost changes. Our primary commodity cost exposures are with steel, aluminum, petroleum and natural gas-based resins, and linerboard. In addition, we are a purchaser of components and parts containing various commodities, including steel, aluminum, copper, lead, rubber, and others that are integrated into our end products. We generally purchase commodities and components based upon market prices that are established with vendors as part of the purchase process and generally attempt to obtain firm pricing from most of our suppliers for volumes consistent with planned production. Additionally, we enter into fixed-price contracts for future purchases of natural gas in the normal course of operations as a means to manage natural gas price risks. Further information regarding changing costs of commodities is presented in Item 2 of this Quarterly Report on Form 10-Q, in the section titled “Inflation.”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second quarter ended May 4, 2018 that has materially affected, or is reasonably likely to materially affect, our internal control over financial reporting.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description of our material legal proceedings, see Note 10 in our Notes to Condensed Consolidated Financial Statements under the heading “Contingencies - Litigation” included in Item 1 of this Quarterly Report on Form 10-Q, which is incorporated into this Part II. Item 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with respect to shares of our common stock purchased by the company during each of the three fiscal months in our second quarter ended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Total Number of Shares</w:t>
            </w:r>
          </w:p>
        </w:tc>
        <w:tc>
          <w:tcPr>
            <w:tcW w:w="192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jc w:val="right"/>
              <w:ind w:right="490"/>
              <w:spacing w:after="0"/>
              <w:rPr>
                <w:sz w:val="20"/>
                <w:szCs w:val="20"/>
                <w:color w:val="auto"/>
              </w:rPr>
            </w:pPr>
            <w:r>
              <w:rPr>
                <w:rFonts w:ascii="Arial" w:cs="Arial" w:eastAsia="Arial" w:hAnsi="Arial"/>
                <w:sz w:val="18"/>
                <w:szCs w:val="18"/>
                <w:b w:val="1"/>
                <w:bCs w:val="1"/>
                <w:color w:val="auto"/>
              </w:rPr>
              <w:t>(or Units)</w:t>
            </w:r>
          </w:p>
        </w:tc>
        <w:tc>
          <w:tcPr>
            <w:tcW w:w="19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Purchased As</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Shares (or Units) that</w:t>
            </w:r>
          </w:p>
        </w:tc>
      </w:tr>
      <w:tr>
        <w:trPr>
          <w:trHeight w:val="216"/>
        </w:trPr>
        <w:tc>
          <w:tcPr>
            <w:tcW w:w="3880" w:type="dxa"/>
            <w:vAlign w:val="bottom"/>
          </w:tcPr>
          <w:p>
            <w:pPr>
              <w:spacing w:after="0"/>
              <w:rPr>
                <w:sz w:val="18"/>
                <w:szCs w:val="18"/>
                <w:color w:val="auto"/>
              </w:rPr>
            </w:pPr>
          </w:p>
        </w:tc>
        <w:tc>
          <w:tcPr>
            <w:tcW w:w="232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Price Paid</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Part of Publicly</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880" w:type="dxa"/>
            <w:vAlign w:val="bottom"/>
          </w:tcPr>
          <w:p>
            <w:pPr>
              <w:spacing w:after="0"/>
              <w:rPr>
                <w:sz w:val="18"/>
                <w:szCs w:val="18"/>
                <w:color w:val="auto"/>
              </w:rPr>
            </w:pPr>
          </w:p>
        </w:tc>
        <w:tc>
          <w:tcPr>
            <w:tcW w:w="232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Shares (or Units)</w:t>
            </w: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per Share</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Announced Plans or</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Under the Plans or</w:t>
            </w:r>
          </w:p>
        </w:tc>
      </w:tr>
      <w:tr>
        <w:trPr>
          <w:trHeight w:val="261"/>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320" w:type="dxa"/>
            <w:vAlign w:val="bottom"/>
            <w:tcBorders>
              <w:bottom w:val="single" w:sz="8" w:color="auto"/>
            </w:tcBorders>
          </w:tcPr>
          <w:p>
            <w:pPr>
              <w:jc w:val="center"/>
              <w:ind w:left="690"/>
              <w:spacing w:after="0" w:line="262" w:lineRule="exact"/>
              <w:rPr>
                <w:sz w:val="20"/>
                <w:szCs w:val="20"/>
                <w:color w:val="auto"/>
              </w:rPr>
            </w:pPr>
            <w:r>
              <w:rPr>
                <w:rFonts w:ascii="Arial" w:cs="Arial" w:eastAsia="Arial" w:hAnsi="Arial"/>
                <w:sz w:val="18"/>
                <w:szCs w:val="18"/>
                <w:b w:val="1"/>
                <w:bCs w:val="1"/>
                <w:color w:val="auto"/>
                <w:w w:val="85"/>
              </w:rPr>
              <w:t>Purchased</w:t>
            </w:r>
            <w:r>
              <w:rPr>
                <w:rFonts w:ascii="Arial" w:cs="Arial" w:eastAsia="Arial" w:hAnsi="Arial"/>
                <w:sz w:val="25"/>
                <w:szCs w:val="25"/>
                <w:b w:val="1"/>
                <w:bCs w:val="1"/>
                <w:color w:val="auto"/>
                <w:w w:val="85"/>
                <w:vertAlign w:val="superscript"/>
              </w:rPr>
              <w:t>1,2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7"/>
              </w:rPr>
              <w:t>(or Unit)</w:t>
            </w:r>
          </w:p>
        </w:tc>
        <w:tc>
          <w:tcPr>
            <w:tcW w:w="2020" w:type="dxa"/>
            <w:vAlign w:val="bottom"/>
            <w:tcBorders>
              <w:bottom w:val="single" w:sz="8" w:color="auto"/>
            </w:tcBorders>
          </w:tcPr>
          <w:p>
            <w:pPr>
              <w:jc w:val="center"/>
              <w:ind w:left="70"/>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c>
          <w:tcPr>
            <w:tcW w:w="1920" w:type="dxa"/>
            <w:vAlign w:val="bottom"/>
            <w:tcBorders>
              <w:bottom w:val="single" w:sz="8" w:color="auto"/>
            </w:tcBorders>
          </w:tcPr>
          <w:p>
            <w:pPr>
              <w:jc w:val="center"/>
              <w:ind w:left="10"/>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3, 2018 through March 2, 2018</w:t>
            </w:r>
          </w:p>
        </w:tc>
        <w:tc>
          <w:tcPr>
            <w:tcW w:w="2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465,593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62.27</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465,593</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3,742,151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March 3, 2018 through March 30, 2018</w:t>
            </w:r>
          </w:p>
        </w:tc>
        <w:tc>
          <w:tcPr>
            <w:tcW w:w="2320" w:type="dxa"/>
            <w:vAlign w:val="bottom"/>
          </w:tcPr>
          <w:p>
            <w:pPr>
              <w:jc w:val="right"/>
              <w:ind w:right="50"/>
              <w:spacing w:after="0"/>
              <w:rPr>
                <w:sz w:val="20"/>
                <w:szCs w:val="20"/>
                <w:color w:val="auto"/>
              </w:rPr>
            </w:pPr>
            <w:r>
              <w:rPr>
                <w:rFonts w:ascii="Arial" w:cs="Arial" w:eastAsia="Arial" w:hAnsi="Arial"/>
                <w:sz w:val="18"/>
                <w:szCs w:val="18"/>
                <w:color w:val="auto"/>
              </w:rPr>
              <w:t>260,935</w:t>
            </w:r>
          </w:p>
        </w:tc>
        <w:tc>
          <w:tcPr>
            <w:tcW w:w="2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62.13</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260,935</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3,481,216</w:t>
            </w:r>
          </w:p>
        </w:tc>
      </w:tr>
      <w:tr>
        <w:trPr>
          <w:trHeight w:val="27"/>
        </w:trPr>
        <w:tc>
          <w:tcPr>
            <w:tcW w:w="38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2018 through May 4, 2018</w:t>
            </w:r>
          </w:p>
        </w:tc>
        <w:tc>
          <w:tcPr>
            <w:tcW w:w="2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353,437</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60.31</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351,895</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3,129,321</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1,079,965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61.59</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1,078,423</w:t>
            </w:r>
          </w:p>
        </w:tc>
        <w:tc>
          <w:tcPr>
            <w:tcW w:w="1920" w:type="dxa"/>
            <w:vAlign w:val="bottom"/>
          </w:tcPr>
          <w:p>
            <w:pPr>
              <w:spacing w:after="0"/>
              <w:rPr>
                <w:sz w:val="20"/>
                <w:szCs w:val="20"/>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180" w:hanging="172"/>
        <w:spacing w:after="0" w:line="239"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in privately negotiated transactions. This program has no expiration date but may be terminated by the company’s Board of Directors at any time. The company repurchased 1,078,423 shares during the period indicated above under this program and 3,129,321 shares remained available to repurchase under this program as of May 4, 2018.</w:t>
      </w:r>
    </w:p>
    <w:p>
      <w:pPr>
        <w:spacing w:after="0" w:line="172" w:lineRule="exact"/>
        <w:rPr>
          <w:sz w:val="20"/>
          <w:szCs w:val="20"/>
          <w:color w:val="auto"/>
        </w:rPr>
      </w:pPr>
    </w:p>
    <w:p>
      <w:pPr>
        <w:jc w:val="both"/>
        <w:ind w:left="180" w:hanging="172"/>
        <w:spacing w:after="0" w:line="225" w:lineRule="auto"/>
        <w:tabs>
          <w:tab w:leader="none" w:pos="18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Includes 1,542 units (shares) of the company’s common stock purchased in open-market transactions at an average price of $61.42 per share on behalf of a rabbi trust formed to pay benefit obligations of the company to participants in deferred compensation plans. These 1,542 shares were not repurchased under the company’s repurchase program described in footnote 1 above.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76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(a)   Exhibit No.</w:t>
            </w:r>
          </w:p>
        </w:tc>
        <w:tc>
          <w:tcPr>
            <w:tcW w:w="964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554"/>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3.1 and 4.1</w:t>
            </w:r>
          </w:p>
        </w:tc>
        <w:tc>
          <w:tcPr>
            <w:tcW w:w="9620" w:type="dxa"/>
            <w:vAlign w:val="bottom"/>
            <w:tcBorders>
              <w:bottom w:val="single" w:sz="8" w:color="0000FF"/>
            </w:tcBorders>
            <w:gridSpan w:val="8"/>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Restated Certificate of Incorporation of The Toro Company (incorporated by reference to Exhibit 3.1 to Registrant’s Current Report</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on Form 8-K dated June 17, 2008, Commission File No. 1-8649).</w:t>
              </w:r>
            </w:hyperlink>
          </w:p>
        </w:tc>
        <w:tc>
          <w:tcPr>
            <w:tcW w:w="4920" w:type="dxa"/>
            <w:vAlign w:val="bottom"/>
            <w:gridSpan w:val="6"/>
          </w:tcPr>
          <w:p>
            <w:pPr>
              <w:spacing w:after="0"/>
              <w:rPr>
                <w:sz w:val="17"/>
                <w:szCs w:val="17"/>
                <w:color w:val="auto"/>
              </w:rPr>
            </w:pPr>
          </w:p>
        </w:tc>
      </w:tr>
      <w:tr>
        <w:trPr>
          <w:trHeight w:val="574"/>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3.2 and 4.2</w:t>
            </w:r>
          </w:p>
        </w:tc>
        <w:tc>
          <w:tcPr>
            <w:tcW w:w="9640" w:type="dxa"/>
            <w:vAlign w:val="bottom"/>
            <w:gridSpan w:val="9"/>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Certificate of Amendment to Restated Certificate of Incorporation of The Toro Company (incorporated by reference to Exhibit 3.1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Registrant’s Current Report on Form 8-K dated March 12, 2013, Commission File No. 1-8649).</w:t>
              </w:r>
            </w:hyperlink>
          </w:p>
        </w:tc>
        <w:tc>
          <w:tcPr>
            <w:tcW w:w="2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3.3 and 4.3</w:t>
            </w:r>
          </w:p>
        </w:tc>
        <w:tc>
          <w:tcPr>
            <w:tcW w:w="9640" w:type="dxa"/>
            <w:vAlign w:val="bottom"/>
            <w:tcBorders>
              <w:bottom w:val="single" w:sz="8" w:color="0000FF"/>
            </w:tcBorders>
            <w:gridSpan w:val="9"/>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Amended and Restated Bylaws of The Toro Company (incorporated by reference to Exhibit 3.1 to Registrant’s Current Report on</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Form 8-K dated July 19, 2016, Commission File No. 1-8649).</w:t>
              </w:r>
            </w:hyperlink>
          </w:p>
        </w:tc>
        <w:tc>
          <w:tcPr>
            <w:tcW w:w="5180" w:type="dxa"/>
            <w:vAlign w:val="bottom"/>
            <w:gridSpan w:val="7"/>
          </w:tcPr>
          <w:p>
            <w:pPr>
              <w:spacing w:after="0"/>
              <w:rPr>
                <w:sz w:val="17"/>
                <w:szCs w:val="17"/>
                <w:color w:val="auto"/>
              </w:rPr>
            </w:pPr>
          </w:p>
        </w:tc>
      </w:tr>
      <w:tr>
        <w:trPr>
          <w:trHeight w:val="546"/>
        </w:trPr>
        <w:tc>
          <w:tcPr>
            <w:tcW w:w="1280" w:type="dxa"/>
            <w:vAlign w:val="bottom"/>
          </w:tcPr>
          <w:p>
            <w:pPr>
              <w:ind w:left="500"/>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w w:val="94"/>
              </w:rPr>
              <w:t>Form 8-K dated June 24, 1997, Commission File No. 1-8649). (Filed on paper - hyperlink is not required pursuant to Rule 105 of</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auto"/>
              </w:rPr>
              <w:t>Regulation S-T)</w:t>
            </w:r>
          </w:p>
        </w:tc>
      </w:tr>
      <w:tr>
        <w:trPr>
          <w:trHeight w:val="500"/>
        </w:trPr>
        <w:tc>
          <w:tcPr>
            <w:tcW w:w="1280" w:type="dxa"/>
            <w:vAlign w:val="bottom"/>
          </w:tcPr>
          <w:p>
            <w:pPr>
              <w:ind w:left="50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4"/>
                <w:szCs w:val="24"/>
                <w:color w:val="auto"/>
              </w:rPr>
            </w:pPr>
          </w:p>
        </w:tc>
        <w:tc>
          <w:tcPr>
            <w:tcW w:w="9640" w:type="dxa"/>
            <w:vAlign w:val="bottom"/>
            <w:tcBorders>
              <w:bottom w:val="single" w:sz="8" w:color="0000FF"/>
            </w:tcBorders>
            <w:gridSpan w:val="9"/>
          </w:tcPr>
          <w:p>
            <w:pPr>
              <w:spacing w:after="0"/>
              <w:rPr>
                <w:rFonts w:ascii="Arial" w:cs="Arial" w:eastAsia="Arial" w:hAnsi="Arial"/>
                <w:sz w:val="18"/>
                <w:szCs w:val="18"/>
                <w:color w:val="0000FF"/>
                <w:w w:val="93"/>
              </w:rPr>
            </w:pPr>
            <w:hyperlink r:id="rId32">
              <w:r>
                <w:rPr>
                  <w:rFonts w:ascii="Arial" w:cs="Arial" w:eastAsia="Arial" w:hAnsi="Arial"/>
                  <w:sz w:val="18"/>
                  <w:szCs w:val="18"/>
                  <w:color w:val="0000FF"/>
                  <w:w w:val="93"/>
                </w:rPr>
                <w:t>Indenture dated as of April 20, 2007, between Registrant and The Bank of New York Trust Company, N.A., as Trustee, relating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9"/>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The Toro Company’s 6.625% Notes due May 1, 2037 (incorporated by reference to Exhibit 4.3 to Registrant’s Registration Statement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on Form S-3 filed with the Securities and Exchange Commission on April 23, 2007, Registration No. 333-142282).</w:t>
              </w:r>
            </w:hyperlink>
          </w:p>
        </w:tc>
        <w:tc>
          <w:tcPr>
            <w:tcW w:w="13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4"/>
                <w:szCs w:val="24"/>
                <w:color w:val="auto"/>
              </w:rPr>
            </w:pPr>
          </w:p>
        </w:tc>
        <w:tc>
          <w:tcPr>
            <w:tcW w:w="9640" w:type="dxa"/>
            <w:vAlign w:val="bottom"/>
            <w:gridSpan w:val="9"/>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First Supplemental Indenture dated as of April 26, 2007, between Registrant and The Bank of New York Trust Company, N.A., as</w:t>
              </w:r>
            </w:hyperlink>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7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9"/>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Trustee, relating to The Toro Company’s 6.625% Notes due May 1, 2037 (incorporated by reference to Exhibit 4.1 to Registrant’s</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Current Report on Form 8-K dated April 23, 2007, Commission File No. 1-8649).</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24"/>
                <w:szCs w:val="24"/>
                <w:color w:val="auto"/>
              </w:rPr>
            </w:pPr>
          </w:p>
        </w:tc>
        <w:tc>
          <w:tcPr>
            <w:tcW w:w="9640" w:type="dxa"/>
            <w:vAlign w:val="bottom"/>
            <w:gridSpan w:val="9"/>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Form of The Toro Company 6.625% Note due May 1, 2037 (incorporated by reference to Exhibit 4.2 to Registrant’s Current Report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on Form 8-K dated April 23, 2007, Commission File No. 1-8649).</w:t>
              </w:r>
            </w:hyperlink>
          </w:p>
        </w:tc>
        <w:tc>
          <w:tcPr>
            <w:tcW w:w="486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280" w:type="dxa"/>
            <w:vAlign w:val="bottom"/>
          </w:tcPr>
          <w:p>
            <w:pPr>
              <w:ind w:left="50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9640" w:type="dxa"/>
            <w:vAlign w:val="bottom"/>
            <w:gridSpan w:val="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Chief Executive Officer Pursuant to Rule 13a-14(a) (Section 302 of the Sarbanes-Oxley Act of 2002) (filed</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herewith).</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ind w:left="50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Chief Financial Officer Pursuant to Rule 13a-14(a) (Section 302 of the Sarbanes-Oxley Act of 2002) (filed herewith).</w:t>
              </w:r>
            </w:hyperlink>
          </w:p>
        </w:tc>
        <w:tc>
          <w:tcPr>
            <w:tcW w:w="20" w:type="dxa"/>
            <w:vAlign w:val="bottom"/>
          </w:tcPr>
          <w:p>
            <w:pPr>
              <w:spacing w:after="0"/>
              <w:rPr>
                <w:sz w:val="24"/>
                <w:szCs w:val="24"/>
                <w:color w:val="auto"/>
              </w:rPr>
            </w:pPr>
          </w:p>
        </w:tc>
      </w:tr>
    </w:tbl>
    <w:p>
      <w:pPr>
        <w:spacing w:after="0" w:line="337" w:lineRule="exact"/>
        <w:rPr>
          <w:sz w:val="20"/>
          <w:szCs w:val="20"/>
          <w:color w:val="auto"/>
        </w:rPr>
      </w:pPr>
    </w:p>
    <w:p>
      <w:pPr>
        <w:ind w:left="1760" w:right="20" w:hanging="1266"/>
        <w:spacing w:after="0" w:line="277" w:lineRule="auto"/>
        <w:tabs>
          <w:tab w:leader="none" w:pos="1760" w:val="left"/>
        </w:tabs>
        <w:numPr>
          <w:ilvl w:val="0"/>
          <w:numId w:val="12"/>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Certification of Chief Executive Officer and Chief Financial Officer Pursuant to 18 U.S.C. Section 1350, as Adopted Pursuant to</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Section 906 of the Sarbanes-Oxley Act of 2002 (furnished herewith).</w:t>
        </w:r>
      </w:hyperlink>
    </w:p>
    <w:p>
      <w:pPr>
        <w:spacing w:after="0" w:line="279" w:lineRule="exact"/>
        <w:rPr>
          <w:rFonts w:ascii="Arial" w:cs="Arial" w:eastAsia="Arial" w:hAnsi="Arial"/>
          <w:sz w:val="18"/>
          <w:szCs w:val="18"/>
          <w:color w:val="auto"/>
        </w:rPr>
      </w:pPr>
    </w:p>
    <w:p>
      <w:pPr>
        <w:jc w:val="both"/>
        <w:ind w:left="1760" w:hanging="1266"/>
        <w:spacing w:after="0" w:line="255" w:lineRule="auto"/>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financial information from The Toro Company’s Quarterly Report on Form 10-Q for the quarterly period ended May 4, 2018, filed with the SEC on June 6, 2018, formatted in eXtensible Business Reporting Language (XBRL): (i) Condensed Consolidated Statements of Earnings for the three and six-month periods ended May 4, 2018 and May 5, 2017, (ii) Condensed Consolidated Statements of Comprehensive Income for the three and six-month periods ended May 4, 2018 and May 5, 2017, (iii) Condensed Consolidated Balance Sheets as of May 4, 2018, May 5, 2017, and October 31, 2017, (iv) Condensed Consolidated Statement of Cash Flows for the six-month periods ended May 4, 2018 and May 5, 2017, and (v) Notes to Condensed Consolidated Financial Statements (filed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08"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June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principal financial officer, and principal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May 4, 2018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6, 2018</w:t>
      </w:r>
    </w:p>
    <w:p>
      <w:pPr>
        <w:spacing w:after="0" w:line="200" w:lineRule="exact"/>
        <w:rPr>
          <w:sz w:val="20"/>
          <w:szCs w:val="20"/>
          <w:color w:val="auto"/>
        </w:rPr>
      </w:pPr>
    </w:p>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1"/>
      <w:numFmt w:val="decimal"/>
      <w:start w:val="10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29" Type="http://schemas.openxmlformats.org/officeDocument/2006/relationships/hyperlink" Target="http://www.sec.gov/Archives/edgar/data/737758/000073775808000033/form8-k06172008exhibitcert.htm" TargetMode="External"/><Relationship Id="rId30" Type="http://schemas.openxmlformats.org/officeDocument/2006/relationships/hyperlink" Target="http://www.sec.gov/Archives/edgar/data/737758/000119312513105223/d501846dex31.htm" TargetMode="External"/><Relationship Id="rId31" Type="http://schemas.openxmlformats.org/officeDocument/2006/relationships/hyperlink" Target="http://www.sec.gov/Archives/edgar/data/737758/000110465916133324/a16-15127_1ex3d1.htm" TargetMode="External"/><Relationship Id="rId32" Type="http://schemas.openxmlformats.org/officeDocument/2006/relationships/hyperlink" Target="http://www.sec.gov/Archives/edgar/data/737758/000110465907030051/a07-10570_1ex4d3.htm" TargetMode="External"/><Relationship Id="rId33" Type="http://schemas.openxmlformats.org/officeDocument/2006/relationships/hyperlink" Target="http://www.sec.gov/Archives/edgar/data/737758/000110465907031757/a07-10570_5ex4d1.htm" TargetMode="External"/><Relationship Id="rId34"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2019-12-28T21:29:19Z</dcterms:created>
  <dcterms:modified xsi:type="dcterms:W3CDTF">2019-12-28T21:29:19Z</dcterms:modified>
</cp:coreProperties>
</file>