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4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6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12/08/2016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8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12/08/2016</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8,538</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0" w:type="dxa"/>
            <w:vAlign w:val="bottom"/>
            <w:tcBorders>
              <w:bottom w:val="single" w:sz="8" w:color="2C2C2C"/>
            </w:tcBorders>
            <w:gridSpan w:val="2"/>
          </w:tcPr>
          <w:p>
            <w:pPr>
              <w:jc w:val="center"/>
              <w:ind w:left="317"/>
              <w:spacing w:after="0"/>
              <w:rPr>
                <w:sz w:val="20"/>
                <w:szCs w:val="20"/>
                <w:color w:val="auto"/>
              </w:rPr>
            </w:pPr>
            <w:r>
              <w:rPr>
                <w:rFonts w:ascii="Arial" w:cs="Arial" w:eastAsia="Arial" w:hAnsi="Arial"/>
                <w:sz w:val="17"/>
                <w:szCs w:val="17"/>
                <w:color w:val="0000FF"/>
                <w:w w:val="93"/>
              </w:rPr>
              <w:t>8,538</w:t>
            </w: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12/08/2016</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ind w:left="220"/>
              <w:spacing w:after="0"/>
              <w:rPr>
                <w:sz w:val="20"/>
                <w:szCs w:val="20"/>
                <w:color w:val="auto"/>
              </w:rPr>
            </w:pPr>
            <w:r>
              <w:rPr>
                <w:rFonts w:ascii="Arial" w:cs="Arial" w:eastAsia="Arial" w:hAnsi="Arial"/>
                <w:sz w:val="17"/>
                <w:szCs w:val="17"/>
                <w:color w:val="0000FF"/>
              </w:rPr>
              <w:t>4,116</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57.79</w:t>
            </w:r>
          </w:p>
        </w:tc>
        <w:tc>
          <w:tcPr>
            <w:tcW w:w="800" w:type="dxa"/>
            <w:vAlign w:val="bottom"/>
            <w:gridSpan w:val="2"/>
          </w:tcPr>
          <w:p>
            <w:pPr>
              <w:jc w:val="center"/>
              <w:ind w:left="317"/>
              <w:spacing w:after="0"/>
              <w:rPr>
                <w:sz w:val="20"/>
                <w:szCs w:val="20"/>
                <w:color w:val="auto"/>
              </w:rPr>
            </w:pPr>
            <w:r>
              <w:rPr>
                <w:rFonts w:ascii="Arial" w:cs="Arial" w:eastAsia="Arial" w:hAnsi="Arial"/>
                <w:sz w:val="17"/>
                <w:szCs w:val="17"/>
                <w:color w:val="0000FF"/>
                <w:w w:val="93"/>
              </w:rPr>
              <w:t>4,422</w:t>
            </w:r>
          </w:p>
        </w:tc>
        <w:tc>
          <w:tcPr>
            <w:tcW w:w="78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8"/>
              </w:rPr>
              <w:t>298.202</w:t>
            </w:r>
            <w:r>
              <w:rPr>
                <w:rFonts w:ascii="Arial" w:cs="Arial" w:eastAsia="Arial" w:hAnsi="Arial"/>
                <w:sz w:val="22"/>
                <w:szCs w:val="22"/>
                <w:color w:val="008000"/>
                <w:w w:val="88"/>
                <w:vertAlign w:val="superscript"/>
              </w:rPr>
              <w:t>(2)</w:t>
            </w:r>
          </w:p>
        </w:tc>
        <w:tc>
          <w:tcPr>
            <w:tcW w:w="6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8"/>
              </w:rPr>
              <w:t>309.434</w:t>
            </w:r>
            <w:r>
              <w:rPr>
                <w:rFonts w:ascii="Arial" w:cs="Arial" w:eastAsia="Arial" w:hAnsi="Arial"/>
                <w:sz w:val="22"/>
                <w:szCs w:val="22"/>
                <w:color w:val="008000"/>
                <w:w w:val="88"/>
                <w:vertAlign w:val="superscript"/>
              </w:rPr>
              <w:t>(3)</w:t>
            </w: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88,376.074</w:t>
            </w:r>
            <w:r>
              <w:rPr>
                <w:rFonts w:ascii="Arial" w:cs="Arial" w:eastAsia="Arial" w:hAnsi="Arial"/>
                <w:sz w:val="22"/>
                <w:szCs w:val="22"/>
                <w:color w:val="008000"/>
                <w:w w:val="89"/>
                <w:vertAlign w:val="superscript"/>
              </w:rPr>
              <w:t>(4)</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12/09/2016</w:t>
            </w:r>
          </w:p>
        </w:tc>
        <w:tc>
          <w:tcPr>
            <w:tcW w:w="118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24,300</w:t>
            </w:r>
          </w:p>
        </w:tc>
        <w:tc>
          <w:tcPr>
            <w:tcW w:w="3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12/09/2026</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00"/>
              <w:spacing w:after="0"/>
              <w:rPr>
                <w:sz w:val="20"/>
                <w:szCs w:val="20"/>
                <w:color w:val="auto"/>
              </w:rPr>
            </w:pPr>
            <w:r>
              <w:rPr>
                <w:rFonts w:ascii="Arial" w:cs="Arial" w:eastAsia="Arial" w:hAnsi="Arial"/>
                <w:sz w:val="17"/>
                <w:szCs w:val="17"/>
                <w:color w:val="0000FF"/>
                <w:w w:val="99"/>
              </w:rPr>
              <w:t>24,300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24,300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2014 to Fiscal 2016 Performance Period under The Toro Company Amended and Restated 2010 Equity and Incentive Plan, as amended and restated, (the "Amended and Restated 2010 Plan") as approved by the issuer's Compensation &amp; Human Resources Committee of its Board of Directors on December 6, 2016, and which was conditioned upon and subject to confirmation by the issuer's Fiscal 2016 financial results that were released on December 8, 2016.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common stock of the issuer split two-for-one (the "Stock Split"), resulting in the reporting person's ownership of 147.639 additional shares of common stock and 2.924 post-split shares of common stock acquired under the dividend reinvestment feature of The Toro Company Direct Stock Purchase Plan (the "DRIP") since the date of his last report. All future Form 4 and 5 filings made by the reporting person will include adjustments, as necessary, to reflect the Stock Split.</w:t>
      </w:r>
    </w:p>
    <w:p>
      <w:pPr>
        <w:spacing w:after="0" w:line="21" w:lineRule="exact"/>
        <w:rPr>
          <w:rFonts w:ascii="Arial" w:cs="Arial" w:eastAsia="Arial" w:hAnsi="Arial"/>
          <w:sz w:val="13"/>
          <w:szCs w:val="13"/>
          <w:color w:val="008000"/>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118.697 additional shares of common stock as a result of the Stock Split. Also includes 2.702 post-split net shares acquired by the reporting person under the dividend reinvestment feature of The Toro Company Investment, Savings &amp; ESOP (the "IS&amp;ESOP") less quarterly non-discretionary administrative fees and 69.338 post-split shares acquired through issuer annual investment fund contributions to the IS&amp;ESOP since the date of his last report.</w:t>
      </w:r>
    </w:p>
    <w:p>
      <w:pPr>
        <w:spacing w:after="0" w:line="2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43,753.432 additional performance share units as a result of the Stock Split and 869.21 post-split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12/12/2016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2019-12-23T20:56:46Z</dcterms:created>
  <dcterms:modified xsi:type="dcterms:W3CDTF">2019-12-23T20:56:46Z</dcterms:modified>
</cp:coreProperties>
</file>