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80"/>
        <w:spacing w:after="0"/>
        <w:rPr>
          <w:sz w:val="20"/>
          <w:szCs w:val="20"/>
          <w:color w:val="auto"/>
        </w:rPr>
      </w:pPr>
      <w:r>
        <w:rPr>
          <w:rFonts w:ascii="Arial" w:cs="Arial" w:eastAsia="Arial" w:hAnsi="Arial"/>
          <w:sz w:val="18"/>
          <w:szCs w:val="18"/>
          <w:b w:val="1"/>
          <w:bCs w:val="1"/>
          <w:color w:val="auto"/>
        </w:rPr>
        <w:t>As filed with the Securities and Exchange Commission on May 20, 2015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333-151086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ind w:right="118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80"/>
        <w:spacing w:after="0"/>
        <w:rPr>
          <w:sz w:val="20"/>
          <w:szCs w:val="20"/>
          <w:color w:val="auto"/>
        </w:rPr>
      </w:pPr>
      <w:r>
        <w:rPr>
          <w:rFonts w:ascii="Arial" w:cs="Arial" w:eastAsia="Arial" w:hAnsi="Arial"/>
          <w:sz w:val="32"/>
          <w:szCs w:val="32"/>
          <w:b w:val="1"/>
          <w:bCs w:val="1"/>
          <w:color w:val="auto"/>
        </w:rPr>
        <w:t>SECURITIES AND EXCHANGE COMMISSION</w:t>
      </w:r>
    </w:p>
    <w:p>
      <w:pPr>
        <w:ind w:left="3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80"/>
        <w:spacing w:after="0"/>
        <w:rPr>
          <w:sz w:val="20"/>
          <w:szCs w:val="20"/>
          <w:color w:val="auto"/>
        </w:rPr>
      </w:pPr>
      <w:r>
        <w:rPr>
          <w:rFonts w:ascii="Arial" w:cs="Arial" w:eastAsia="Arial" w:hAnsi="Arial"/>
          <w:sz w:val="32"/>
          <w:szCs w:val="32"/>
          <w:b w:val="1"/>
          <w:bCs w:val="1"/>
          <w:color w:val="auto"/>
        </w:rPr>
        <w:t>POST-EFFECTIVE AMENDMENT NO. 1</w:t>
      </w:r>
    </w:p>
    <w:p>
      <w:pPr>
        <w:spacing w:after="0" w:line="29" w:lineRule="exact"/>
        <w:rPr>
          <w:sz w:val="24"/>
          <w:szCs w:val="24"/>
          <w:color w:val="auto"/>
        </w:rPr>
      </w:pPr>
    </w:p>
    <w:p>
      <w:pPr>
        <w:jc w:val="center"/>
        <w:ind w:right="1180"/>
        <w:spacing w:after="0"/>
        <w:rPr>
          <w:sz w:val="20"/>
          <w:szCs w:val="20"/>
          <w:color w:val="auto"/>
        </w:rPr>
      </w:pPr>
      <w:r>
        <w:rPr>
          <w:rFonts w:ascii="Arial" w:cs="Arial" w:eastAsia="Arial" w:hAnsi="Arial"/>
          <w:sz w:val="32"/>
          <w:szCs w:val="32"/>
          <w:b w:val="1"/>
          <w:bCs w:val="1"/>
          <w:color w:val="auto"/>
        </w:rPr>
        <w:t>TO</w:t>
      </w:r>
    </w:p>
    <w:p>
      <w:pPr>
        <w:jc w:val="center"/>
        <w:ind w:right="1180"/>
        <w:spacing w:after="0" w:line="237" w:lineRule="auto"/>
        <w:rPr>
          <w:sz w:val="20"/>
          <w:szCs w:val="20"/>
          <w:color w:val="auto"/>
        </w:rPr>
      </w:pPr>
      <w:r>
        <w:rPr>
          <w:rFonts w:ascii="Arial" w:cs="Arial" w:eastAsia="Arial" w:hAnsi="Arial"/>
          <w:sz w:val="32"/>
          <w:szCs w:val="32"/>
          <w:b w:val="1"/>
          <w:bCs w:val="1"/>
          <w:color w:val="auto"/>
        </w:rPr>
        <w:t>FORM S-8</w:t>
      </w:r>
    </w:p>
    <w:p>
      <w:pPr>
        <w:jc w:val="center"/>
        <w:ind w:right="1180"/>
        <w:spacing w:after="0"/>
        <w:rPr>
          <w:sz w:val="20"/>
          <w:szCs w:val="20"/>
          <w:color w:val="auto"/>
        </w:rPr>
      </w:pPr>
      <w:r>
        <w:rPr>
          <w:rFonts w:ascii="Arial" w:cs="Arial" w:eastAsia="Arial" w:hAnsi="Arial"/>
          <w:sz w:val="32"/>
          <w:szCs w:val="32"/>
          <w:b w:val="1"/>
          <w:bCs w:val="1"/>
          <w:color w:val="auto"/>
        </w:rPr>
        <w:t>REGISTRATION STATEMENT</w:t>
      </w:r>
    </w:p>
    <w:p>
      <w:pPr>
        <w:jc w:val="center"/>
        <w:ind w:right="118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8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80"/>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220"/>
          </w:cols>
          <w:pgMar w:left="1440" w:top="229"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3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41-0580470</w:t>
      </w:r>
    </w:p>
    <w:p>
      <w:pPr>
        <w:spacing w:after="0" w:line="31" w:lineRule="exact"/>
        <w:rPr>
          <w:sz w:val="24"/>
          <w:szCs w:val="24"/>
          <w:color w:val="auto"/>
        </w:rPr>
      </w:pPr>
    </w:p>
    <w:p>
      <w:pPr>
        <w:sectPr>
          <w:pgSz w:w="11900" w:h="16838" w:orient="portrait"/>
          <w:cols w:equalWidth="0" w:num="2">
            <w:col w:w="6300" w:space="720"/>
            <w:col w:w="3200"/>
          </w:cols>
          <w:pgMar w:left="1440" w:top="229" w:right="239" w:bottom="1440" w:gutter="0" w:footer="0" w:header="0"/>
          <w:type w:val="continuous"/>
        </w:sectPr>
      </w:pPr>
    </w:p>
    <w:p>
      <w:pPr>
        <w:spacing w:after="0" w:line="12" w:lineRule="exact"/>
        <w:rPr>
          <w:sz w:val="24"/>
          <w:szCs w:val="24"/>
          <w:color w:val="auto"/>
        </w:rPr>
      </w:pPr>
    </w:p>
    <w:p>
      <w:pPr>
        <w:ind w:left="760"/>
        <w:spacing w:after="0"/>
        <w:rPr>
          <w:sz w:val="20"/>
          <w:szCs w:val="20"/>
          <w:color w:val="auto"/>
        </w:rPr>
      </w:pPr>
      <w:r>
        <w:rPr>
          <w:rFonts w:ascii="Arial" w:cs="Arial" w:eastAsia="Arial" w:hAnsi="Arial"/>
          <w:sz w:val="13"/>
          <w:szCs w:val="13"/>
          <w:b w:val="1"/>
          <w:bCs w:val="1"/>
          <w:color w:val="auto"/>
        </w:rPr>
        <w:t>(State or Other Jurisdiction of</w:t>
      </w:r>
    </w:p>
    <w:p>
      <w:pPr>
        <w:ind w:left="7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6160" w:space="720"/>
            <w:col w:w="3340"/>
          </w:cols>
          <w:pgMar w:left="1440" w:top="229" w:right="239" w:bottom="1440" w:gutter="0" w:footer="0" w:header="0"/>
          <w:type w:val="continuous"/>
        </w:sectPr>
      </w:pPr>
    </w:p>
    <w:p>
      <w:pPr>
        <w:spacing w:after="0" w:line="17"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Bloomington, Minnesota 55420-1196</w:t>
      </w:r>
    </w:p>
    <w:p>
      <w:pPr>
        <w:spacing w:after="0" w:line="2" w:lineRule="exact"/>
        <w:rPr>
          <w:sz w:val="24"/>
          <w:szCs w:val="24"/>
          <w:color w:val="auto"/>
        </w:rPr>
      </w:pPr>
    </w:p>
    <w:p>
      <w:pPr>
        <w:ind w:left="2940"/>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226695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220"/>
          </w:cols>
          <w:pgMar w:left="1440" w:top="229" w:right="239" w:bottom="1440" w:gutter="0" w:footer="0" w:header="0"/>
          <w:type w:val="continuous"/>
        </w:sectPr>
      </w:pPr>
    </w:p>
    <w:p>
      <w:pPr>
        <w:spacing w:after="0" w:line="200" w:lineRule="exact"/>
        <w:rPr>
          <w:sz w:val="24"/>
          <w:szCs w:val="24"/>
          <w:color w:val="auto"/>
        </w:rPr>
      </w:pPr>
    </w:p>
    <w:p>
      <w:pPr>
        <w:spacing w:after="0" w:line="368"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Toro Company 2000 Stock Option Plan</w:t>
      </w:r>
    </w:p>
    <w:p>
      <w:pPr>
        <w:spacing w:after="0" w:line="21" w:lineRule="exact"/>
        <w:rPr>
          <w:sz w:val="24"/>
          <w:szCs w:val="24"/>
          <w:color w:val="auto"/>
        </w:rPr>
      </w:pPr>
    </w:p>
    <w:p>
      <w:pPr>
        <w:ind w:left="3840"/>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Timothy P. Dordell</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Vice President, Secretary and General Counsel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Bloomington, Minnesota 55420-1196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(952) 888-8801</w:t>
      </w:r>
    </w:p>
    <w:p>
      <w:pPr>
        <w:spacing w:after="0" w:line="2" w:lineRule="exact"/>
        <w:rPr>
          <w:sz w:val="24"/>
          <w:szCs w:val="24"/>
          <w:color w:val="auto"/>
        </w:rPr>
      </w:pPr>
    </w:p>
    <w:p>
      <w:pPr>
        <w:jc w:val="center"/>
        <w:ind w:right="1200"/>
        <w:spacing w:after="0"/>
        <w:rPr>
          <w:sz w:val="20"/>
          <w:szCs w:val="20"/>
          <w:color w:val="auto"/>
        </w:rPr>
      </w:pPr>
      <w:r>
        <w:rPr>
          <w:rFonts w:ascii="Arial" w:cs="Arial" w:eastAsia="Arial" w:hAnsi="Arial"/>
          <w:sz w:val="12"/>
          <w:szCs w:val="12"/>
          <w:b w:val="1"/>
          <w:bCs w:val="1"/>
          <w:color w:val="auto"/>
        </w:rPr>
        <w:t>(Name and Address, including Zip Code, and Telephone Number, including Area Code, of Agent for Service)</w:t>
      </w:r>
    </w:p>
    <w:p>
      <w:pPr>
        <w:spacing w:after="0" w:line="21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i w:val="1"/>
          <w:iCs w:val="1"/>
          <w:color w:val="auto"/>
        </w:rPr>
        <w:t>Copies requested to:</w:t>
      </w:r>
    </w:p>
    <w:p>
      <w:pPr>
        <w:spacing w:after="0" w:line="2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Amy E. Culbert, Esq.</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Oppenheimer Wolff &amp; Donnelly LLP</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Campbell Mithun Tower, Suite 2000</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222 South Ninth Street</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Minneapolis, Minnesota 55402</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(612) 607-7287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237490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220"/>
          </w:cols>
          <w:pgMar w:left="1440" w:top="229" w:right="239" w:bottom="1440" w:gutter="0" w:footer="0" w:header="0"/>
          <w:type w:val="continuous"/>
        </w:sectPr>
      </w:pPr>
    </w:p>
    <w:bookmarkStart w:id="1" w:name="page2"/>
    <w:bookmarkEnd w:id="1"/>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0"/>
        </w:trPr>
        <w:tc>
          <w:tcPr>
            <w:tcW w:w="1780" w:type="dxa"/>
            <w:vAlign w:val="bottom"/>
            <w:tcBorders>
              <w:bottom w:val="single" w:sz="8" w:color="auto"/>
            </w:tcBorders>
          </w:tcPr>
          <w:p>
            <w:pPr>
              <w:spacing w:after="0"/>
              <w:rPr>
                <w:sz w:val="18"/>
                <w:szCs w:val="18"/>
                <w:color w:val="auto"/>
              </w:rPr>
            </w:pPr>
          </w:p>
        </w:tc>
        <w:tc>
          <w:tcPr>
            <w:tcW w:w="542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DEREGISTRATION OF SECURITIES</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share numbers in the Explanatory Note below reflect adjustments for a two-for-one stock split effected on April 12, 2005 and a two-for-one stock split effected on June 29, 2012.</w:t>
      </w:r>
    </w:p>
    <w:p>
      <w:pPr>
        <w:spacing w:after="0" w:line="17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This Post-Effective Amendment No. 1 (this “Post-Effective Amendment”) relates to the Registration Statement on Form S-8 (Registration No. 333-151086) (the “Registration Statement”) filed by The Toro Company, a Delaware corporation (the “Registrant”), with the Securities and Exchange Commission (the “Commission”) on May 21, 2008, the Registrant’s Registration Statement on Form S-8 (Registration No. 333-135033) filed with the Commission on June 15, 2006, the Registrant’s Registration Statement on Form S-8 (Registration No. 333-89262) filed with the Commission on May 28, 2002 as amended by Post-Effective Amendment No. 1 filed with the Commission on June 2, 2003, and the Registrant’s Registration Statement on Form S-8 (Registration No. 333-39052) filed with the Commission on June 12, 2000. These prior Registration Statements registered an aggregate of 14,400,000 shares of common stock, par value $1.00 (“Common Stock”), of the Registrant to be issued pursuant to The Toro Company 2000 Stock Option Plan (the “2000 Stock Option Plan”).</w:t>
      </w:r>
    </w:p>
    <w:p>
      <w:pPr>
        <w:spacing w:after="0" w:line="192"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Registrant’s authority to grant new awards under the 2000 Stock Option Plan terminated upon shareholder approval of The Toro Company 2010 Equity and Incentive Plan on March 16, 2010. On March 17, 2015, the Registrant’s shareholders approved The Toro Company Amended and Restated Equity and Incentive Plan (the “2010 Plan”), which, among other things, increased the number of shares of Common Stock authorized for issuance under the 2010 Plan by 300,000 shares (the “New Shares”). The maximum number of shares of Common Stock available for issuance under the 2010 Plan, subject to adjustment pursuant to the terms of the 2010 Plan, is now 5,800,000 shares plus the number of shares subject to awards outstanding under the 2000 Stock Option Plan, The Toro Company Performance Share Plan and The Toro Company 2000 Directors Stock Plan (collectively, the “Prior Plans”) as of March 16, 2010, the date of the initial adoption of the 2010 Plan, but only to the extent that such outstanding awards under the Prior Plans are forfeited, expire or otherwise terminate without the issuance of such shares (the “Carryover Shares”).</w:t>
      </w:r>
    </w:p>
    <w:p>
      <w:pPr>
        <w:spacing w:after="0" w:line="17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As of the date hereof, 26,316 Carryover Shares under the 2000 Stock Option Plan have been carried over to the 2010 Plan. Contemporaneously with the filing of this Post-Effective Amendment, the Registrant is filing a new Registration Statement on Form S-8 to register the New Shares and the Carryover Shares available for offer or sale pursuant to the 2010 Plan. The Registrant is filing this Post-Effective Amendment in order to remove from registration the 26,316 Carryover Shares under the 2000 Stock Option Plan that have been carried over to the 2010 Plan.</w:t>
      </w:r>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with or incorporated by reference into this Registration Statement:</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7"/>
          <w:szCs w:val="17"/>
          <w:color w:val="auto"/>
        </w:rPr>
        <w:t>Power of Attorney (filed herewith)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Post-Effective Amendment No. 1 to its Registration Statement to be signed on its behalf by the undersigned, thereunto duly authorized, in the City of Bloomington, State of Minnesota, on May 20, 2015.</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Timothy P. Dordell</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Vice President, Secretary and General Counsel</w:t>
      </w:r>
    </w:p>
    <w:p>
      <w:pPr>
        <w:spacing w:after="0" w:line="21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4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2"/>
              </w:rPr>
              <w:t>Signature</w:t>
            </w:r>
          </w:p>
        </w:tc>
        <w:tc>
          <w:tcPr>
            <w:tcW w:w="2500" w:type="dxa"/>
            <w:vAlign w:val="bottom"/>
          </w:tcPr>
          <w:p>
            <w:pPr>
              <w:spacing w:after="0"/>
              <w:rPr>
                <w:sz w:val="14"/>
                <w:szCs w:val="14"/>
                <w:color w:val="auto"/>
              </w:rPr>
            </w:pPr>
          </w:p>
        </w:tc>
        <w:tc>
          <w:tcPr>
            <w:tcW w:w="2380" w:type="dxa"/>
            <w:vAlign w:val="bottom"/>
            <w:gridSpan w:val="2"/>
          </w:tcPr>
          <w:p>
            <w:pPr>
              <w:jc w:val="center"/>
              <w:ind w:right="2100"/>
              <w:spacing w:after="0"/>
              <w:rPr>
                <w:sz w:val="20"/>
                <w:szCs w:val="20"/>
                <w:color w:val="auto"/>
              </w:rPr>
            </w:pPr>
            <w:r>
              <w:rPr>
                <w:rFonts w:ascii="Arial" w:cs="Arial" w:eastAsia="Arial" w:hAnsi="Arial"/>
                <w:sz w:val="14"/>
                <w:szCs w:val="14"/>
                <w:b w:val="1"/>
                <w:bCs w:val="1"/>
                <w:color w:val="auto"/>
                <w:w w:val="97"/>
              </w:rPr>
              <w:t>Title</w:t>
            </w:r>
          </w:p>
        </w:tc>
        <w:tc>
          <w:tcPr>
            <w:tcW w:w="1900" w:type="dxa"/>
            <w:vAlign w:val="bottom"/>
            <w:gridSpan w:val="3"/>
          </w:tcPr>
          <w:p>
            <w:pPr>
              <w:jc w:val="center"/>
              <w:ind w:left="794"/>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6"/>
        </w:trPr>
        <w:tc>
          <w:tcPr>
            <w:tcW w:w="13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93"/>
              </w:rPr>
              <w:t>Michael J. Hoffman</w:t>
            </w:r>
          </w:p>
        </w:tc>
        <w:tc>
          <w:tcPr>
            <w:tcW w:w="4880" w:type="dxa"/>
            <w:vAlign w:val="bottom"/>
            <w:gridSpan w:val="3"/>
          </w:tcPr>
          <w:p>
            <w:pPr>
              <w:jc w:val="center"/>
              <w:ind w:left="310"/>
              <w:spacing w:after="0"/>
              <w:rPr>
                <w:sz w:val="20"/>
                <w:szCs w:val="20"/>
                <w:color w:val="auto"/>
              </w:rPr>
            </w:pPr>
            <w:r>
              <w:rPr>
                <w:rFonts w:ascii="Arial" w:cs="Arial" w:eastAsia="Arial" w:hAnsi="Arial"/>
                <w:sz w:val="18"/>
                <w:szCs w:val="18"/>
                <w:color w:val="auto"/>
                <w:w w:val="90"/>
              </w:rPr>
              <w:t>Chairman of the Board, President and</w:t>
            </w:r>
          </w:p>
        </w:tc>
        <w:tc>
          <w:tcPr>
            <w:tcW w:w="1900" w:type="dxa"/>
            <w:vAlign w:val="bottom"/>
            <w:gridSpan w:val="3"/>
          </w:tcPr>
          <w:p>
            <w:pPr>
              <w:jc w:val="center"/>
              <w:ind w:left="794"/>
              <w:spacing w:after="0"/>
              <w:rPr>
                <w:sz w:val="20"/>
                <w:szCs w:val="20"/>
                <w:color w:val="auto"/>
              </w:rPr>
            </w:pPr>
            <w:r>
              <w:rPr>
                <w:rFonts w:ascii="Arial" w:cs="Arial" w:eastAsia="Arial" w:hAnsi="Arial"/>
                <w:sz w:val="18"/>
                <w:szCs w:val="18"/>
                <w:color w:val="auto"/>
                <w:w w:val="93"/>
              </w:rPr>
              <w:t>May 20, 2015</w:t>
            </w:r>
          </w:p>
        </w:tc>
      </w:tr>
      <w:tr>
        <w:trPr>
          <w:trHeight w:val="209"/>
        </w:trPr>
        <w:tc>
          <w:tcPr>
            <w:tcW w:w="1360" w:type="dxa"/>
            <w:vAlign w:val="bottom"/>
          </w:tcPr>
          <w:p>
            <w:pPr>
              <w:spacing w:after="0"/>
              <w:rPr>
                <w:sz w:val="18"/>
                <w:szCs w:val="18"/>
                <w:color w:val="auto"/>
              </w:rPr>
            </w:pPr>
          </w:p>
        </w:tc>
        <w:tc>
          <w:tcPr>
            <w:tcW w:w="2920" w:type="dxa"/>
            <w:vAlign w:val="bottom"/>
            <w:gridSpan w:val="3"/>
          </w:tcPr>
          <w:p>
            <w:pPr>
              <w:jc w:val="center"/>
              <w:ind w:right="1360"/>
              <w:spacing w:after="0"/>
              <w:rPr>
                <w:sz w:val="20"/>
                <w:szCs w:val="20"/>
                <w:color w:val="auto"/>
              </w:rPr>
            </w:pPr>
            <w:r>
              <w:rPr>
                <w:rFonts w:ascii="Arial" w:cs="Arial" w:eastAsia="Arial" w:hAnsi="Arial"/>
                <w:sz w:val="18"/>
                <w:szCs w:val="18"/>
                <w:color w:val="auto"/>
                <w:w w:val="93"/>
              </w:rPr>
              <w:t>Michael J. Hoffman</w:t>
            </w:r>
          </w:p>
        </w:tc>
        <w:tc>
          <w:tcPr>
            <w:tcW w:w="4880" w:type="dxa"/>
            <w:vAlign w:val="bottom"/>
            <w:gridSpan w:val="3"/>
          </w:tcPr>
          <w:p>
            <w:pPr>
              <w:jc w:val="center"/>
              <w:ind w:left="310"/>
              <w:spacing w:after="0"/>
              <w:rPr>
                <w:sz w:val="20"/>
                <w:szCs w:val="20"/>
                <w:color w:val="auto"/>
              </w:rPr>
            </w:pPr>
            <w:r>
              <w:rPr>
                <w:rFonts w:ascii="Arial" w:cs="Arial" w:eastAsia="Arial" w:hAnsi="Arial"/>
                <w:sz w:val="18"/>
                <w:szCs w:val="18"/>
                <w:color w:val="auto"/>
                <w:w w:val="93"/>
              </w:rPr>
              <w:t>Chief Executive Officer and Director</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880" w:type="dxa"/>
            <w:vAlign w:val="bottom"/>
            <w:gridSpan w:val="3"/>
          </w:tcPr>
          <w:p>
            <w:pPr>
              <w:jc w:val="center"/>
              <w:ind w:left="330"/>
              <w:spacing w:after="0"/>
              <w:rPr>
                <w:sz w:val="20"/>
                <w:szCs w:val="20"/>
                <w:color w:val="auto"/>
              </w:rPr>
            </w:pPr>
            <w:r>
              <w:rPr>
                <w:rFonts w:ascii="Arial" w:cs="Arial" w:eastAsia="Arial" w:hAnsi="Arial"/>
                <w:sz w:val="18"/>
                <w:szCs w:val="18"/>
                <w:color w:val="auto"/>
                <w:w w:val="94"/>
              </w:rPr>
              <w:t>(principal executive officer)</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6"/>
        </w:trPr>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85"/>
              </w:rPr>
              <w:t>Renee J. Peterson</w:t>
            </w:r>
          </w:p>
        </w:tc>
        <w:tc>
          <w:tcPr>
            <w:tcW w:w="488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Vice President, Treasurer and</w:t>
            </w:r>
          </w:p>
        </w:tc>
        <w:tc>
          <w:tcPr>
            <w:tcW w:w="1900" w:type="dxa"/>
            <w:vAlign w:val="bottom"/>
            <w:gridSpan w:val="3"/>
          </w:tcPr>
          <w:p>
            <w:pPr>
              <w:jc w:val="center"/>
              <w:ind w:left="794"/>
              <w:spacing w:after="0"/>
              <w:rPr>
                <w:sz w:val="20"/>
                <w:szCs w:val="20"/>
                <w:color w:val="auto"/>
              </w:rPr>
            </w:pPr>
            <w:r>
              <w:rPr>
                <w:rFonts w:ascii="Arial" w:cs="Arial" w:eastAsia="Arial" w:hAnsi="Arial"/>
                <w:sz w:val="18"/>
                <w:szCs w:val="18"/>
                <w:color w:val="auto"/>
                <w:w w:val="93"/>
              </w:rPr>
              <w:t>May 20, 2015</w:t>
            </w:r>
          </w:p>
        </w:tc>
      </w:tr>
      <w:tr>
        <w:trPr>
          <w:trHeight w:val="209"/>
        </w:trPr>
        <w:tc>
          <w:tcPr>
            <w:tcW w:w="1360" w:type="dxa"/>
            <w:vAlign w:val="bottom"/>
          </w:tcPr>
          <w:p>
            <w:pPr>
              <w:spacing w:after="0"/>
              <w:rPr>
                <w:sz w:val="18"/>
                <w:szCs w:val="18"/>
                <w:color w:val="auto"/>
              </w:rPr>
            </w:pPr>
          </w:p>
        </w:tc>
        <w:tc>
          <w:tcPr>
            <w:tcW w:w="2920" w:type="dxa"/>
            <w:vAlign w:val="bottom"/>
            <w:gridSpan w:val="3"/>
          </w:tcPr>
          <w:p>
            <w:pPr>
              <w:jc w:val="center"/>
              <w:ind w:right="1360"/>
              <w:spacing w:after="0"/>
              <w:rPr>
                <w:sz w:val="20"/>
                <w:szCs w:val="20"/>
                <w:color w:val="auto"/>
              </w:rPr>
            </w:pPr>
            <w:r>
              <w:rPr>
                <w:rFonts w:ascii="Arial" w:cs="Arial" w:eastAsia="Arial" w:hAnsi="Arial"/>
                <w:sz w:val="18"/>
                <w:szCs w:val="18"/>
                <w:color w:val="auto"/>
                <w:w w:val="85"/>
              </w:rPr>
              <w:t>Renee J. Peterson</w:t>
            </w:r>
          </w:p>
        </w:tc>
        <w:tc>
          <w:tcPr>
            <w:tcW w:w="4880" w:type="dxa"/>
            <w:vAlign w:val="bottom"/>
            <w:gridSpan w:val="3"/>
          </w:tcPr>
          <w:p>
            <w:pPr>
              <w:jc w:val="center"/>
              <w:ind w:left="310"/>
              <w:spacing w:after="0"/>
              <w:rPr>
                <w:sz w:val="20"/>
                <w:szCs w:val="20"/>
                <w:color w:val="auto"/>
              </w:rPr>
            </w:pPr>
            <w:r>
              <w:rPr>
                <w:rFonts w:ascii="Arial" w:cs="Arial" w:eastAsia="Arial" w:hAnsi="Arial"/>
                <w:sz w:val="18"/>
                <w:szCs w:val="18"/>
                <w:color w:val="auto"/>
                <w:w w:val="94"/>
              </w:rPr>
              <w:t>Chief Financial Officer</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880" w:type="dxa"/>
            <w:vAlign w:val="bottom"/>
            <w:gridSpan w:val="3"/>
          </w:tcPr>
          <w:p>
            <w:pPr>
              <w:jc w:val="center"/>
              <w:ind w:left="310"/>
              <w:spacing w:after="0"/>
              <w:rPr>
                <w:sz w:val="20"/>
                <w:szCs w:val="20"/>
                <w:color w:val="auto"/>
              </w:rPr>
            </w:pPr>
            <w:r>
              <w:rPr>
                <w:rFonts w:ascii="Arial" w:cs="Arial" w:eastAsia="Arial" w:hAnsi="Arial"/>
                <w:sz w:val="18"/>
                <w:szCs w:val="18"/>
                <w:color w:val="auto"/>
                <w:w w:val="96"/>
              </w:rPr>
              <w:t>(principal financial officer)</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6"/>
        </w:trPr>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88"/>
              </w:rPr>
              <w:t>Thomas J. Larson</w:t>
            </w:r>
          </w:p>
        </w:tc>
        <w:tc>
          <w:tcPr>
            <w:tcW w:w="488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Vice President,</w:t>
            </w:r>
          </w:p>
        </w:tc>
        <w:tc>
          <w:tcPr>
            <w:tcW w:w="1900" w:type="dxa"/>
            <w:vAlign w:val="bottom"/>
            <w:gridSpan w:val="3"/>
          </w:tcPr>
          <w:p>
            <w:pPr>
              <w:jc w:val="center"/>
              <w:ind w:left="794"/>
              <w:spacing w:after="0"/>
              <w:rPr>
                <w:sz w:val="20"/>
                <w:szCs w:val="20"/>
                <w:color w:val="auto"/>
              </w:rPr>
            </w:pPr>
            <w:r>
              <w:rPr>
                <w:rFonts w:ascii="Arial" w:cs="Arial" w:eastAsia="Arial" w:hAnsi="Arial"/>
                <w:sz w:val="18"/>
                <w:szCs w:val="18"/>
                <w:color w:val="auto"/>
                <w:w w:val="93"/>
              </w:rPr>
              <w:t>May 20, 2015</w:t>
            </w:r>
          </w:p>
        </w:tc>
      </w:tr>
      <w:tr>
        <w:trPr>
          <w:trHeight w:val="209"/>
        </w:trPr>
        <w:tc>
          <w:tcPr>
            <w:tcW w:w="1360" w:type="dxa"/>
            <w:vAlign w:val="bottom"/>
          </w:tcPr>
          <w:p>
            <w:pPr>
              <w:spacing w:after="0"/>
              <w:rPr>
                <w:sz w:val="18"/>
                <w:szCs w:val="18"/>
                <w:color w:val="auto"/>
              </w:rPr>
            </w:pPr>
          </w:p>
        </w:tc>
        <w:tc>
          <w:tcPr>
            <w:tcW w:w="2920" w:type="dxa"/>
            <w:vAlign w:val="bottom"/>
            <w:gridSpan w:val="3"/>
          </w:tcPr>
          <w:p>
            <w:pPr>
              <w:jc w:val="center"/>
              <w:ind w:right="1360"/>
              <w:spacing w:after="0"/>
              <w:rPr>
                <w:sz w:val="20"/>
                <w:szCs w:val="20"/>
                <w:color w:val="auto"/>
              </w:rPr>
            </w:pPr>
            <w:r>
              <w:rPr>
                <w:rFonts w:ascii="Arial" w:cs="Arial" w:eastAsia="Arial" w:hAnsi="Arial"/>
                <w:sz w:val="18"/>
                <w:szCs w:val="18"/>
                <w:color w:val="auto"/>
                <w:w w:val="88"/>
              </w:rPr>
              <w:t>Thomas J. Larson</w:t>
            </w:r>
          </w:p>
        </w:tc>
        <w:tc>
          <w:tcPr>
            <w:tcW w:w="4880" w:type="dxa"/>
            <w:vAlign w:val="bottom"/>
            <w:gridSpan w:val="3"/>
          </w:tcPr>
          <w:p>
            <w:pPr>
              <w:jc w:val="center"/>
              <w:ind w:left="330"/>
              <w:spacing w:after="0"/>
              <w:rPr>
                <w:sz w:val="20"/>
                <w:szCs w:val="20"/>
                <w:color w:val="auto"/>
              </w:rPr>
            </w:pPr>
            <w:r>
              <w:rPr>
                <w:rFonts w:ascii="Arial" w:cs="Arial" w:eastAsia="Arial" w:hAnsi="Arial"/>
                <w:sz w:val="18"/>
                <w:szCs w:val="18"/>
                <w:color w:val="auto"/>
                <w:w w:val="91"/>
              </w:rPr>
              <w:t>Corporate Controller</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880" w:type="dxa"/>
            <w:vAlign w:val="bottom"/>
            <w:gridSpan w:val="3"/>
          </w:tcPr>
          <w:p>
            <w:pPr>
              <w:jc w:val="center"/>
              <w:ind w:left="310"/>
              <w:spacing w:after="0"/>
              <w:rPr>
                <w:sz w:val="20"/>
                <w:szCs w:val="20"/>
                <w:color w:val="auto"/>
              </w:rPr>
            </w:pPr>
            <w:r>
              <w:rPr>
                <w:rFonts w:ascii="Arial" w:cs="Arial" w:eastAsia="Arial" w:hAnsi="Arial"/>
                <w:sz w:val="18"/>
                <w:szCs w:val="18"/>
                <w:color w:val="auto"/>
                <w:w w:val="94"/>
              </w:rPr>
              <w:t>(principal accounting officer)</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6"/>
        </w:trPr>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80"/>
              <w:spacing w:after="0"/>
              <w:rPr>
                <w:sz w:val="20"/>
                <w:szCs w:val="20"/>
                <w:color w:val="auto"/>
              </w:rPr>
            </w:pPr>
            <w:r>
              <w:rPr>
                <w:rFonts w:ascii="Arial" w:cs="Arial" w:eastAsia="Arial" w:hAnsi="Arial"/>
                <w:sz w:val="18"/>
                <w:szCs w:val="18"/>
                <w:color w:val="auto"/>
                <w:w w:val="93"/>
              </w:rPr>
              <w:t>Timothy P. Dordell</w:t>
            </w:r>
          </w:p>
        </w:tc>
        <w:tc>
          <w:tcPr>
            <w:tcW w:w="4880" w:type="dxa"/>
            <w:vAlign w:val="bottom"/>
            <w:gridSpan w:val="3"/>
          </w:tcPr>
          <w:p>
            <w:pPr>
              <w:jc w:val="center"/>
              <w:ind w:left="310"/>
              <w:spacing w:after="0"/>
              <w:rPr>
                <w:sz w:val="20"/>
                <w:szCs w:val="20"/>
                <w:color w:val="auto"/>
              </w:rPr>
            </w:pPr>
            <w:r>
              <w:rPr>
                <w:rFonts w:ascii="Arial" w:cs="Arial" w:eastAsia="Arial" w:hAnsi="Arial"/>
                <w:sz w:val="18"/>
                <w:szCs w:val="18"/>
                <w:color w:val="auto"/>
                <w:w w:val="94"/>
              </w:rPr>
              <w:t>Directors</w:t>
            </w:r>
          </w:p>
        </w:tc>
        <w:tc>
          <w:tcPr>
            <w:tcW w:w="1900" w:type="dxa"/>
            <w:vAlign w:val="bottom"/>
            <w:gridSpan w:val="3"/>
          </w:tcPr>
          <w:p>
            <w:pPr>
              <w:jc w:val="center"/>
              <w:ind w:left="794"/>
              <w:spacing w:after="0"/>
              <w:rPr>
                <w:sz w:val="20"/>
                <w:szCs w:val="20"/>
                <w:color w:val="auto"/>
              </w:rPr>
            </w:pPr>
            <w:r>
              <w:rPr>
                <w:rFonts w:ascii="Arial" w:cs="Arial" w:eastAsia="Arial" w:hAnsi="Arial"/>
                <w:sz w:val="18"/>
                <w:szCs w:val="18"/>
                <w:color w:val="auto"/>
                <w:w w:val="93"/>
              </w:rPr>
              <w:t>May 20, 2015</w:t>
            </w:r>
          </w:p>
        </w:tc>
      </w:tr>
      <w:tr>
        <w:trPr>
          <w:trHeight w:val="224"/>
        </w:trPr>
        <w:tc>
          <w:tcPr>
            <w:tcW w:w="1360" w:type="dxa"/>
            <w:vAlign w:val="bottom"/>
          </w:tcPr>
          <w:p>
            <w:pPr>
              <w:spacing w:after="0"/>
              <w:rPr>
                <w:sz w:val="19"/>
                <w:szCs w:val="19"/>
                <w:color w:val="auto"/>
              </w:rPr>
            </w:pPr>
          </w:p>
        </w:tc>
        <w:tc>
          <w:tcPr>
            <w:tcW w:w="2920" w:type="dxa"/>
            <w:vAlign w:val="bottom"/>
            <w:gridSpan w:val="3"/>
          </w:tcPr>
          <w:p>
            <w:pPr>
              <w:jc w:val="center"/>
              <w:ind w:right="1340"/>
              <w:spacing w:after="0"/>
              <w:rPr>
                <w:sz w:val="20"/>
                <w:szCs w:val="20"/>
                <w:color w:val="auto"/>
              </w:rPr>
            </w:pPr>
            <w:r>
              <w:rPr>
                <w:rFonts w:ascii="Arial" w:cs="Arial" w:eastAsia="Arial" w:hAnsi="Arial"/>
                <w:sz w:val="18"/>
                <w:szCs w:val="18"/>
                <w:color w:val="auto"/>
                <w:w w:val="93"/>
              </w:rPr>
              <w:t>Timothy P. Dordell</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jc w:val="center"/>
        <w:ind w:right="7020"/>
        <w:spacing w:after="0"/>
        <w:rPr>
          <w:sz w:val="20"/>
          <w:szCs w:val="20"/>
          <w:color w:val="auto"/>
        </w:rPr>
      </w:pPr>
      <w:r>
        <w:rPr>
          <w:rFonts w:ascii="Arial" w:cs="Arial" w:eastAsia="Arial" w:hAnsi="Arial"/>
          <w:sz w:val="18"/>
          <w:szCs w:val="18"/>
          <w:color w:val="auto"/>
        </w:rPr>
        <w:t>As attorney in fact for Robert C.</w:t>
      </w:r>
    </w:p>
    <w:p>
      <w:pPr>
        <w:spacing w:after="0" w:line="8" w:lineRule="exact"/>
        <w:rPr>
          <w:sz w:val="20"/>
          <w:szCs w:val="20"/>
          <w:color w:val="auto"/>
        </w:rPr>
      </w:pPr>
    </w:p>
    <w:p>
      <w:pPr>
        <w:jc w:val="center"/>
        <w:ind w:right="7020"/>
        <w:spacing w:after="0"/>
        <w:rPr>
          <w:sz w:val="20"/>
          <w:szCs w:val="20"/>
          <w:color w:val="auto"/>
        </w:rPr>
      </w:pPr>
      <w:r>
        <w:rPr>
          <w:rFonts w:ascii="Arial" w:cs="Arial" w:eastAsia="Arial" w:hAnsi="Arial"/>
          <w:sz w:val="18"/>
          <w:szCs w:val="18"/>
          <w:color w:val="auto"/>
        </w:rPr>
        <w:t>Buhrmaster, Janet K. Cooper, Gary L.</w:t>
      </w:r>
    </w:p>
    <w:p>
      <w:pPr>
        <w:spacing w:after="0" w:line="9" w:lineRule="exact"/>
        <w:rPr>
          <w:sz w:val="20"/>
          <w:szCs w:val="20"/>
          <w:color w:val="auto"/>
        </w:rPr>
      </w:pPr>
    </w:p>
    <w:p>
      <w:pPr>
        <w:jc w:val="center"/>
        <w:ind w:right="7020"/>
        <w:spacing w:after="0"/>
        <w:rPr>
          <w:sz w:val="20"/>
          <w:szCs w:val="20"/>
          <w:color w:val="auto"/>
        </w:rPr>
      </w:pPr>
      <w:r>
        <w:rPr>
          <w:rFonts w:ascii="Arial" w:cs="Arial" w:eastAsia="Arial" w:hAnsi="Arial"/>
          <w:sz w:val="18"/>
          <w:szCs w:val="18"/>
          <w:color w:val="auto"/>
        </w:rPr>
        <w:t>Ellis, Jeffrey M. Ettinger, Katherine J.</w:t>
      </w:r>
    </w:p>
    <w:p>
      <w:pPr>
        <w:spacing w:after="0" w:line="9" w:lineRule="exact"/>
        <w:rPr>
          <w:sz w:val="20"/>
          <w:szCs w:val="20"/>
          <w:color w:val="auto"/>
        </w:rPr>
      </w:pPr>
    </w:p>
    <w:p>
      <w:pPr>
        <w:jc w:val="center"/>
        <w:ind w:right="7020"/>
        <w:spacing w:after="0"/>
        <w:rPr>
          <w:sz w:val="20"/>
          <w:szCs w:val="20"/>
          <w:color w:val="auto"/>
        </w:rPr>
      </w:pPr>
      <w:r>
        <w:rPr>
          <w:rFonts w:ascii="Arial" w:cs="Arial" w:eastAsia="Arial" w:hAnsi="Arial"/>
          <w:sz w:val="18"/>
          <w:szCs w:val="18"/>
          <w:color w:val="auto"/>
        </w:rPr>
        <w:t>Harless, James C. O’Rourke, Gregg W.</w:t>
      </w:r>
    </w:p>
    <w:p>
      <w:pPr>
        <w:spacing w:after="0" w:line="9" w:lineRule="exact"/>
        <w:rPr>
          <w:sz w:val="20"/>
          <w:szCs w:val="20"/>
          <w:color w:val="auto"/>
        </w:rPr>
      </w:pPr>
    </w:p>
    <w:p>
      <w:pPr>
        <w:jc w:val="center"/>
        <w:ind w:right="7020"/>
        <w:spacing w:after="0"/>
        <w:rPr>
          <w:sz w:val="20"/>
          <w:szCs w:val="20"/>
          <w:color w:val="auto"/>
        </w:rPr>
      </w:pPr>
      <w:r>
        <w:rPr>
          <w:rFonts w:ascii="Arial" w:cs="Arial" w:eastAsia="Arial" w:hAnsi="Arial"/>
          <w:sz w:val="18"/>
          <w:szCs w:val="18"/>
          <w:color w:val="auto"/>
        </w:rPr>
        <w:t>Steinhafel and Christopher A. Twomey</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70"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260" w:type="dxa"/>
            <w:vAlign w:val="bottom"/>
            <w:gridSpan w:val="3"/>
          </w:tcPr>
          <w:p>
            <w:pPr>
              <w:jc w:val="center"/>
              <w:ind w:right="3140"/>
              <w:spacing w:after="0"/>
              <w:rPr>
                <w:sz w:val="20"/>
                <w:szCs w:val="20"/>
                <w:color w:val="auto"/>
              </w:rPr>
            </w:pPr>
            <w:r>
              <w:rPr>
                <w:rFonts w:ascii="Arial" w:cs="Arial" w:eastAsia="Arial" w:hAnsi="Arial"/>
                <w:sz w:val="18"/>
                <w:szCs w:val="18"/>
                <w:b w:val="1"/>
                <w:bCs w:val="1"/>
                <w:color w:val="auto"/>
              </w:rPr>
              <w:t>THE TORO COMPANY</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60" w:type="dxa"/>
            <w:vAlign w:val="bottom"/>
            <w:gridSpan w:val="3"/>
          </w:tcPr>
          <w:p>
            <w:pPr>
              <w:jc w:val="center"/>
              <w:ind w:right="3160"/>
              <w:spacing w:after="0"/>
              <w:rPr>
                <w:sz w:val="20"/>
                <w:szCs w:val="20"/>
                <w:color w:val="auto"/>
              </w:rPr>
            </w:pPr>
            <w:r>
              <w:rPr>
                <w:rFonts w:ascii="Arial" w:cs="Arial" w:eastAsia="Arial" w:hAnsi="Arial"/>
                <w:sz w:val="18"/>
                <w:szCs w:val="18"/>
                <w:b w:val="1"/>
                <w:bCs w:val="1"/>
                <w:color w:val="auto"/>
              </w:rPr>
              <w:t>POST-EFFECTIVE AMENDMENT NO. 1</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60" w:type="dxa"/>
            <w:vAlign w:val="bottom"/>
            <w:gridSpan w:val="3"/>
          </w:tcPr>
          <w:p>
            <w:pPr>
              <w:jc w:val="center"/>
              <w:ind w:right="31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44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1540" w:type="dxa"/>
            <w:vAlign w:val="bottom"/>
            <w:vMerge w:val="restart"/>
          </w:tcPr>
          <w:p>
            <w:pPr>
              <w:spacing w:after="0"/>
              <w:rPr>
                <w:sz w:val="24"/>
                <w:szCs w:val="24"/>
                <w:color w:val="auto"/>
              </w:rPr>
            </w:pPr>
          </w:p>
        </w:tc>
        <w:tc>
          <w:tcPr>
            <w:tcW w:w="8260" w:type="dxa"/>
            <w:vAlign w:val="bottom"/>
            <w:gridSpan w:val="3"/>
            <w:vMerge w:val="restart"/>
          </w:tcPr>
          <w:p>
            <w:pPr>
              <w:ind w:left="7220"/>
              <w:spacing w:after="0"/>
              <w:rPr>
                <w:sz w:val="20"/>
                <w:szCs w:val="20"/>
                <w:color w:val="auto"/>
              </w:rPr>
            </w:pPr>
            <w:r>
              <w:rPr>
                <w:rFonts w:ascii="Arial" w:cs="Arial" w:eastAsia="Arial" w:hAnsi="Arial"/>
                <w:sz w:val="14"/>
                <w:szCs w:val="14"/>
                <w:b w:val="1"/>
                <w:bCs w:val="1"/>
                <w:color w:val="auto"/>
                <w:w w:val="94"/>
              </w:rPr>
              <w:t>Method of Filing</w:t>
            </w:r>
          </w:p>
        </w:tc>
        <w:tc>
          <w:tcPr>
            <w:tcW w:w="0" w:type="dxa"/>
            <w:vAlign w:val="bottom"/>
          </w:tcPr>
          <w:p>
            <w:pPr>
              <w:spacing w:after="0"/>
              <w:rPr>
                <w:sz w:val="1"/>
                <w:szCs w:val="1"/>
                <w:color w:val="auto"/>
              </w:rPr>
            </w:pPr>
          </w:p>
        </w:tc>
      </w:tr>
      <w:tr>
        <w:trPr>
          <w:trHeight w:val="171"/>
        </w:trPr>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8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Power of Attorney</w:t>
            </w:r>
          </w:p>
        </w:tc>
        <w:tc>
          <w:tcPr>
            <w:tcW w:w="8260" w:type="dxa"/>
            <w:vAlign w:val="bottom"/>
            <w:gridSpan w:val="3"/>
          </w:tcPr>
          <w:p>
            <w:pPr>
              <w:ind w:left="7220"/>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20" w:type="dxa"/>
            <w:vAlign w:val="bottom"/>
          </w:tcPr>
          <w:p>
            <w:pPr>
              <w:jc w:val="center"/>
              <w:ind w:right="2033"/>
              <w:spacing w:after="0"/>
              <w:rPr>
                <w:sz w:val="20"/>
                <w:szCs w:val="20"/>
                <w:color w:val="auto"/>
              </w:rPr>
            </w:pPr>
            <w:r>
              <w:rPr>
                <w:rFonts w:ascii="Arial" w:cs="Arial" w:eastAsia="Arial" w:hAnsi="Arial"/>
                <w:sz w:val="18"/>
                <w:szCs w:val="18"/>
                <w:color w:val="auto"/>
                <w:w w:val="99"/>
              </w:rPr>
              <w:t>4</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the undersigned, each being a member of the Board of Directors of The Toro Company, a</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corporation, do hereby make, nominate and appoint each of MICHAEL J. HOFFMAN AND TIMOTHY P. DORDELL, signing singly, to be his or her attorney-in-fact, with full power and authority to sign his or her name to a Post-Effective Amendment No. 1 to Registration Statement on Form S-8 relating to The Toro Company 2000 Stock Option Plan (Registration Nos. 333-151086, 333-135033, 333-89262 and 333-39052) (the “Registration Statement”), and any and all additional amendments thereto (including without limitation additional post-effective amendments to register or de-register shares), provided that the Registration Statement, in final form, be approved by said attorney-in-fact; and his name, when thus signed, shall have the same force and effect as though I had manually signed said document or documents.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affixed my signature this 19th day of May, 2015.</w:t>
      </w:r>
    </w:p>
    <w:p>
      <w:pPr>
        <w:spacing w:after="0" w:line="248" w:lineRule="exact"/>
        <w:rPr>
          <w:sz w:val="20"/>
          <w:szCs w:val="20"/>
          <w:color w:val="auto"/>
        </w:rPr>
      </w:pPr>
    </w:p>
    <w:tbl>
      <w:tblPr>
        <w:tblLayout w:type="fixed"/>
        <w:tblInd w:w="3440"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980" w:type="dxa"/>
            <w:vAlign w:val="bottom"/>
          </w:tcPr>
          <w:p>
            <w:pPr>
              <w:spacing w:after="0"/>
              <w:rPr>
                <w:sz w:val="14"/>
                <w:szCs w:val="14"/>
                <w:color w:val="auto"/>
              </w:rPr>
            </w:pPr>
          </w:p>
        </w:tc>
      </w:tr>
      <w:tr>
        <w:trPr>
          <w:trHeight w:val="426"/>
        </w:trPr>
        <w:tc>
          <w:tcPr>
            <w:tcW w:w="14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Robert C. Buhrmaster</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Robert C. Buhrmaster</w:t>
            </w:r>
          </w:p>
        </w:tc>
      </w:tr>
      <w:tr>
        <w:trPr>
          <w:trHeight w:val="431"/>
        </w:trPr>
        <w:tc>
          <w:tcPr>
            <w:tcW w:w="1660" w:type="dxa"/>
            <w:vAlign w:val="bottom"/>
            <w:tcBorders>
              <w:bottom w:val="single" w:sz="8" w:color="auto"/>
            </w:tcBorders>
            <w:gridSpan w:val="2"/>
          </w:tcPr>
          <w:p>
            <w:pPr>
              <w:ind w:left="1340"/>
              <w:spacing w:after="0"/>
              <w:rPr>
                <w:sz w:val="20"/>
                <w:szCs w:val="20"/>
                <w:color w:val="auto"/>
              </w:rPr>
            </w:pPr>
            <w:r>
              <w:rPr>
                <w:rFonts w:ascii="Arial" w:cs="Arial" w:eastAsia="Arial" w:hAnsi="Arial"/>
                <w:sz w:val="18"/>
                <w:szCs w:val="18"/>
                <w:color w:val="auto"/>
              </w:rPr>
              <w:t>/s/</w:t>
            </w:r>
          </w:p>
        </w:tc>
        <w:tc>
          <w:tcPr>
            <w:tcW w:w="290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0"/>
              </w:rPr>
              <w:t>Janet K. Cooper</w:t>
            </w:r>
          </w:p>
        </w:tc>
      </w:tr>
      <w:tr>
        <w:trPr>
          <w:trHeight w:val="224"/>
        </w:trPr>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3"/>
          </w:tcPr>
          <w:p>
            <w:pPr>
              <w:jc w:val="center"/>
              <w:ind w:right="1660"/>
              <w:spacing w:after="0"/>
              <w:rPr>
                <w:sz w:val="20"/>
                <w:szCs w:val="20"/>
                <w:color w:val="auto"/>
              </w:rPr>
            </w:pPr>
            <w:r>
              <w:rPr>
                <w:rFonts w:ascii="Arial" w:cs="Arial" w:eastAsia="Arial" w:hAnsi="Arial"/>
                <w:sz w:val="18"/>
                <w:szCs w:val="18"/>
                <w:color w:val="auto"/>
                <w:w w:val="89"/>
              </w:rPr>
              <w:t>Janet K. Cooper</w:t>
            </w:r>
          </w:p>
        </w:tc>
      </w:tr>
      <w:tr>
        <w:trPr>
          <w:trHeight w:val="431"/>
        </w:trPr>
        <w:tc>
          <w:tcPr>
            <w:tcW w:w="1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/s/</w:t>
            </w:r>
          </w:p>
        </w:tc>
        <w:tc>
          <w:tcPr>
            <w:tcW w:w="290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6"/>
              </w:rPr>
              <w:t>Gary L. Ellis</w:t>
            </w:r>
          </w:p>
        </w:tc>
      </w:tr>
      <w:tr>
        <w:trPr>
          <w:trHeight w:val="224"/>
        </w:trPr>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3"/>
          </w:tcPr>
          <w:p>
            <w:pPr>
              <w:jc w:val="center"/>
              <w:ind w:right="1680"/>
              <w:spacing w:after="0"/>
              <w:rPr>
                <w:sz w:val="20"/>
                <w:szCs w:val="20"/>
                <w:color w:val="auto"/>
              </w:rPr>
            </w:pPr>
            <w:r>
              <w:rPr>
                <w:rFonts w:ascii="Arial" w:cs="Arial" w:eastAsia="Arial" w:hAnsi="Arial"/>
                <w:sz w:val="18"/>
                <w:szCs w:val="18"/>
                <w:color w:val="auto"/>
                <w:w w:val="96"/>
              </w:rPr>
              <w:t>Gary L. Ellis</w:t>
            </w:r>
          </w:p>
        </w:tc>
      </w:tr>
      <w:tr>
        <w:trPr>
          <w:trHeight w:val="431"/>
        </w:trPr>
        <w:tc>
          <w:tcPr>
            <w:tcW w:w="142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w w:val="83"/>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4"/>
              </w:rPr>
              <w:t>Jeffrey M. Ettinger</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4"/>
              </w:rPr>
              <w:t>Jeffrey M. Ettinger</w:t>
            </w:r>
          </w:p>
        </w:tc>
      </w:tr>
      <w:tr>
        <w:trPr>
          <w:trHeight w:val="431"/>
        </w:trPr>
        <w:tc>
          <w:tcPr>
            <w:tcW w:w="142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Katherine J. Harless</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Katherine J. Harless</w:t>
            </w:r>
          </w:p>
        </w:tc>
      </w:tr>
      <w:tr>
        <w:trPr>
          <w:trHeight w:val="431"/>
        </w:trPr>
        <w:tc>
          <w:tcPr>
            <w:tcW w:w="142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w w:val="94"/>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James C. O’Rourke</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James C. O’Rourke</w:t>
            </w:r>
          </w:p>
        </w:tc>
      </w:tr>
      <w:tr>
        <w:trPr>
          <w:trHeight w:val="431"/>
        </w:trPr>
        <w:tc>
          <w:tcPr>
            <w:tcW w:w="142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Gregg W. Steinhafel</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Gregg W. Steinhafel</w:t>
            </w:r>
          </w:p>
        </w:tc>
      </w:tr>
    </w:tbl>
    <w:p>
      <w:pPr>
        <w:spacing w:after="0" w:line="201" w:lineRule="exact"/>
        <w:rPr>
          <w:sz w:val="20"/>
          <w:szCs w:val="20"/>
          <w:color w:val="auto"/>
        </w:rPr>
      </w:pPr>
    </w:p>
    <w:p>
      <w:pPr>
        <w:jc w:val="right"/>
        <w:ind w:right="4760"/>
        <w:spacing w:after="0"/>
        <w:tabs>
          <w:tab w:leader="none" w:pos="64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Christopher A. Twomey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right"/>
        <w:ind w:right="4760"/>
        <w:spacing w:after="0"/>
        <w:rPr>
          <w:sz w:val="20"/>
          <w:szCs w:val="20"/>
          <w:color w:val="auto"/>
        </w:rPr>
      </w:pPr>
      <w:r>
        <w:rPr>
          <w:rFonts w:ascii="Arial" w:cs="Arial" w:eastAsia="Arial" w:hAnsi="Arial"/>
          <w:sz w:val="18"/>
          <w:szCs w:val="18"/>
          <w:color w:val="auto"/>
        </w:rPr>
        <w:t>Christopher A. Twomey</w:t>
      </w:r>
    </w:p>
    <w:sectPr>
      <w:pgSz w:w="11900" w:h="16838" w:orient="portrait"/>
      <w:cols w:equalWidth="0" w:num="1">
        <w:col w:w="11340"/>
      </w:cols>
      <w:pgMar w:left="24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2019-12-05T21:34:42Z</dcterms:created>
  <dcterms:modified xsi:type="dcterms:W3CDTF">2019-12-05T21:34:42Z</dcterms:modified>
</cp:coreProperties>
</file>