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-230505</wp:posOffset>
            </wp:positionV>
            <wp:extent cx="121920" cy="1219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" cy="121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ind w:left="34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-575310</wp:posOffset>
            </wp:positionV>
            <wp:extent cx="121920" cy="1219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" cy="121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9"/>
        </w:trPr>
        <w:tc>
          <w:tcPr>
            <w:tcW w:w="6240" w:type="dxa"/>
            <w:vAlign w:val="bottom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-620395</wp:posOffset>
            </wp:positionV>
            <wp:extent cx="57785" cy="6337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3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3956050</wp:posOffset>
            </wp:positionH>
            <wp:positionV relativeFrom="paragraph">
              <wp:posOffset>-620395</wp:posOffset>
            </wp:positionV>
            <wp:extent cx="57785" cy="6337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3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735965</wp:posOffset>
            </wp:positionV>
            <wp:extent cx="6995160" cy="54209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5420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Carpenter Kevin N</w:t>
        </w:r>
      </w:hyperlink>
    </w:p>
    <w:p>
      <w:pPr>
        <w:spacing w:after="0" w:line="29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8111 LYNDALE AVE 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TORO CO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TTC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9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12/02/2024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right="660"/>
        <w:spacing w:after="0" w:line="254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VP, Global Ops &amp; Supply Chain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0" w:space="720"/>
            <w:col w:w="3360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restart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20" w:type="dxa"/>
            <w:vAlign w:val="bottom"/>
            <w:gridSpan w:val="10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55420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4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Form filed by One Reporting 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7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12/02/2024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6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jc w:val="right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6,057.674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86.5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9,467.81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3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1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12/02/2024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jc w:val="right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2,445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86.5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7,022.81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3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1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1.031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3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Retirement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4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jc w:val="right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7,021.725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7,021.725</w:t>
            </w:r>
          </w:p>
        </w:tc>
        <w:tc>
          <w:tcPr>
            <w:tcW w:w="540" w:type="dxa"/>
            <w:vAlign w:val="bottom"/>
          </w:tcPr>
          <w:p>
            <w:pPr>
              <w:ind w:left="3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-1910715</wp:posOffset>
            </wp:positionV>
            <wp:extent cx="29210" cy="19157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191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0.012 shares acquired by the reporting person since the date of his last report under the dividend reinvestment feature of The Toro Company Retirement Plan.</w:t>
      </w:r>
    </w:p>
    <w:p>
      <w:pPr>
        <w:spacing w:after="0" w:line="4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TTC common stock.</w:t>
      </w:r>
    </w:p>
    <w:p>
      <w:pPr>
        <w:spacing w:after="0" w:line="4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and related dividend equivalents vest and become non-forfeitable in full on January 23, 2027, which is the third anniversary of the date of grant.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1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Joanna M. Totsky, Attorney-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12/03/2024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-26670</wp:posOffset>
            </wp:positionV>
            <wp:extent cx="133350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-21590</wp:posOffset>
            </wp:positionV>
            <wp:extent cx="29845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5583555</wp:posOffset>
            </wp:positionH>
            <wp:positionV relativeFrom="paragraph">
              <wp:posOffset>-86360</wp:posOffset>
            </wp:positionV>
            <wp:extent cx="4806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6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60" w:firstLine="1"/>
        <w:spacing w:after="0" w:line="333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97554" TargetMode="External"/><Relationship Id="rId14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2024-12-03T12:41:15Z</dcterms:created>
  <dcterms:modified xsi:type="dcterms:W3CDTF">2024-12-03T12:41:15Z</dcterms:modified>
</cp:coreProperties>
</file>