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Svendsen Kurt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VP, Strat, Corp &amp; Channel Dev</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12/21/2022</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1,008</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2,283.094</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10,608.633</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10,918.991</w:t>
            </w:r>
            <w:r>
              <w:rPr>
                <w:rFonts w:ascii="Times New Roman" w:cs="Times New Roman" w:eastAsia="Times New Roman" w:hAnsi="Times New Roman"/>
                <w:sz w:val="21"/>
                <w:szCs w:val="21"/>
                <w:color w:val="008000"/>
                <w:w w:val="94"/>
                <w:vertAlign w:val="superscript"/>
              </w:rPr>
              <w:t>(4)</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6,600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6,600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6,600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2022, and which was conditioned upon and subject to confirmation by the Issuer's Fiscal 2022 financial results that were released on December 21, 2022.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3.979 performance share units acquired by the reporting person since the date of his last report under the dividend reinvestment feature of the Deferred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33.877 shares of common stock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34.113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Kurt D. Svendsen</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Kurt D. Svendsen</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2022-12-23T10:30:08Z</dcterms:created>
  <dcterms:modified xsi:type="dcterms:W3CDTF">2022-12-23T10:30:08Z</dcterms:modified>
</cp:coreProperties>
</file>