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763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76389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Walters Daryn A</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 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03/24/2022</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37"/>
        <w:spacing w:after="0"/>
        <w:rPr>
          <w:sz w:val="20"/>
          <w:szCs w:val="20"/>
          <w:color w:val="auto"/>
        </w:rPr>
      </w:pPr>
      <w:r>
        <w:rPr>
          <w:rFonts w:ascii="Arial" w:cs="Arial" w:eastAsia="Arial" w:hAnsi="Arial"/>
          <w:sz w:val="17"/>
          <w:szCs w:val="17"/>
          <w:color w:val="0000FF"/>
        </w:rPr>
        <w:t>VP, Exmark &amp; Intimidator Group</w:t>
      </w:r>
    </w:p>
    <w:p>
      <w:pPr>
        <w:spacing w:after="0" w:line="311"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BLOOMINGTON MN</w:t>
            </w:r>
          </w:p>
        </w:tc>
        <w:tc>
          <w:tcPr>
            <w:tcW w:w="1620" w:type="dxa"/>
            <w:vAlign w:val="bottom"/>
          </w:tcPr>
          <w:p>
            <w:pPr>
              <w:jc w:val="right"/>
              <w:ind w:right="665"/>
              <w:spacing w:after="0"/>
              <w:rPr>
                <w:sz w:val="20"/>
                <w:szCs w:val="20"/>
                <w:color w:val="auto"/>
              </w:rPr>
            </w:pPr>
            <w:r>
              <w:rPr>
                <w:rFonts w:ascii="Arial" w:cs="Arial" w:eastAsia="Arial" w:hAnsi="Arial"/>
                <w:sz w:val="17"/>
                <w:szCs w:val="17"/>
                <w:color w:val="0000FF"/>
              </w:rPr>
              <w:t>55420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00"/>
              <w:spacing w:after="0" w:line="127"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12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6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7"/>
              </w:rPr>
              <w:t>Securities</w:t>
            </w:r>
          </w:p>
        </w:tc>
        <w:tc>
          <w:tcPr>
            <w:tcW w:w="520" w:type="dxa"/>
            <w:vAlign w:val="bottom"/>
          </w:tcPr>
          <w:p>
            <w:pPr>
              <w:spacing w:after="0"/>
              <w:rPr>
                <w:sz w:val="11"/>
                <w:szCs w:val="11"/>
                <w:color w:val="auto"/>
              </w:rPr>
            </w:pPr>
          </w:p>
        </w:tc>
        <w:tc>
          <w:tcPr>
            <w:tcW w:w="88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gridSpan w:val="2"/>
          </w:tcPr>
          <w:p>
            <w:pPr>
              <w:ind w:left="60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560" w:type="dxa"/>
            <w:vAlign w:val="bottom"/>
            <w:gridSpan w:val="2"/>
          </w:tcPr>
          <w:p>
            <w:pPr>
              <w:ind w:left="680"/>
              <w:spacing w:after="0"/>
              <w:rPr>
                <w:sz w:val="20"/>
                <w:szCs w:val="20"/>
                <w:color w:val="auto"/>
              </w:rPr>
            </w:pPr>
            <w:r>
              <w:rPr>
                <w:rFonts w:ascii="Arial" w:cs="Arial" w:eastAsia="Arial" w:hAnsi="Arial"/>
                <w:sz w:val="17"/>
                <w:szCs w:val="17"/>
                <w:color w:val="0000FF"/>
              </w:rPr>
              <w:t>03/24/2022</w:t>
            </w: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M</w:t>
            </w:r>
          </w:p>
        </w:tc>
        <w:tc>
          <w:tcPr>
            <w:tcW w:w="700" w:type="dxa"/>
            <w:vAlign w:val="bottom"/>
          </w:tcPr>
          <w:p>
            <w:pPr>
              <w:ind w:left="240"/>
              <w:spacing w:after="0"/>
              <w:rPr>
                <w:sz w:val="20"/>
                <w:szCs w:val="20"/>
                <w:color w:val="auto"/>
              </w:rPr>
            </w:pPr>
            <w:r>
              <w:rPr>
                <w:rFonts w:ascii="Arial" w:cs="Arial" w:eastAsia="Arial" w:hAnsi="Arial"/>
                <w:sz w:val="17"/>
                <w:szCs w:val="17"/>
                <w:color w:val="0000FF"/>
              </w:rPr>
              <w:t>1,100</w:t>
            </w:r>
          </w:p>
        </w:tc>
        <w:tc>
          <w:tcPr>
            <w:tcW w:w="660" w:type="dxa"/>
            <w:vAlign w:val="bottom"/>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21.03</w:t>
            </w:r>
          </w:p>
        </w:tc>
        <w:tc>
          <w:tcPr>
            <w:tcW w:w="20" w:type="dxa"/>
            <w:vAlign w:val="bottom"/>
          </w:tcPr>
          <w:p>
            <w:pPr>
              <w:spacing w:after="0"/>
              <w:rPr>
                <w:sz w:val="22"/>
                <w:szCs w:val="22"/>
                <w:color w:val="auto"/>
              </w:rPr>
            </w:pPr>
          </w:p>
        </w:tc>
        <w:tc>
          <w:tcPr>
            <w:tcW w:w="1220" w:type="dxa"/>
            <w:vAlign w:val="bottom"/>
            <w:gridSpan w:val="3"/>
          </w:tcPr>
          <w:p>
            <w:pPr>
              <w:jc w:val="center"/>
              <w:spacing w:after="0"/>
              <w:rPr>
                <w:sz w:val="20"/>
                <w:szCs w:val="20"/>
                <w:color w:val="auto"/>
              </w:rPr>
            </w:pPr>
            <w:r>
              <w:rPr>
                <w:rFonts w:ascii="Arial" w:cs="Arial" w:eastAsia="Arial" w:hAnsi="Arial"/>
                <w:sz w:val="17"/>
                <w:szCs w:val="17"/>
                <w:color w:val="0000FF"/>
                <w:w w:val="89"/>
              </w:rPr>
              <w:t>2,770.336</w:t>
            </w:r>
          </w:p>
        </w:tc>
        <w:tc>
          <w:tcPr>
            <w:tcW w:w="340" w:type="dxa"/>
            <w:vAlign w:val="bottom"/>
          </w:tcPr>
          <w:p>
            <w:pPr>
              <w:spacing w:after="0"/>
              <w:rPr>
                <w:sz w:val="22"/>
                <w:szCs w:val="22"/>
                <w:color w:val="auto"/>
              </w:rPr>
            </w:pPr>
          </w:p>
        </w:tc>
        <w:tc>
          <w:tcPr>
            <w:tcW w:w="540" w:type="dxa"/>
            <w:vAlign w:val="bottom"/>
          </w:tcPr>
          <w:p>
            <w:pPr>
              <w:jc w:val="center"/>
              <w:ind w:right="313"/>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560" w:type="dxa"/>
            <w:vAlign w:val="bottom"/>
            <w:gridSpan w:val="2"/>
          </w:tcPr>
          <w:p>
            <w:pPr>
              <w:ind w:left="680"/>
              <w:spacing w:after="0"/>
              <w:rPr>
                <w:sz w:val="20"/>
                <w:szCs w:val="20"/>
                <w:color w:val="auto"/>
              </w:rPr>
            </w:pPr>
            <w:r>
              <w:rPr>
                <w:rFonts w:ascii="Arial" w:cs="Arial" w:eastAsia="Arial" w:hAnsi="Arial"/>
                <w:sz w:val="17"/>
                <w:szCs w:val="17"/>
                <w:color w:val="0000FF"/>
              </w:rPr>
              <w:t>03/24/2022</w:t>
            </w: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ind w:left="200"/>
              <w:spacing w:after="0"/>
              <w:rPr>
                <w:sz w:val="20"/>
                <w:szCs w:val="20"/>
                <w:color w:val="auto"/>
              </w:rPr>
            </w:pPr>
            <w:r>
              <w:rPr>
                <w:rFonts w:ascii="Arial" w:cs="Arial" w:eastAsia="Arial" w:hAnsi="Arial"/>
                <w:sz w:val="13"/>
                <w:szCs w:val="13"/>
                <w:color w:val="0000FF"/>
              </w:rPr>
              <w:t>S</w:t>
            </w:r>
          </w:p>
        </w:tc>
        <w:tc>
          <w:tcPr>
            <w:tcW w:w="700" w:type="dxa"/>
            <w:vAlign w:val="bottom"/>
          </w:tcPr>
          <w:p>
            <w:pPr>
              <w:ind w:left="240"/>
              <w:spacing w:after="0"/>
              <w:rPr>
                <w:sz w:val="20"/>
                <w:szCs w:val="20"/>
                <w:color w:val="auto"/>
              </w:rPr>
            </w:pPr>
            <w:r>
              <w:rPr>
                <w:rFonts w:ascii="Arial" w:cs="Arial" w:eastAsia="Arial" w:hAnsi="Arial"/>
                <w:sz w:val="17"/>
                <w:szCs w:val="17"/>
                <w:color w:val="0000FF"/>
              </w:rPr>
              <w:t>1,100</w:t>
            </w:r>
          </w:p>
        </w:tc>
        <w:tc>
          <w:tcPr>
            <w:tcW w:w="660" w:type="dxa"/>
            <w:vAlign w:val="bottom"/>
          </w:tcPr>
          <w:p>
            <w:pPr>
              <w:ind w:left="300"/>
              <w:spacing w:after="0"/>
              <w:rPr>
                <w:sz w:val="20"/>
                <w:szCs w:val="20"/>
                <w:color w:val="auto"/>
              </w:rPr>
            </w:pPr>
            <w:r>
              <w:rPr>
                <w:rFonts w:ascii="Arial" w:cs="Arial" w:eastAsia="Arial" w:hAnsi="Arial"/>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85.991</w:t>
            </w:r>
          </w:p>
        </w:tc>
        <w:tc>
          <w:tcPr>
            <w:tcW w:w="1220" w:type="dxa"/>
            <w:vAlign w:val="bottom"/>
            <w:gridSpan w:val="3"/>
          </w:tcPr>
          <w:p>
            <w:pPr>
              <w:jc w:val="center"/>
              <w:spacing w:after="0"/>
              <w:rPr>
                <w:sz w:val="20"/>
                <w:szCs w:val="20"/>
                <w:color w:val="auto"/>
              </w:rPr>
            </w:pPr>
            <w:r>
              <w:rPr>
                <w:rFonts w:ascii="Arial" w:cs="Arial" w:eastAsia="Arial" w:hAnsi="Arial"/>
                <w:sz w:val="17"/>
                <w:szCs w:val="17"/>
                <w:color w:val="0000FF"/>
                <w:w w:val="89"/>
              </w:rPr>
              <w:t>1,670.336</w:t>
            </w:r>
          </w:p>
        </w:tc>
        <w:tc>
          <w:tcPr>
            <w:tcW w:w="340" w:type="dxa"/>
            <w:vAlign w:val="bottom"/>
          </w:tcPr>
          <w:p>
            <w:pPr>
              <w:spacing w:after="0"/>
              <w:rPr>
                <w:sz w:val="22"/>
                <w:szCs w:val="22"/>
                <w:color w:val="auto"/>
              </w:rPr>
            </w:pPr>
          </w:p>
        </w:tc>
        <w:tc>
          <w:tcPr>
            <w:tcW w:w="540" w:type="dxa"/>
            <w:vAlign w:val="bottom"/>
          </w:tcPr>
          <w:p>
            <w:pPr>
              <w:jc w:val="center"/>
              <w:ind w:right="313"/>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6"/>
              </w:rPr>
              <w:t>1,977.702</w:t>
            </w:r>
            <w:r>
              <w:rPr>
                <w:rFonts w:ascii="Arial" w:cs="Arial" w:eastAsia="Arial" w:hAnsi="Arial"/>
                <w:sz w:val="21"/>
                <w:szCs w:val="21"/>
                <w:color w:val="008000"/>
                <w:w w:val="86"/>
                <w:vertAlign w:val="superscript"/>
              </w:rPr>
              <w:t>(1)</w:t>
            </w:r>
          </w:p>
        </w:tc>
        <w:tc>
          <w:tcPr>
            <w:tcW w:w="340" w:type="dxa"/>
            <w:vAlign w:val="bottom"/>
          </w:tcPr>
          <w:p>
            <w:pPr>
              <w:spacing w:after="0"/>
              <w:rPr>
                <w:sz w:val="18"/>
                <w:szCs w:val="18"/>
                <w:color w:val="auto"/>
              </w:rPr>
            </w:pPr>
          </w:p>
        </w:tc>
        <w:tc>
          <w:tcPr>
            <w:tcW w:w="540" w:type="dxa"/>
            <w:vAlign w:val="bottom"/>
            <w:vMerge w:val="restart"/>
          </w:tcPr>
          <w:p>
            <w:pPr>
              <w:jc w:val="center"/>
              <w:ind w:right="313"/>
              <w:spacing w:after="0"/>
              <w:rPr>
                <w:sz w:val="20"/>
                <w:szCs w:val="20"/>
                <w:color w:val="auto"/>
              </w:rPr>
            </w:pPr>
            <w:r>
              <w:rPr>
                <w:rFonts w:ascii="Arial" w:cs="Arial" w:eastAsia="Arial" w:hAnsi="Arial"/>
                <w:sz w:val="17"/>
                <w:szCs w:val="17"/>
                <w:color w:val="0000FF"/>
                <w:w w:val="83"/>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Retirement</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460" w:type="dxa"/>
            <w:vAlign w:val="bottom"/>
            <w:tcBorders>
              <w:bottom w:val="single" w:sz="8" w:color="2C2C2C"/>
            </w:tcBorders>
            <w:gridSpan w:val="9"/>
          </w:tcPr>
          <w:p>
            <w:pPr>
              <w:spacing w:after="0"/>
              <w:rPr>
                <w:sz w:val="8"/>
                <w:szCs w:val="8"/>
                <w:color w:val="auto"/>
              </w:rPr>
            </w:pPr>
          </w:p>
        </w:tc>
        <w:tc>
          <w:tcPr>
            <w:tcW w:w="6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8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21.03</w:t>
            </w:r>
          </w:p>
        </w:tc>
        <w:tc>
          <w:tcPr>
            <w:tcW w:w="1080" w:type="dxa"/>
            <w:vAlign w:val="bottom"/>
          </w:tcPr>
          <w:p>
            <w:pPr>
              <w:ind w:left="240"/>
              <w:spacing w:after="0"/>
              <w:rPr>
                <w:sz w:val="20"/>
                <w:szCs w:val="20"/>
                <w:color w:val="auto"/>
              </w:rPr>
            </w:pPr>
            <w:r>
              <w:rPr>
                <w:rFonts w:ascii="Arial" w:cs="Arial" w:eastAsia="Arial" w:hAnsi="Arial"/>
                <w:sz w:val="13"/>
                <w:szCs w:val="13"/>
                <w:color w:val="0000FF"/>
              </w:rPr>
              <w:t>03/24/2022</w:t>
            </w:r>
          </w:p>
        </w:tc>
        <w:tc>
          <w:tcPr>
            <w:tcW w:w="1100" w:type="dxa"/>
            <w:vAlign w:val="bottom"/>
          </w:tcPr>
          <w:p>
            <w:pPr>
              <w:spacing w:after="0"/>
              <w:rPr>
                <w:sz w:val="16"/>
                <w:szCs w:val="16"/>
                <w:color w:val="auto"/>
              </w:rPr>
            </w:pPr>
          </w:p>
        </w:tc>
        <w:tc>
          <w:tcPr>
            <w:tcW w:w="460" w:type="dxa"/>
            <w:vAlign w:val="bottom"/>
          </w:tcPr>
          <w:p>
            <w:pPr>
              <w:ind w:left="160"/>
              <w:spacing w:after="0"/>
              <w:rPr>
                <w:sz w:val="20"/>
                <w:szCs w:val="20"/>
                <w:color w:val="auto"/>
              </w:rPr>
            </w:pPr>
            <w:r>
              <w:rPr>
                <w:rFonts w:ascii="Arial" w:cs="Arial" w:eastAsia="Arial" w:hAnsi="Arial"/>
                <w:sz w:val="13"/>
                <w:szCs w:val="13"/>
                <w:color w:val="0000FF"/>
              </w:rPr>
              <w:t>M</w:t>
            </w:r>
          </w:p>
        </w:tc>
        <w:tc>
          <w:tcPr>
            <w:tcW w:w="340" w:type="dxa"/>
            <w:vAlign w:val="bottom"/>
          </w:tcPr>
          <w:p>
            <w:pPr>
              <w:spacing w:after="0"/>
              <w:rPr>
                <w:sz w:val="16"/>
                <w:szCs w:val="16"/>
                <w:color w:val="auto"/>
              </w:rPr>
            </w:pPr>
          </w:p>
        </w:tc>
        <w:tc>
          <w:tcPr>
            <w:tcW w:w="800" w:type="dxa"/>
            <w:vAlign w:val="bottom"/>
          </w:tcPr>
          <w:p>
            <w:pPr>
              <w:ind w:left="380"/>
              <w:spacing w:after="0"/>
              <w:rPr>
                <w:sz w:val="20"/>
                <w:szCs w:val="20"/>
                <w:color w:val="auto"/>
              </w:rPr>
            </w:pPr>
            <w:r>
              <w:rPr>
                <w:rFonts w:ascii="Arial" w:cs="Arial" w:eastAsia="Arial" w:hAnsi="Arial"/>
                <w:sz w:val="13"/>
                <w:szCs w:val="13"/>
                <w:color w:val="0000FF"/>
              </w:rPr>
              <w:t>1,100</w:t>
            </w:r>
          </w:p>
        </w:tc>
        <w:tc>
          <w:tcPr>
            <w:tcW w:w="760" w:type="dxa"/>
            <w:vAlign w:val="bottom"/>
          </w:tcPr>
          <w:p>
            <w:pPr>
              <w:ind w:left="280"/>
              <w:spacing w:after="0"/>
              <w:rPr>
                <w:sz w:val="20"/>
                <w:szCs w:val="20"/>
                <w:color w:val="auto"/>
              </w:rPr>
            </w:pPr>
            <w:r>
              <w:rPr>
                <w:rFonts w:ascii="Arial" w:cs="Arial" w:eastAsia="Arial" w:hAnsi="Arial"/>
                <w:sz w:val="11"/>
                <w:szCs w:val="11"/>
                <w:color w:val="008000"/>
              </w:rPr>
              <w:t>(2)</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12/11/2022</w:t>
            </w:r>
          </w:p>
        </w:tc>
        <w:tc>
          <w:tcPr>
            <w:tcW w:w="66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ind w:left="60"/>
              <w:spacing w:after="0" w:line="191" w:lineRule="exact"/>
              <w:rPr>
                <w:sz w:val="20"/>
                <w:szCs w:val="20"/>
                <w:color w:val="auto"/>
              </w:rPr>
            </w:pPr>
            <w:r>
              <w:rPr>
                <w:rFonts w:ascii="Arial" w:cs="Arial" w:eastAsia="Arial" w:hAnsi="Arial"/>
                <w:sz w:val="17"/>
                <w:szCs w:val="17"/>
                <w:color w:val="0000FF"/>
              </w:rPr>
              <w:t>1,100</w:t>
            </w:r>
          </w:p>
        </w:tc>
        <w:tc>
          <w:tcPr>
            <w:tcW w:w="20" w:type="dxa"/>
            <w:vAlign w:val="bottom"/>
          </w:tcPr>
          <w:p>
            <w:pPr>
              <w:spacing w:after="0"/>
              <w:rPr>
                <w:sz w:val="16"/>
                <w:szCs w:val="16"/>
                <w:color w:val="auto"/>
              </w:rPr>
            </w:pPr>
          </w:p>
        </w:tc>
        <w:tc>
          <w:tcPr>
            <w:tcW w:w="70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20" w:type="dxa"/>
            <w:vAlign w:val="bottom"/>
          </w:tcPr>
          <w:p>
            <w:pPr>
              <w:ind w:left="400"/>
              <w:spacing w:after="0"/>
              <w:rPr>
                <w:sz w:val="20"/>
                <w:szCs w:val="20"/>
                <w:color w:val="auto"/>
              </w:rPr>
            </w:pPr>
            <w:r>
              <w:rPr>
                <w:rFonts w:ascii="Arial" w:cs="Arial" w:eastAsia="Arial" w:hAnsi="Arial"/>
                <w:sz w:val="13"/>
                <w:szCs w:val="13"/>
                <w:color w:val="0000FF"/>
              </w:rPr>
              <w:t>0</w:t>
            </w:r>
          </w:p>
        </w:tc>
        <w:tc>
          <w:tcPr>
            <w:tcW w:w="340" w:type="dxa"/>
            <w:vAlign w:val="bottom"/>
          </w:tcPr>
          <w:p>
            <w:pPr>
              <w:spacing w:after="0"/>
              <w:rPr>
                <w:sz w:val="16"/>
                <w:szCs w:val="16"/>
                <w:color w:val="auto"/>
              </w:rPr>
            </w:pPr>
          </w:p>
        </w:tc>
        <w:tc>
          <w:tcPr>
            <w:tcW w:w="540" w:type="dxa"/>
            <w:vAlign w:val="bottom"/>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300" w:firstLine="3"/>
        <w:spacing w:after="0" w:line="293"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his last report: 5.9420 shares acquired through regular individual and issuer matching contributions to The Toro Company Retirement Plan (the "Plan") and 3.285 net shares acquired under the dividend reinvestment feature of the Plan less quarterly non-discretionary administrative fees.</w:t>
      </w: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in full on the third anniversary of the date of grant, which was December 11, 2012.</w:t>
      </w:r>
    </w:p>
    <w:p>
      <w:pPr>
        <w:ind w:left="6600"/>
        <w:spacing w:after="0" w:line="185" w:lineRule="auto"/>
        <w:rPr>
          <w:sz w:val="20"/>
          <w:szCs w:val="20"/>
          <w:color w:val="auto"/>
        </w:rPr>
      </w:pPr>
      <w:r>
        <w:rPr>
          <w:rFonts w:ascii="Arial" w:cs="Arial" w:eastAsia="Arial" w:hAnsi="Arial"/>
          <w:sz w:val="17"/>
          <w:szCs w:val="17"/>
          <w:color w:val="0000FF"/>
        </w:rPr>
        <w:t xml:space="preserve">/s/ Timothy C. Quist, Attorney- </w:t>
      </w:r>
      <w:r>
        <w:rPr>
          <w:rFonts w:ascii="Arial" w:cs="Arial" w:eastAsia="Arial" w:hAnsi="Arial"/>
          <w:sz w:val="33"/>
          <w:szCs w:val="33"/>
          <w:color w:val="0000FF"/>
          <w:vertAlign w:val="subscript"/>
        </w:rPr>
        <w:t>03/28/2022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481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303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0353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900729"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2022-03-28T16:11:24Z</dcterms:created>
  <dcterms:modified xsi:type="dcterms:W3CDTF">2022-03-28T16:11:24Z</dcterms:modified>
</cp:coreProperties>
</file>