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9153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Redetzke Darren L</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12/02/2008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556"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3"/>
                <w:szCs w:val="13"/>
                <w:color w:val="auto"/>
              </w:rPr>
            </w:pPr>
          </w:p>
        </w:tc>
        <w:tc>
          <w:tcPr>
            <w:tcW w:w="94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1120" w:type="dxa"/>
            <w:vAlign w:val="bottom"/>
          </w:tcPr>
          <w:p>
            <w:pPr>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940" w:type="dxa"/>
            <w:vAlign w:val="bottom"/>
          </w:tcPr>
          <w:p>
            <w:pPr>
              <w:ind w:left="1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112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76"/>
        <w:spacing w:after="0"/>
        <w:rPr>
          <w:sz w:val="20"/>
          <w:szCs w:val="20"/>
          <w:color w:val="auto"/>
        </w:rPr>
      </w:pPr>
      <w:r>
        <w:rPr>
          <w:rFonts w:ascii="Arial" w:cs="Arial" w:eastAsia="Arial" w:hAnsi="Arial"/>
          <w:sz w:val="17"/>
          <w:szCs w:val="17"/>
          <w:color w:val="0000FF"/>
        </w:rPr>
        <w:t>General Manager, Intl</w:t>
      </w:r>
    </w:p>
    <w:p>
      <w:pPr>
        <w:spacing w:after="0" w:line="330"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8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4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00"/>
              <w:spacing w:after="0"/>
              <w:rPr>
                <w:sz w:val="20"/>
                <w:szCs w:val="20"/>
                <w:color w:val="auto"/>
              </w:rPr>
            </w:pPr>
            <w:r>
              <w:rPr>
                <w:rFonts w:ascii="Arial" w:cs="Arial" w:eastAsia="Arial" w:hAnsi="Arial"/>
                <w:sz w:val="17"/>
                <w:szCs w:val="17"/>
                <w:color w:val="0000FF"/>
              </w:rPr>
              <w:t>12/02/2008</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M</w:t>
            </w:r>
          </w:p>
        </w:tc>
        <w:tc>
          <w:tcPr>
            <w:tcW w:w="740" w:type="dxa"/>
            <w:vAlign w:val="bottom"/>
          </w:tcPr>
          <w:p>
            <w:pPr>
              <w:ind w:left="200"/>
              <w:spacing w:after="0"/>
              <w:rPr>
                <w:sz w:val="20"/>
                <w:szCs w:val="20"/>
                <w:color w:val="auto"/>
              </w:rPr>
            </w:pPr>
            <w:r>
              <w:rPr>
                <w:rFonts w:ascii="Arial" w:cs="Arial" w:eastAsia="Arial" w:hAnsi="Arial"/>
                <w:sz w:val="17"/>
                <w:szCs w:val="17"/>
                <w:color w:val="0000FF"/>
              </w:rPr>
              <w:t>3,230</w:t>
            </w:r>
          </w:p>
        </w:tc>
        <w:tc>
          <w:tcPr>
            <w:tcW w:w="66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Pr>
          <w:p>
            <w:pPr>
              <w:jc w:val="right"/>
              <w:ind w:right="2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24.16</w:t>
            </w:r>
          </w:p>
        </w:tc>
        <w:tc>
          <w:tcPr>
            <w:tcW w:w="780" w:type="dxa"/>
            <w:vAlign w:val="bottom"/>
          </w:tcPr>
          <w:p>
            <w:pPr>
              <w:jc w:val="center"/>
              <w:ind w:left="315"/>
              <w:spacing w:after="0"/>
              <w:rPr>
                <w:sz w:val="20"/>
                <w:szCs w:val="20"/>
                <w:color w:val="auto"/>
              </w:rPr>
            </w:pPr>
            <w:r>
              <w:rPr>
                <w:rFonts w:ascii="Arial" w:cs="Arial" w:eastAsia="Arial" w:hAnsi="Arial"/>
                <w:sz w:val="17"/>
                <w:szCs w:val="17"/>
                <w:color w:val="0000FF"/>
                <w:w w:val="93"/>
              </w:rPr>
              <w:t>3,230</w:t>
            </w: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00"/>
              <w:spacing w:after="0"/>
              <w:rPr>
                <w:sz w:val="20"/>
                <w:szCs w:val="20"/>
                <w:color w:val="auto"/>
              </w:rPr>
            </w:pPr>
            <w:r>
              <w:rPr>
                <w:rFonts w:ascii="Arial" w:cs="Arial" w:eastAsia="Arial" w:hAnsi="Arial"/>
                <w:sz w:val="17"/>
                <w:szCs w:val="17"/>
                <w:color w:val="0000FF"/>
              </w:rPr>
              <w:t>12/02/2008</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ind w:left="200"/>
              <w:spacing w:after="0"/>
              <w:rPr>
                <w:sz w:val="20"/>
                <w:szCs w:val="20"/>
                <w:color w:val="auto"/>
              </w:rPr>
            </w:pPr>
            <w:r>
              <w:rPr>
                <w:rFonts w:ascii="Arial" w:cs="Arial" w:eastAsia="Arial" w:hAnsi="Arial"/>
                <w:sz w:val="17"/>
                <w:szCs w:val="17"/>
                <w:color w:val="0000FF"/>
              </w:rPr>
              <w:t>2,979</w:t>
            </w:r>
          </w:p>
        </w:tc>
        <w:tc>
          <w:tcPr>
            <w:tcW w:w="660" w:type="dxa"/>
            <w:vAlign w:val="bottom"/>
          </w:tcPr>
          <w:p>
            <w:pPr>
              <w:jc w:val="center"/>
              <w:spacing w:after="0"/>
              <w:rPr>
                <w:sz w:val="20"/>
                <w:szCs w:val="20"/>
                <w:color w:val="auto"/>
              </w:rPr>
            </w:pPr>
            <w:r>
              <w:rPr>
                <w:rFonts w:ascii="Arial" w:cs="Arial" w:eastAsia="Arial" w:hAnsi="Arial"/>
                <w:sz w:val="17"/>
                <w:szCs w:val="17"/>
                <w:color w:val="0000FF"/>
              </w:rPr>
              <w:t>D</w:t>
            </w:r>
          </w:p>
        </w:tc>
        <w:tc>
          <w:tcPr>
            <w:tcW w:w="600" w:type="dxa"/>
            <w:vAlign w:val="bottom"/>
          </w:tcPr>
          <w:p>
            <w:pPr>
              <w:jc w:val="right"/>
              <w:ind w:right="2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27.31</w:t>
            </w:r>
          </w:p>
        </w:tc>
        <w:tc>
          <w:tcPr>
            <w:tcW w:w="780" w:type="dxa"/>
            <w:vAlign w:val="bottom"/>
          </w:tcPr>
          <w:p>
            <w:pPr>
              <w:jc w:val="center"/>
              <w:ind w:left="295"/>
              <w:spacing w:after="0"/>
              <w:rPr>
                <w:sz w:val="20"/>
                <w:szCs w:val="20"/>
                <w:color w:val="auto"/>
              </w:rPr>
            </w:pPr>
            <w:r>
              <w:rPr>
                <w:rFonts w:ascii="Arial" w:cs="Arial" w:eastAsia="Arial" w:hAnsi="Arial"/>
                <w:sz w:val="17"/>
                <w:szCs w:val="17"/>
                <w:color w:val="0000FF"/>
                <w:w w:val="91"/>
              </w:rPr>
              <w:t>251</w:t>
            </w: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center"/>
              <w:ind w:right="19"/>
              <w:spacing w:after="0" w:line="213" w:lineRule="exact"/>
              <w:rPr>
                <w:sz w:val="20"/>
                <w:szCs w:val="20"/>
                <w:color w:val="auto"/>
              </w:rPr>
            </w:pPr>
            <w:r>
              <w:rPr>
                <w:rFonts w:ascii="Arial" w:cs="Arial" w:eastAsia="Arial" w:hAnsi="Arial"/>
                <w:sz w:val="17"/>
                <w:szCs w:val="17"/>
                <w:color w:val="0000FF"/>
                <w:w w:val="87"/>
              </w:rPr>
              <w:t>6,740.033</w:t>
            </w:r>
            <w:r>
              <w:rPr>
                <w:rFonts w:ascii="Arial" w:cs="Arial" w:eastAsia="Arial" w:hAnsi="Arial"/>
                <w:sz w:val="22"/>
                <w:szCs w:val="22"/>
                <w:color w:val="008000"/>
                <w:w w:val="87"/>
                <w:vertAlign w:val="superscript"/>
              </w:rPr>
              <w:t>(1)</w:t>
            </w:r>
          </w:p>
        </w:tc>
        <w:tc>
          <w:tcPr>
            <w:tcW w:w="320" w:type="dxa"/>
            <w:vAlign w:val="bottom"/>
          </w:tcPr>
          <w:p>
            <w:pPr>
              <w:spacing w:after="0"/>
              <w:rPr>
                <w:sz w:val="18"/>
                <w:szCs w:val="18"/>
                <w:color w:val="auto"/>
              </w:rPr>
            </w:pPr>
          </w:p>
        </w:tc>
        <w:tc>
          <w:tcPr>
            <w:tcW w:w="60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6480" w:type="dxa"/>
            <w:vAlign w:val="bottom"/>
            <w:tcBorders>
              <w:bottom w:val="single" w:sz="8" w:color="2C2C2C"/>
            </w:tcBorders>
            <w:gridSpan w:val="10"/>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tcPr>
          <w:p>
            <w:pPr>
              <w:spacing w:after="0"/>
              <w:rPr>
                <w:sz w:val="11"/>
                <w:szCs w:val="11"/>
                <w:color w:val="auto"/>
              </w:rPr>
            </w:pPr>
          </w:p>
        </w:tc>
        <w:tc>
          <w:tcPr>
            <w:tcW w:w="44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90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spacing w:after="0"/>
              <w:rPr>
                <w:sz w:val="11"/>
                <w:szCs w:val="11"/>
                <w:color w:val="auto"/>
              </w:rPr>
            </w:pPr>
          </w:p>
        </w:tc>
        <w:tc>
          <w:tcPr>
            <w:tcW w:w="7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1"/>
                <w:szCs w:val="11"/>
                <w:color w:val="auto"/>
              </w:rPr>
            </w:pPr>
          </w:p>
        </w:tc>
        <w:tc>
          <w:tcPr>
            <w:tcW w:w="7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24.16</w:t>
            </w:r>
          </w:p>
        </w:tc>
        <w:tc>
          <w:tcPr>
            <w:tcW w:w="1080" w:type="dxa"/>
            <w:vAlign w:val="bottom"/>
            <w:vMerge w:val="restart"/>
          </w:tcPr>
          <w:p>
            <w:pPr>
              <w:jc w:val="right"/>
              <w:ind w:right="157"/>
              <w:spacing w:after="0"/>
              <w:rPr>
                <w:sz w:val="20"/>
                <w:szCs w:val="20"/>
                <w:color w:val="auto"/>
              </w:rPr>
            </w:pPr>
            <w:r>
              <w:rPr>
                <w:rFonts w:ascii="Arial" w:cs="Arial" w:eastAsia="Arial" w:hAnsi="Arial"/>
                <w:sz w:val="13"/>
                <w:szCs w:val="13"/>
                <w:color w:val="0000FF"/>
              </w:rPr>
              <w:t>12/02/2008</w:t>
            </w:r>
          </w:p>
        </w:tc>
        <w:tc>
          <w:tcPr>
            <w:tcW w:w="1160" w:type="dxa"/>
            <w:vAlign w:val="bottom"/>
          </w:tcPr>
          <w:p>
            <w:pPr>
              <w:spacing w:after="0"/>
              <w:rPr>
                <w:sz w:val="16"/>
                <w:szCs w:val="1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rPr>
              <w:t>3,230</w:t>
            </w:r>
          </w:p>
        </w:tc>
        <w:tc>
          <w:tcPr>
            <w:tcW w:w="820" w:type="dxa"/>
            <w:vAlign w:val="bottom"/>
            <w:vMerge w:val="restart"/>
          </w:tcPr>
          <w:p>
            <w:pPr>
              <w:jc w:val="right"/>
              <w:ind w:right="39"/>
              <w:spacing w:after="0"/>
              <w:rPr>
                <w:sz w:val="20"/>
                <w:szCs w:val="20"/>
                <w:color w:val="auto"/>
              </w:rPr>
            </w:pPr>
            <w:r>
              <w:rPr>
                <w:rFonts w:ascii="Arial" w:cs="Arial" w:eastAsia="Arial" w:hAnsi="Arial"/>
                <w:sz w:val="13"/>
                <w:szCs w:val="13"/>
                <w:color w:val="0000FF"/>
              </w:rPr>
              <w:t>12/04/2003</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12/04/2008</w:t>
            </w: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ind w:right="49"/>
              <w:spacing w:after="0"/>
              <w:rPr>
                <w:sz w:val="20"/>
                <w:szCs w:val="20"/>
                <w:color w:val="auto"/>
              </w:rPr>
            </w:pPr>
            <w:r>
              <w:rPr>
                <w:rFonts w:ascii="Arial" w:cs="Arial" w:eastAsia="Arial" w:hAnsi="Arial"/>
                <w:sz w:val="17"/>
                <w:szCs w:val="17"/>
                <w:color w:val="0000FF"/>
              </w:rPr>
              <w:t>3,230</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6"/>
                <w:szCs w:val="16"/>
                <w:color w:val="auto"/>
              </w:rPr>
            </w:pPr>
          </w:p>
        </w:tc>
        <w:tc>
          <w:tcPr>
            <w:tcW w:w="600" w:type="dxa"/>
            <w:vAlign w:val="bottom"/>
            <w:vMerge w:val="restart"/>
          </w:tcPr>
          <w:p>
            <w:pPr>
              <w:ind w:left="46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28.62</w:t>
            </w:r>
          </w:p>
        </w:tc>
        <w:tc>
          <w:tcPr>
            <w:tcW w:w="1080" w:type="dxa"/>
            <w:vAlign w:val="bottom"/>
            <w:vMerge w:val="restart"/>
          </w:tcPr>
          <w:p>
            <w:pPr>
              <w:jc w:val="right"/>
              <w:ind w:right="157"/>
              <w:spacing w:after="0"/>
              <w:rPr>
                <w:sz w:val="20"/>
                <w:szCs w:val="20"/>
                <w:color w:val="auto"/>
              </w:rPr>
            </w:pPr>
            <w:r>
              <w:rPr>
                <w:rFonts w:ascii="Arial" w:cs="Arial" w:eastAsia="Arial" w:hAnsi="Arial"/>
                <w:sz w:val="13"/>
                <w:szCs w:val="13"/>
                <w:color w:val="0000FF"/>
              </w:rPr>
              <w:t>12/03/2008</w:t>
            </w:r>
          </w:p>
        </w:tc>
        <w:tc>
          <w:tcPr>
            <w:tcW w:w="1160" w:type="dxa"/>
            <w:vAlign w:val="bottom"/>
          </w:tcPr>
          <w:p>
            <w:pPr>
              <w:spacing w:after="0"/>
              <w:rPr>
                <w:sz w:val="16"/>
                <w:szCs w:val="16"/>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6"/>
                <w:szCs w:val="16"/>
                <w:color w:val="auto"/>
              </w:rPr>
            </w:pPr>
          </w:p>
        </w:tc>
        <w:tc>
          <w:tcPr>
            <w:tcW w:w="460" w:type="dxa"/>
            <w:vAlign w:val="bottom"/>
            <w:vMerge w:val="restart"/>
          </w:tcPr>
          <w:p>
            <w:pPr>
              <w:ind w:left="100"/>
              <w:spacing w:after="0"/>
              <w:rPr>
                <w:sz w:val="20"/>
                <w:szCs w:val="20"/>
                <w:color w:val="auto"/>
              </w:rPr>
            </w:pPr>
            <w:r>
              <w:rPr>
                <w:rFonts w:ascii="Arial" w:cs="Arial" w:eastAsia="Arial" w:hAnsi="Arial"/>
                <w:sz w:val="13"/>
                <w:szCs w:val="13"/>
                <w:color w:val="0000FF"/>
              </w:rPr>
              <w:t>6,900</w:t>
            </w:r>
          </w:p>
        </w:tc>
        <w:tc>
          <w:tcPr>
            <w:tcW w:w="440" w:type="dxa"/>
            <w:vAlign w:val="bottom"/>
          </w:tcPr>
          <w:p>
            <w:pPr>
              <w:spacing w:after="0"/>
              <w:rPr>
                <w:sz w:val="16"/>
                <w:szCs w:val="16"/>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12/03/2018</w:t>
            </w: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ind w:right="49"/>
              <w:spacing w:after="0"/>
              <w:rPr>
                <w:sz w:val="20"/>
                <w:szCs w:val="20"/>
                <w:color w:val="auto"/>
              </w:rPr>
            </w:pPr>
            <w:r>
              <w:rPr>
                <w:rFonts w:ascii="Arial" w:cs="Arial" w:eastAsia="Arial" w:hAnsi="Arial"/>
                <w:sz w:val="17"/>
                <w:szCs w:val="17"/>
                <w:color w:val="0000FF"/>
              </w:rPr>
              <w:t>6,900</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0000FF"/>
              </w:rPr>
              <w:t>6,900</w:t>
            </w:r>
          </w:p>
        </w:tc>
        <w:tc>
          <w:tcPr>
            <w:tcW w:w="600" w:type="dxa"/>
            <w:vAlign w:val="bottom"/>
            <w:vMerge w:val="restart"/>
          </w:tcPr>
          <w:p>
            <w:pPr>
              <w:ind w:left="46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7"/>
        <w:spacing w:after="0" w:line="247"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under the dividend reinvestment feature of The Toro Company Investment, Savings &amp; ESOP: 20.352 shares acquired by the reporting person on January 11, 2008, 24.241 shares acquired by the reporting person on April 11, 2008, 32.336 shares acquired by the reporting person on July 11, 2008, 31.372 shares acquired by the reporting person on October 17, 2008, and also includes an account adjustment (rounding) of .0291 shares of common stock. Also includes 68.091 shares of common stock acquired by the reporting person through contributions to The Toro Company Investment, Savings &amp; ESOP since the date of his last report.</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Pr>
          <w:p>
            <w:pPr>
              <w:spacing w:after="0"/>
              <w:rPr>
                <w:sz w:val="20"/>
                <w:szCs w:val="20"/>
                <w:color w:val="auto"/>
              </w:rPr>
            </w:pPr>
            <w:r>
              <w:rPr>
                <w:rFonts w:ascii="Arial" w:cs="Arial" w:eastAsia="Arial" w:hAnsi="Arial"/>
                <w:sz w:val="17"/>
                <w:szCs w:val="17"/>
                <w:color w:val="0000FF"/>
                <w:w w:val="95"/>
              </w:rPr>
              <w:t>Stacy L. Bogart, Atty-In-Fact</w:t>
            </w:r>
          </w:p>
        </w:tc>
        <w:tc>
          <w:tcPr>
            <w:tcW w:w="1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7"/>
                <w:szCs w:val="17"/>
                <w:color w:val="0000FF"/>
                <w:w w:val="89"/>
              </w:rPr>
              <w:t>12/04/2008</w:t>
            </w:r>
          </w:p>
        </w:tc>
      </w:tr>
      <w:tr>
        <w:trPr>
          <w:trHeight w:val="20"/>
        </w:trPr>
        <w:tc>
          <w:tcPr>
            <w:tcW w:w="2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06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37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2019-12-16T04:27:51Z</dcterms:created>
  <dcterms:modified xsi:type="dcterms:W3CDTF">2019-12-16T04:27:51Z</dcterms:modified>
</cp:coreProperties>
</file>