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9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Altmaier Judy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12/08/2016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226"/>
        <w:spacing w:after="0"/>
        <w:rPr>
          <w:sz w:val="20"/>
          <w:szCs w:val="20"/>
          <w:color w:val="auto"/>
        </w:rPr>
      </w:pPr>
      <w:r>
        <w:rPr>
          <w:rFonts w:ascii="Arial" w:cs="Arial" w:eastAsia="Arial" w:hAnsi="Arial"/>
          <w:sz w:val="17"/>
          <w:szCs w:val="17"/>
          <w:color w:val="0000FF"/>
        </w:rPr>
        <w:t>VP, Exmark</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926"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9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12/08/2016</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0000FF"/>
              </w:rPr>
              <w:t>5,931</w:t>
            </w:r>
            <w:r>
              <w:rPr>
                <w:rFonts w:ascii="Arial" w:cs="Arial" w:eastAsia="Arial" w:hAnsi="Arial"/>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0" w:type="dxa"/>
            <w:vAlign w:val="bottom"/>
            <w:tcBorders>
              <w:bottom w:val="single" w:sz="8" w:color="2C2C2C"/>
            </w:tcBorders>
            <w:gridSpan w:val="2"/>
          </w:tcPr>
          <w:p>
            <w:pPr>
              <w:jc w:val="center"/>
              <w:ind w:left="318"/>
              <w:spacing w:after="0"/>
              <w:rPr>
                <w:sz w:val="20"/>
                <w:szCs w:val="20"/>
                <w:color w:val="auto"/>
              </w:rPr>
            </w:pPr>
            <w:r>
              <w:rPr>
                <w:rFonts w:ascii="Arial" w:cs="Arial" w:eastAsia="Arial" w:hAnsi="Arial"/>
                <w:sz w:val="17"/>
                <w:szCs w:val="17"/>
                <w:color w:val="0000FF"/>
                <w:w w:val="93"/>
              </w:rPr>
              <w:t>5,931</w:t>
            </w: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12/08/2016</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Pr>
          <w:p>
            <w:pPr>
              <w:ind w:left="220"/>
              <w:spacing w:after="0"/>
              <w:rPr>
                <w:sz w:val="20"/>
                <w:szCs w:val="20"/>
                <w:color w:val="auto"/>
              </w:rPr>
            </w:pPr>
            <w:r>
              <w:rPr>
                <w:rFonts w:ascii="Arial" w:cs="Arial" w:eastAsia="Arial" w:hAnsi="Arial"/>
                <w:sz w:val="17"/>
                <w:szCs w:val="17"/>
                <w:color w:val="0000FF"/>
              </w:rPr>
              <w:t>1,919</w:t>
            </w:r>
          </w:p>
        </w:tc>
        <w:tc>
          <w:tcPr>
            <w:tcW w:w="6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57.79</w:t>
            </w:r>
          </w:p>
        </w:tc>
        <w:tc>
          <w:tcPr>
            <w:tcW w:w="800" w:type="dxa"/>
            <w:vAlign w:val="bottom"/>
            <w:gridSpan w:val="2"/>
          </w:tcPr>
          <w:p>
            <w:pPr>
              <w:jc w:val="center"/>
              <w:ind w:left="318"/>
              <w:spacing w:after="0"/>
              <w:rPr>
                <w:sz w:val="20"/>
                <w:szCs w:val="20"/>
                <w:color w:val="auto"/>
              </w:rPr>
            </w:pPr>
            <w:r>
              <w:rPr>
                <w:rFonts w:ascii="Arial" w:cs="Arial" w:eastAsia="Arial" w:hAnsi="Arial"/>
                <w:sz w:val="17"/>
                <w:szCs w:val="17"/>
                <w:color w:val="0000FF"/>
                <w:w w:val="93"/>
              </w:rPr>
              <w:t>4,012</w:t>
            </w:r>
          </w:p>
        </w:tc>
        <w:tc>
          <w:tcPr>
            <w:tcW w:w="78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8"/>
              </w:rPr>
              <w:t>645.839</w:t>
            </w:r>
            <w:r>
              <w:rPr>
                <w:rFonts w:ascii="Arial" w:cs="Arial" w:eastAsia="Arial" w:hAnsi="Arial"/>
                <w:sz w:val="22"/>
                <w:szCs w:val="22"/>
                <w:color w:val="008000"/>
                <w:w w:val="88"/>
                <w:vertAlign w:val="superscript"/>
              </w:rPr>
              <w:t>(2)</w:t>
            </w: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45,798.415</w:t>
            </w:r>
            <w:r>
              <w:rPr>
                <w:rFonts w:ascii="Arial" w:cs="Arial" w:eastAsia="Arial" w:hAnsi="Arial"/>
                <w:sz w:val="22"/>
                <w:szCs w:val="22"/>
                <w:color w:val="008000"/>
                <w:w w:val="89"/>
                <w:vertAlign w:val="superscript"/>
              </w:rPr>
              <w:t>(3)</w:t>
            </w: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56.54</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12/09/2016</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Arial" w:cs="Arial" w:eastAsia="Arial" w:hAnsi="Arial"/>
                <w:sz w:val="13"/>
                <w:szCs w:val="13"/>
                <w:color w:val="0000FF"/>
              </w:rPr>
              <w:t>10,200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jc w:val="right"/>
              <w:ind w:right="13"/>
              <w:spacing w:after="0"/>
              <w:rPr>
                <w:sz w:val="20"/>
                <w:szCs w:val="20"/>
                <w:color w:val="auto"/>
              </w:rPr>
            </w:pPr>
            <w:r>
              <w:rPr>
                <w:rFonts w:ascii="Arial" w:cs="Arial" w:eastAsia="Arial" w:hAnsi="Arial"/>
                <w:sz w:val="13"/>
                <w:szCs w:val="13"/>
                <w:color w:val="0000FF"/>
              </w:rPr>
              <w:t>12/09/2026</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40" w:type="dxa"/>
            <w:vAlign w:val="bottom"/>
          </w:tcPr>
          <w:p>
            <w:pPr>
              <w:ind w:left="100"/>
              <w:spacing w:after="0"/>
              <w:rPr>
                <w:sz w:val="20"/>
                <w:szCs w:val="20"/>
                <w:color w:val="auto"/>
              </w:rPr>
            </w:pPr>
            <w:r>
              <w:rPr>
                <w:rFonts w:ascii="Arial" w:cs="Arial" w:eastAsia="Arial" w:hAnsi="Arial"/>
                <w:sz w:val="17"/>
                <w:szCs w:val="17"/>
                <w:color w:val="0000FF"/>
                <w:w w:val="99"/>
              </w:rPr>
              <w:t>10,200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10,200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2014 to Fiscal 2016 Performance Period under The Toro Company Amended and Restated 2010 Equity and Incentive Plan, as amended and restated (the "Amended and Restated 2010 Plan"), as approved by the issuer's Compensation &amp; Human Resources Committee of its Board of Directors on December 6, 2016, and which was conditioned upon and subject to confirmation by the issuer's Fiscal 2016 financial results that were released on December 8, 2016. Performance Share Awards are paid in shares of common stock under the Amended and Restated 2010 Plan.</w:t>
      </w:r>
    </w:p>
    <w:p>
      <w:pPr>
        <w:spacing w:after="0" w:line="25" w:lineRule="exact"/>
        <w:rPr>
          <w:rFonts w:ascii="Arial" w:cs="Arial" w:eastAsia="Arial" w:hAnsi="Arial"/>
          <w:sz w:val="13"/>
          <w:szCs w:val="13"/>
          <w:color w:val="008000"/>
        </w:rPr>
      </w:pPr>
    </w:p>
    <w:p>
      <w:pPr>
        <w:ind w:left="40" w:right="2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16, 2016, the common stock of the issuer split two-for-one (the "Stock Split"), resulting in the reporting person's ownership of 273.977 additional shares of common stock. Also includes 5.917 post-split net shares acquired under the dividend reinvestment feature of The Toro Company Investment, Savings &amp; ESOP (the "IS&amp;ESOP") less quarterly non-discretionary administrative fees and 91.968 post-split shares acquired through issuer annual investment fund contributions to the IS&amp;ESOP since the date of her last report.</w:t>
      </w:r>
    </w:p>
    <w:p>
      <w:pPr>
        <w:spacing w:after="0" w:line="2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22,673.986 additional performance share units as a result of the Stock Split and 450.443 post-split performance share units acquired by the reporting person under the dividend reinvestment feature of The Toro Company Deferred Compensation Plan for Officers since the date of her last report.</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12/12/2016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2019-12-23T21:01:21Z</dcterms:created>
  <dcterms:modified xsi:type="dcterms:W3CDTF">2019-12-23T21:01:21Z</dcterms:modified>
</cp:coreProperties>
</file>