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BURKART PHILIP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VP, Irrigation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12/11/2012</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9,000</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12,037.012</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89,278</w:t>
            </w:r>
            <w:r>
              <w:rPr>
                <w:rFonts w:ascii="Arial" w:cs="Arial" w:eastAsia="Arial" w:hAnsi="Arial"/>
                <w:sz w:val="22"/>
                <w:szCs w:val="22"/>
                <w:color w:val="008000"/>
                <w:w w:val="84"/>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45,898.08</w:t>
            </w:r>
            <w:r>
              <w:rPr>
                <w:rFonts w:ascii="Arial" w:cs="Arial" w:eastAsia="Arial" w:hAnsi="Arial"/>
                <w:sz w:val="22"/>
                <w:szCs w:val="22"/>
                <w:color w:val="008000"/>
                <w:w w:val="85"/>
                <w:vertAlign w:val="superscript"/>
              </w:rPr>
              <w:t>(4)</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3540" w:type="dxa"/>
            <w:vAlign w:val="bottom"/>
            <w:tcBorders>
              <w:bottom w:val="single" w:sz="8" w:color="2C2C2C"/>
            </w:tcBorders>
            <w:gridSpan w:val="5"/>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42.06</w:t>
            </w:r>
          </w:p>
        </w:tc>
        <w:tc>
          <w:tcPr>
            <w:tcW w:w="1140" w:type="dxa"/>
            <w:vAlign w:val="bottom"/>
          </w:tcPr>
          <w:p>
            <w:pPr>
              <w:ind w:left="260"/>
              <w:spacing w:after="0"/>
              <w:rPr>
                <w:sz w:val="20"/>
                <w:szCs w:val="20"/>
                <w:color w:val="auto"/>
              </w:rPr>
            </w:pPr>
            <w:r>
              <w:rPr>
                <w:rFonts w:ascii="Arial" w:cs="Arial" w:eastAsia="Arial" w:hAnsi="Arial"/>
                <w:sz w:val="14"/>
                <w:szCs w:val="14"/>
                <w:color w:val="0000FF"/>
              </w:rPr>
              <w:t>12/11/2012</w:t>
            </w:r>
          </w:p>
        </w:tc>
        <w:tc>
          <w:tcPr>
            <w:tcW w:w="1140" w:type="dxa"/>
            <w:vAlign w:val="bottom"/>
          </w:tcPr>
          <w:p>
            <w:pPr>
              <w:spacing w:after="0"/>
              <w:rPr>
                <w:sz w:val="17"/>
                <w:szCs w:val="17"/>
                <w:color w:val="auto"/>
              </w:rPr>
            </w:pPr>
          </w:p>
        </w:tc>
        <w:tc>
          <w:tcPr>
            <w:tcW w:w="480" w:type="dxa"/>
            <w:vAlign w:val="bottom"/>
          </w:tcPr>
          <w:p>
            <w:pPr>
              <w:ind w:left="16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7"/>
                <w:szCs w:val="17"/>
                <w:color w:val="auto"/>
              </w:rPr>
            </w:pPr>
          </w:p>
        </w:tc>
        <w:tc>
          <w:tcPr>
            <w:tcW w:w="500" w:type="dxa"/>
            <w:vAlign w:val="bottom"/>
          </w:tcPr>
          <w:p>
            <w:pPr>
              <w:ind w:left="100"/>
              <w:spacing w:after="0"/>
              <w:rPr>
                <w:sz w:val="20"/>
                <w:szCs w:val="20"/>
                <w:color w:val="auto"/>
              </w:rPr>
            </w:pPr>
            <w:r>
              <w:rPr>
                <w:rFonts w:ascii="Arial" w:cs="Arial" w:eastAsia="Arial" w:hAnsi="Arial"/>
                <w:sz w:val="14"/>
                <w:szCs w:val="14"/>
                <w:color w:val="0000FF"/>
              </w:rPr>
              <w:t>6,300</w:t>
            </w:r>
          </w:p>
        </w:tc>
        <w:tc>
          <w:tcPr>
            <w:tcW w:w="300" w:type="dxa"/>
            <w:vAlign w:val="bottom"/>
          </w:tcPr>
          <w:p>
            <w:pPr>
              <w:spacing w:after="0"/>
              <w:rPr>
                <w:sz w:val="17"/>
                <w:szCs w:val="17"/>
                <w:color w:val="auto"/>
              </w:rPr>
            </w:pPr>
          </w:p>
        </w:tc>
        <w:tc>
          <w:tcPr>
            <w:tcW w:w="840" w:type="dxa"/>
            <w:vAlign w:val="bottom"/>
            <w:gridSpan w:val="2"/>
          </w:tcPr>
          <w:p>
            <w:pPr>
              <w:jc w:val="right"/>
              <w:ind w:right="318"/>
              <w:spacing w:after="0"/>
              <w:rPr>
                <w:sz w:val="20"/>
                <w:szCs w:val="20"/>
                <w:color w:val="auto"/>
              </w:rPr>
            </w:pPr>
            <w:r>
              <w:rPr>
                <w:rFonts w:ascii="Arial" w:cs="Arial" w:eastAsia="Arial" w:hAnsi="Arial"/>
                <w:sz w:val="11"/>
                <w:szCs w:val="11"/>
                <w:color w:val="008000"/>
              </w:rPr>
              <w:t>(5)</w:t>
            </w:r>
          </w:p>
        </w:tc>
        <w:tc>
          <w:tcPr>
            <w:tcW w:w="740" w:type="dxa"/>
            <w:vAlign w:val="bottom"/>
          </w:tcPr>
          <w:p>
            <w:pPr>
              <w:ind w:left="40"/>
              <w:spacing w:after="0"/>
              <w:rPr>
                <w:sz w:val="20"/>
                <w:szCs w:val="20"/>
                <w:color w:val="auto"/>
              </w:rPr>
            </w:pPr>
            <w:r>
              <w:rPr>
                <w:rFonts w:ascii="Arial" w:cs="Arial" w:eastAsia="Arial" w:hAnsi="Arial"/>
                <w:sz w:val="14"/>
                <w:szCs w:val="14"/>
                <w:color w:val="0000FF"/>
                <w:w w:val="96"/>
              </w:rPr>
              <w:t>12/11/2022</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ind w:left="60"/>
              <w:spacing w:after="0" w:line="200" w:lineRule="exact"/>
              <w:rPr>
                <w:sz w:val="20"/>
                <w:szCs w:val="20"/>
                <w:color w:val="auto"/>
              </w:rPr>
            </w:pPr>
            <w:r>
              <w:rPr>
                <w:rFonts w:ascii="Arial" w:cs="Arial" w:eastAsia="Arial" w:hAnsi="Arial"/>
                <w:sz w:val="18"/>
                <w:szCs w:val="18"/>
                <w:color w:val="0000FF"/>
              </w:rPr>
              <w:t>6,300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6,300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2010 to Fiscal 2012 Performance Period under The Toro Company Performance Share Plan, as approved by the registrant's Compensation &amp; Human Resources Committee of its Board of Directors on December 11, 2012.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 w:lineRule="exact"/>
        <w:rPr>
          <w:rFonts w:ascii="Arial" w:cs="Arial" w:eastAsia="Arial" w:hAnsi="Arial"/>
          <w:sz w:val="12"/>
          <w:szCs w:val="12"/>
          <w:color w:val="008000"/>
        </w:rPr>
      </w:pPr>
    </w:p>
    <w:p>
      <w:pPr>
        <w:jc w:val="both"/>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29, 2012, the common stock of the issuer split two-for-one (the "Stock Split"), resulting in the reporting person's ownership of 1,514.341 additional performance share units. Also includes 8.33 post-split performance share units acquired by the reporting person under the dividend reinvestment feature of the Deferred Plan since the date of his last report. All future Form 4 and 5 filings made by the reporting person will include adjustments, as necessary, to reflect the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44,639 additional shares of common stock acquired by the reporting person as a result of the Stock Split.</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125.946 post-split shares of common stock acquired by the reporting person under the dividend reinvestment feature of The Toro Company Investment, Savings &amp; ESOP since the date of his last report and 22,886.067 additional shares of common stock acquired as a result of the Stock Split.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12/13/2012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2019-12-17T01:47:18Z</dcterms:created>
  <dcterms:modified xsi:type="dcterms:W3CDTF">2019-12-17T01:47:18Z</dcterms:modified>
</cp:coreProperties>
</file>