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March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127635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jc w:val="both"/>
        <w:spacing w:after="0" w:line="254"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97155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62865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2 - Financial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March 9, 2023, The Toro Company announced its earnings for the three month period ended February 3, 2023.</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697865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Section 9 -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(d)  Exhibits.</w:t>
            </w:r>
          </w:p>
        </w:tc>
        <w:tc>
          <w:tcPr>
            <w:tcW w:w="4440" w:type="dxa"/>
            <w:vAlign w:val="bottom"/>
          </w:tcPr>
          <w:p>
            <w:pPr>
              <w:spacing w:after="0"/>
              <w:rPr>
                <w:sz w:val="22"/>
                <w:szCs w:val="22"/>
                <w:color w:val="auto"/>
              </w:rPr>
            </w:pPr>
          </w:p>
        </w:tc>
        <w:tc>
          <w:tcPr>
            <w:tcW w:w="4420" w:type="dxa"/>
            <w:vAlign w:val="bottom"/>
          </w:tcPr>
          <w:p>
            <w:pPr>
              <w:spacing w:after="0"/>
              <w:rPr>
                <w:sz w:val="22"/>
                <w:szCs w:val="22"/>
                <w:color w:val="auto"/>
              </w:rPr>
            </w:pPr>
          </w:p>
        </w:tc>
      </w:tr>
      <w:tr>
        <w:trPr>
          <w:trHeight w:val="498"/>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38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color w:val="auto"/>
              </w:rPr>
              <w:t>99.1</w:t>
            </w:r>
          </w:p>
        </w:tc>
        <w:tc>
          <w:tcPr>
            <w:tcW w:w="4440" w:type="dxa"/>
            <w:vAlign w:val="bottom"/>
            <w:tcBorders>
              <w:bottom w:val="single" w:sz="8" w:color="0000FF"/>
            </w:tcBorders>
          </w:tcPr>
          <w:p>
            <w:pPr>
              <w:spacing w:after="0" w:line="212" w:lineRule="exact"/>
              <w:rPr>
                <w:sz w:val="20"/>
                <w:szCs w:val="20"/>
                <w:color w:val="auto"/>
              </w:rPr>
            </w:pPr>
            <w:r>
              <w:rPr>
                <w:rFonts w:ascii="Times New Roman" w:cs="Times New Roman" w:eastAsia="Times New Roman" w:hAnsi="Times New Roman"/>
                <w:sz w:val="20"/>
                <w:szCs w:val="20"/>
                <w:color w:val="0000FF"/>
                <w:w w:val="98"/>
              </w:rPr>
              <w:t>Press release dated March 9, 2023 (furnished herewith).</w:t>
            </w:r>
          </w:p>
        </w:tc>
        <w:tc>
          <w:tcPr>
            <w:tcW w:w="4420" w:type="dxa"/>
            <w:vAlign w:val="bottom"/>
          </w:tcPr>
          <w:p>
            <w:pPr>
              <w:spacing w:after="0"/>
              <w:rPr>
                <w:sz w:val="18"/>
                <w:szCs w:val="18"/>
                <w:color w:val="auto"/>
              </w:rPr>
            </w:pPr>
          </w:p>
        </w:tc>
      </w:tr>
      <w:tr>
        <w:trPr>
          <w:trHeight w:val="283"/>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59"/>
        </w:trPr>
        <w:tc>
          <w:tcPr>
            <w:tcW w:w="23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0"/>
          <w:szCs w:val="20"/>
          <w:color w:val="auto"/>
        </w:rPr>
        <w:t>Date: March 9, 2023</w:t>
      </w:r>
      <w:r>
        <w:rPr>
          <w:sz w:val="20"/>
          <w:szCs w:val="20"/>
          <w:color w:val="auto"/>
        </w:rPr>
        <w:tab/>
      </w:r>
      <w:r>
        <w:rPr>
          <w:rFonts w:ascii="Times New Roman" w:cs="Times New Roman" w:eastAsia="Times New Roman" w:hAnsi="Times New Roman"/>
          <w:sz w:val="19"/>
          <w:szCs w:val="19"/>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22860</wp:posOffset>
            </wp:positionV>
            <wp:extent cx="30943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Renee J. Peterson</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Vice President, Chief Financial Officer</w:t>
      </w:r>
    </w:p>
    <w:p>
      <w:pPr>
        <w:sectPr>
          <w:pgSz w:w="11900" w:h="16838" w:orient="portrait"/>
          <w:cols w:equalWidth="0" w:num="1">
            <w:col w:w="11080"/>
          </w:cols>
          <w:pgMar w:left="320" w:top="886" w:right="4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651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94410" cy="65151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Jeremy Steffan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887-7962, </w:t>
      </w:r>
      <w:r>
        <w:rPr>
          <w:rFonts w:ascii="Arial" w:cs="Arial" w:eastAsia="Arial" w:hAnsi="Arial"/>
          <w:sz w:val="18"/>
          <w:szCs w:val="18"/>
          <w:u w:val="single" w:color="auto"/>
          <w:color w:val="0000FF"/>
        </w:rPr>
        <w:t>jeremy.steffan@toro.com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Corporate Affairs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Reports Record Results for the First-Quarter of Fiscal 2023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Highlighted by Strong Professional Segment Performance and Improved Profitability</w:t>
      </w:r>
    </w:p>
    <w:p>
      <w:pPr>
        <w:spacing w:after="0" w:line="200" w:lineRule="exact"/>
        <w:rPr>
          <w:sz w:val="20"/>
          <w:szCs w:val="20"/>
          <w:color w:val="auto"/>
        </w:rPr>
      </w:pPr>
    </w:p>
    <w:p>
      <w:pPr>
        <w:spacing w:after="0" w:line="268"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Record first-quarter net sales of $1.15 billion, up 23% year over year</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First-quarter reported diluted EPS of $1.01, up 53% year over year</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Record first-quarter *adjusted diluted EPS of $0.98, up 49% year over year</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Reaffirms full-year fiscal 2023 net sales and *adjusted diluted EPS guidance</w:t>
      </w:r>
    </w:p>
    <w:p>
      <w:pPr>
        <w:spacing w:after="0" w:line="15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BLOOMINGTON, Minn.—(BUSINESS WIRE) — March 9, 2023—</w:t>
      </w:r>
      <w:r>
        <w:rPr>
          <w:rFonts w:ascii="Arial" w:cs="Arial" w:eastAsia="Arial" w:hAnsi="Arial"/>
          <w:sz w:val="20"/>
          <w:szCs w:val="20"/>
          <w:color w:val="auto"/>
        </w:rPr>
        <w:t>The Toro Company (NYSE: TTC) today reported results for</w:t>
      </w:r>
      <w:r>
        <w:rPr>
          <w:rFonts w:ascii="Arial" w:cs="Arial" w:eastAsia="Arial" w:hAnsi="Arial"/>
          <w:sz w:val="20"/>
          <w:szCs w:val="20"/>
          <w:b w:val="1"/>
          <w:bCs w:val="1"/>
          <w:color w:val="auto"/>
        </w:rPr>
        <w:t xml:space="preserve"> </w:t>
      </w:r>
      <w:r>
        <w:rPr>
          <w:rFonts w:ascii="Arial" w:cs="Arial" w:eastAsia="Arial" w:hAnsi="Arial"/>
          <w:sz w:val="20"/>
          <w:szCs w:val="20"/>
          <w:color w:val="auto"/>
        </w:rPr>
        <w:t>its fiscal first-quarter ended February 3, 2023.</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started fiscal 2023 with great momentum, and achieved record results for the first quarter,” said Richard M. Olson, chairman and chief executive officer. “We delivered top-line growth in both segments as demand for our innovative products remained strong, especially in key professional markets. Our dedicated team executed with their hallmark discipline, while keeping a sharp focus on serving our customers. This discipline, along with an improved supply chain, drove manufacturing efficiencies and profitability gains across the enterprise."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FIRST-QUARTER FISCAL 2023 FINANCIAL HIGHLIGHTS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Reported</w:t>
            </w: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Adjusted*</w:t>
            </w:r>
          </w:p>
        </w:tc>
        <w:tc>
          <w:tcPr>
            <w:tcW w:w="1320" w:type="dxa"/>
            <w:vAlign w:val="bottom"/>
            <w:tcBorders>
              <w:bottom w:val="single" w:sz="8" w:color="auto"/>
            </w:tcBorders>
          </w:tcPr>
          <w:p>
            <w:pPr>
              <w:spacing w:after="0"/>
              <w:rPr>
                <w:sz w:val="19"/>
                <w:szCs w:val="19"/>
                <w:color w:val="auto"/>
              </w:rPr>
            </w:pPr>
          </w:p>
        </w:tc>
      </w:tr>
      <w:tr>
        <w:trPr>
          <w:trHeight w:val="211"/>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FY23 Q1</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FY22 Q1</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FY23 Q1</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FY22 Q1</w:t>
            </w:r>
          </w:p>
        </w:tc>
        <w:tc>
          <w:tcPr>
            <w:tcW w:w="13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1,148.8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932.7</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106.9</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49 %</w:t>
            </w: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FIRST-QUARTER FISCAL 2023 SEGMENT RESULTS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77" w:lineRule="exact"/>
        <w:rPr>
          <w:sz w:val="20"/>
          <w:szCs w:val="20"/>
          <w:color w:val="auto"/>
        </w:rPr>
      </w:pPr>
    </w:p>
    <w:p>
      <w:pPr>
        <w:jc w:val="both"/>
        <w:ind w:left="660" w:hanging="328"/>
        <w:spacing w:after="0" w:line="248"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Professional segment net sales for the first quarter were $880.7 million, up 30.9% from $672.9 million in the same period last year. The increase was driven by higher shipments of products broadly across the segment, net price realization, and incremental revenue from the first quarter fiscal 2022 acquisition of the Intimidator Group.</w:t>
      </w:r>
    </w:p>
    <w:p>
      <w:pPr>
        <w:spacing w:after="0" w:line="151" w:lineRule="exact"/>
        <w:rPr>
          <w:rFonts w:ascii="Arial" w:cs="Arial" w:eastAsia="Arial" w:hAnsi="Arial"/>
          <w:sz w:val="20"/>
          <w:szCs w:val="20"/>
          <w:color w:val="auto"/>
        </w:rPr>
      </w:pPr>
    </w:p>
    <w:p>
      <w:pPr>
        <w:jc w:val="both"/>
        <w:ind w:left="660" w:hanging="328"/>
        <w:spacing w:after="0" w:line="244"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Professional segment earnings for the first quarter were $144.1 million, up 54.5% from $93.3 million in the same period last year, and, when expressed as a percentage of net sales, 16.4%, up from 13.9% in the prior-year period. The increase was primarily due to net price realization, net sales leverage, and productivity improvements, partially offset by higher material, freight, and manufacturing costs, and the addition of the Intimidator Group at a lower initial margin than the segment average.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77" w:lineRule="exact"/>
        <w:rPr>
          <w:sz w:val="20"/>
          <w:szCs w:val="20"/>
          <w:color w:val="auto"/>
        </w:rPr>
      </w:pPr>
    </w:p>
    <w:p>
      <w:pPr>
        <w:jc w:val="both"/>
        <w:ind w:left="660" w:hanging="328"/>
        <w:spacing w:after="0" w:line="25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Residential segment net sales for the first quarter were $264.6 million, up 3.6% from $255.4 million in the same period last year. The increase was primarily driven by net price realization and higher shipments of zero turn riding mowers, partially offset by lower shipments of snow products.</w:t>
      </w:r>
    </w:p>
    <w:p>
      <w:pPr>
        <w:spacing w:after="0" w:line="130"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Residential segment earnings for the first quarter were $37.8 million, up 19.1% from $31.8 million in the same period last year, and when expressed as a percentage of net sales, 14.3%, up from 12.4% in the prior-year period. The increase was largely driven by net price realization and productivity improvements, partially offset by higher material, freight, and manufacturing costs, and higher SG&amp;A expense.</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Gross margin for the first quarter was 34.5%, compared with 32.2% for the same prior-year period. The increase in gross margin was primarily due to net price realization and productivity improvements, partially offset by higher material, freight, and manufacturing costs, as well as the addition of the Intimidator Group at a lower initial gross margin than the company average.</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SG&amp;A expense as a percentage of net sales for the first quarter was 22.6%, compared with 22.4% in the prior-year period. The increase was due to higher warranty costs in certain of our professional segment businesses, partially offset by net sales leverage.</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Operating earnings as a percentage of net sales were 11.9% for the first quarter, compared with 9.8% in the same prior-year period. *Adjusted operating earnings as a percentage of net sales for the first quarter were 11.9%, compared with 9.9% in the same prior-year period.</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Interest expense was $14.1 million for the first quarter, up $7.1 million. The increase was driven by incremental borrowing to fund the Intimidator Group acquisition, and higher average interest rates.</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reported effective tax rate for the first quarter was 18.6% compared with 20.2% in fiscal 2022, primarily driven by higher tax benefits recorded as excess tax deductions for stock compensation in the current-year period. The *adjusted effective tax rate for the first quarter was 21.4% compared with 20.9% in fiscal 2022.</w:t>
      </w:r>
    </w:p>
    <w:p>
      <w:pPr>
        <w:sectPr>
          <w:pgSz w:w="11900" w:h="16838" w:orient="portrait"/>
          <w:cols w:equalWidth="0" w:num="1">
            <w:col w:w="11240"/>
          </w:cols>
          <w:pgMar w:left="320" w:top="1182"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"Our momentum continues to be supported by the exceptional demand and substantial order backlog for products in key professional end markets, as well as the expected benefits from our pricing and productivity initiatives,” concluded Olson. “Importantly, we anticipate continued improvements in the supply chain, which combined with our operational execution, position us to increase product availability and enhance profitability. In addition, we expect to benefit from our innovative product lineup, extensive service and support networks, and well-established market leadership, bolstered by the essential nature and regular replacement cycles of our products.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“Our team continues to operate with agility and resiliency, mindful of the current macroeconomic environment and guided by our enterprise strategic priorities of accelerating profitable growth, driving productivity and operational excellence, and empowering people. We are prioritizing investments in transformational technologies that can be leveraged across our broad portfolio, to promote the acceleration of new product development and capitalize on long-term growth opportunities. These investments, along with our trusted brands and outstanding team of employees and channel partners, are expected to strengthen our market leadership now and into the future, and drive value for all stakeholders.”</w:t>
      </w:r>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For fiscal 2023, management continues to expect net sales growth in the range of 7% to 10% and *adjusted diluted EPS in the range of $ 4.70 to $4.90. The estimated *adjusted diluted EPS range excludes the tax benefits recorded as excess tax deductions for stock compensation. The company's guidance is based on current visibility in this evolving and dynamic macro environment, and reflects expectations for strong demand across key professional markets, normalized seasonal demand patterns for residential and landscape contractor solutions, and continued operational execution. This guidance also assumes steady supply chain improvement throughout the year, with a return to a more typical distribution of quarterly sales.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*Non-GAAP financial measure. Please refer to the “Use of Non-GAAP Financial Information” for details regarding these measures, as well as the tables provided for a reconciliation of historical non-GAAP financial measures to the most comparable GAAP measures.</w:t>
      </w:r>
    </w:p>
    <w:p>
      <w:pPr>
        <w:sectPr>
          <w:pgSz w:w="11900" w:h="16838" w:orient="portrait"/>
          <w:cols w:equalWidth="0" w:num="1">
            <w:col w:w="11240"/>
          </w:cols>
          <w:pgMar w:left="320" w:top="1182"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March 9, 2023 at 10:00 a.m. CST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Toro Company will conduct its earnings call and webcast for investors beginning at 10:00 a.m. CST on March 9, 2023. The webcast will be available at www.thetorocompany.com/invest. Webcast participants will need to complete a brief registration form and should allocate extra time before the webcast begins to register and, if necessary, install audio software.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net sales of $4.5 billion in fiscal 2022, The Toro Company’s global presence extends to more than 125 countries through a family of brands that includes Toro, Ditch Witch, Exmark, Spartan Mowers, BOSS Snowplow, Ventrac, American Augers, Trencor, Pope, Subsite Electronics, HammerHead, Radius HDD,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20"/>
          <w:szCs w:val="20"/>
          <w:u w:val="single" w:color="auto"/>
          <w:color w:val="0000FF"/>
        </w:rPr>
        <w:t>www.thetorocompany.com</w:t>
      </w:r>
      <w:r>
        <w:rPr>
          <w:rFonts w:ascii="Arial" w:cs="Arial" w:eastAsia="Arial" w:hAnsi="Arial"/>
          <w:sz w:val="20"/>
          <w:szCs w:val="20"/>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9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This press release and our related earnings call reference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our related earnings call that are utilized as measures of our operating performance consist of gross profit, gross margin, operating earnings, earnings before income taxes, net earnings, diluted EPS, and the effective tax rate, each as adjusted. The non-GAAP financial measures included within this press release and our related earnings call that are utilized as measures of our liquidity consist of free cash flow and free cash flow conversion percentage.</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its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Toro Company does not provide a quantitative reconciliation of the company’s projected range for adjusted diluted EPS for fiscal 2023 to diluted EPS, which is the most directly comparable GAAP measure, in reliance on the unreasonable efforts exception provided under Item 10(e)(1)(i)(B) of Regulation S-K. The company’s adjusted diluted EPS guidance for fiscal 2023 excludes certain items that are inherently uncertain and difficult</w:t>
      </w:r>
    </w:p>
    <w:p>
      <w:pPr>
        <w:sectPr>
          <w:pgSz w:w="11900" w:h="16838" w:orient="portrait"/>
          <w:cols w:equalWidth="0" w:num="1">
            <w:col w:w="11240"/>
          </w:cols>
          <w:pgMar w:left="320" w:top="1182" w:right="339" w:bottom="1440" w:gutter="0" w:footer="0" w:header="0"/>
        </w:sectPr>
      </w:pPr>
    </w:p>
    <w:bookmarkStart w:id="8" w:name="page9"/>
    <w:bookmarkEnd w:id="8"/>
    <w:p>
      <w:pPr>
        <w:jc w:val="both"/>
        <w:spacing w:after="0" w:line="241" w:lineRule="auto"/>
        <w:rPr>
          <w:sz w:val="20"/>
          <w:szCs w:val="20"/>
          <w:color w:val="auto"/>
        </w:rPr>
      </w:pPr>
      <w:r>
        <w:rPr>
          <w:rFonts w:ascii="Arial" w:cs="Arial" w:eastAsia="Arial" w:hAnsi="Arial"/>
          <w:sz w:val="20"/>
          <w:szCs w:val="20"/>
          <w:color w:val="auto"/>
        </w:rPr>
        <w:t>to predict, including certain non-cash, large and/or unpredictable charges and benefits; acquisitions and dispositions; legal judgments, settlements, or other matters; and tax positions. Due to the uncertainty of the amount or timing of these future excluded items, management does not forecast them for internal use and therefore cannot create a quantitative adjusted diluted EPS for fiscal 2023 to diluted EPS reconciliation without unreasonable efforts. A quantitative reconciliation of adjusted diluted EPS for fiscal 2023 to diluted EPS would imply a degree of precision and certainty as to these future items that does not exist and could be confusing to investors. From a qualitative perspective, it is anticipated that the differences between adjusted diluted EPS for fiscal 2023 to diluted EPS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 The timing and amount of any of these excluded items could significantly impact the company’s diluted EPS for a particular period.</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“encourage,” “anticipate,” “continue,” “plan,” “estimate,” “project,” “target,” “improve,” “believe,” “become,” “should,” “could,” “will,” “would,” “possible,” “promise,” “may,” “likely,” “intend,” “can,” “seek,” “pursue,” “potential,” “pro forma,”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2023 financial guidance, and expectations for strong demand across key professional markets, normalized seasonal demand patterns for residential and landscape contractor solutions and continued operational execution, as well as supply chain improvement throughout the year, with a return to a more typical distribution of quarterly sales. Particular risks and uncertainties that may affect the company’s operating results or financial position include: adverse worldwide economic conditions, including inflationary pressures; disruption at or in proximity to its facilities or in its manufacturing or other operations, or those in its distribution channel customers, mass retailers or home centers where its products are sold, or suppliers; fluctuations in the cost and availability of commodities, components, parts, and accessories, including steel, engines, hydraulics and resins; COVID-19 related factors, risks and challenges; the effect of abnormal weather patterns; the effect of natural disasters, social unrest, war and global pandemics; the level of growth or contraction in its key markets; customer, government and municipal revenue, budget, spending levels and cash conservation efforts; loss of any substantial customer; inventory adjustments or changes in purchasing patterns by customers;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risks associated with acquisitions and dispositions, including the company's acquisition of Intimidator Group; impairment of goodwill or other intangible assets; impacts of any restructuring activities; management of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environmental, social, and governance practices; and other risks and uncertainties described in the company’s most recent annual report on Form 10-K, subsequent quarterly reports on Form 10-Q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40"/>
          </w:cols>
          <w:pgMar w:left="320" w:top="766"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Earnings (Unaudited)</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and shares in thousands, except per-share data)</w:t>
      </w:r>
    </w:p>
    <w:p>
      <w:pPr>
        <w:spacing w:after="0" w:line="195"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8"/>
              </w:rPr>
              <w:t>February 3, 2023</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January 28, 2022</w:t>
            </w:r>
          </w:p>
        </w:tc>
      </w:tr>
      <w:tr>
        <w:trPr>
          <w:trHeight w:val="21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1,148,840</w:t>
            </w:r>
          </w:p>
        </w:tc>
        <w:tc>
          <w:tcPr>
            <w:tcW w:w="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932,650</w:t>
            </w:r>
          </w:p>
        </w:tc>
      </w:tr>
      <w:tr>
        <w:trPr>
          <w:trHeight w:val="216"/>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752,916</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632,174</w:t>
            </w:r>
          </w:p>
        </w:tc>
      </w:tr>
      <w:tr>
        <w:trPr>
          <w:trHeight w:val="20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395,924</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300,476</w:t>
            </w:r>
          </w:p>
        </w:tc>
      </w:tr>
      <w:tr>
        <w:trPr>
          <w:trHeight w:val="216"/>
        </w:trPr>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Gross margin</w:t>
            </w:r>
          </w:p>
        </w:tc>
        <w:tc>
          <w:tcPr>
            <w:tcW w:w="1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34.5 %</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32.2 %</w:t>
            </w:r>
          </w:p>
        </w:tc>
      </w:tr>
      <w:tr>
        <w:trPr>
          <w:trHeight w:val="216"/>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1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259,497</w:t>
            </w: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208,850</w:t>
            </w:r>
          </w:p>
        </w:tc>
      </w:tr>
      <w:tr>
        <w:trPr>
          <w:trHeight w:val="209"/>
        </w:trPr>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earnings</w:t>
            </w:r>
          </w:p>
        </w:tc>
        <w:tc>
          <w:tcPr>
            <w:tcW w:w="1200" w:type="dxa"/>
            <w:vAlign w:val="bottom"/>
          </w:tcPr>
          <w:p>
            <w:pPr>
              <w:spacing w:after="0"/>
              <w:rPr>
                <w:sz w:val="18"/>
                <w:szCs w:val="18"/>
                <w:color w:val="auto"/>
              </w:rPr>
            </w:pPr>
          </w:p>
        </w:tc>
        <w:tc>
          <w:tcPr>
            <w:tcW w:w="14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136,427</w:t>
            </w:r>
          </w:p>
        </w:tc>
        <w:tc>
          <w:tcPr>
            <w:tcW w:w="420" w:type="dxa"/>
            <w:vAlign w:val="bottom"/>
          </w:tcPr>
          <w:p>
            <w:pPr>
              <w:spacing w:after="0"/>
              <w:rPr>
                <w:sz w:val="18"/>
                <w:szCs w:val="18"/>
                <w:color w:val="auto"/>
              </w:rPr>
            </w:pPr>
          </w:p>
        </w:tc>
        <w:tc>
          <w:tcPr>
            <w:tcW w:w="10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91,626</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(14,124)</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(7,013)</w:t>
            </w:r>
          </w:p>
        </w:tc>
      </w:tr>
      <w:tr>
        <w:trPr>
          <w:trHeight w:val="216"/>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9,011</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2,534</w:t>
            </w:r>
          </w:p>
        </w:tc>
      </w:tr>
      <w:tr>
        <w:trPr>
          <w:trHeight w:val="21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1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131,314</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87,147</w:t>
            </w:r>
          </w:p>
        </w:tc>
      </w:tr>
      <w:tr>
        <w:trPr>
          <w:trHeight w:val="216"/>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24,454</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17,637</w:t>
            </w:r>
          </w:p>
        </w:tc>
      </w:tr>
      <w:tr>
        <w:trPr>
          <w:trHeight w:val="234"/>
        </w:trPr>
        <w:tc>
          <w:tcPr>
            <w:tcW w:w="6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106,860</w:t>
            </w:r>
          </w:p>
        </w:tc>
        <w:tc>
          <w:tcPr>
            <w:tcW w:w="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69,510</w:t>
            </w:r>
          </w:p>
        </w:tc>
      </w:tr>
      <w:tr>
        <w:trPr>
          <w:trHeight w:val="20"/>
        </w:trPr>
        <w:tc>
          <w:tcPr>
            <w:tcW w:w="6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10"/>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earnings per share of common stock</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1.02</w:t>
            </w:r>
          </w:p>
        </w:tc>
        <w:tc>
          <w:tcPr>
            <w:tcW w:w="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0.66</w:t>
            </w:r>
          </w:p>
        </w:tc>
      </w:tr>
      <w:tr>
        <w:trPr>
          <w:trHeight w:val="88"/>
        </w:trPr>
        <w:tc>
          <w:tcPr>
            <w:tcW w:w="6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r>
      <w:tr>
        <w:trPr>
          <w:trHeight w:val="210"/>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earnings per share of common stock</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1.01</w:t>
            </w:r>
          </w:p>
        </w:tc>
        <w:tc>
          <w:tcPr>
            <w:tcW w:w="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0.66</w:t>
            </w:r>
          </w:p>
        </w:tc>
      </w:tr>
      <w:tr>
        <w:trPr>
          <w:trHeight w:val="88"/>
        </w:trPr>
        <w:tc>
          <w:tcPr>
            <w:tcW w:w="6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of common stock outstanding — Basic</w:t>
            </w:r>
          </w:p>
        </w:tc>
        <w:tc>
          <w:tcPr>
            <w:tcW w:w="1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104,501</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105,037</w:t>
            </w:r>
          </w:p>
        </w:tc>
      </w:tr>
      <w:tr>
        <w:trPr>
          <w:trHeight w:val="108"/>
        </w:trPr>
        <w:tc>
          <w:tcPr>
            <w:tcW w:w="6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16"/>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of common stock outstanding — Diluted</w:t>
            </w:r>
          </w:p>
        </w:tc>
        <w:tc>
          <w:tcPr>
            <w:tcW w:w="1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105,577</w:t>
            </w: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106,048</w:t>
            </w:r>
          </w:p>
        </w:tc>
      </w:tr>
    </w:tbl>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Segment Data (Unaudited)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19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Segment net sales</w:t>
            </w:r>
          </w:p>
        </w:tc>
        <w:tc>
          <w:tcPr>
            <w:tcW w:w="4040" w:type="dxa"/>
            <w:vAlign w:val="bottom"/>
            <w:tcBorders>
              <w:top w:val="single" w:sz="8" w:color="auto"/>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February 3, 2023</w:t>
            </w:r>
          </w:p>
        </w:tc>
        <w:tc>
          <w:tcPr>
            <w:tcW w:w="134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w w:val="98"/>
              </w:rPr>
              <w:t>January 28, 2022</w:t>
            </w: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30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880,660</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672,885</w:t>
            </w: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3000" w:type="dxa"/>
            <w:vAlign w:val="bottom"/>
          </w:tcPr>
          <w:p>
            <w:pPr>
              <w:spacing w:after="0"/>
              <w:rPr>
                <w:sz w:val="18"/>
                <w:szCs w:val="18"/>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264,615</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255,402</w:t>
            </w:r>
          </w:p>
        </w:tc>
      </w:tr>
      <w:tr>
        <w:trPr>
          <w:trHeight w:val="216"/>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3,565</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4,363</w:t>
            </w:r>
          </w:p>
        </w:tc>
      </w:tr>
      <w:tr>
        <w:trPr>
          <w:trHeight w:val="210"/>
        </w:trPr>
        <w:tc>
          <w:tcPr>
            <w:tcW w:w="5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net sales*</w:t>
            </w:r>
          </w:p>
        </w:tc>
        <w:tc>
          <w:tcPr>
            <w:tcW w:w="30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1,148,840</w:t>
            </w:r>
          </w:p>
        </w:tc>
        <w:tc>
          <w:tcPr>
            <w:tcW w:w="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932,650</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5"/>
        </w:trPr>
        <w:tc>
          <w:tcPr>
            <w:tcW w:w="504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21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*Includes international net sales of:</w:t>
            </w:r>
          </w:p>
        </w:tc>
        <w:tc>
          <w:tcPr>
            <w:tcW w:w="30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245,337</w:t>
            </w:r>
          </w:p>
        </w:tc>
        <w:tc>
          <w:tcPr>
            <w:tcW w:w="4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194,986</w:t>
            </w:r>
          </w:p>
        </w:tc>
      </w:tr>
    </w:tbl>
    <w:p>
      <w:pPr>
        <w:spacing w:after="0" w:line="27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Segment earnings (loss) before income taxes</w:t>
            </w:r>
          </w:p>
        </w:tc>
        <w:tc>
          <w:tcPr>
            <w:tcW w:w="3700" w:type="dxa"/>
            <w:vAlign w:val="bottom"/>
            <w:tcBorders>
              <w:top w:val="single" w:sz="8" w:color="auto"/>
              <w:bottom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February 3, 2023</w:t>
            </w:r>
          </w:p>
        </w:tc>
        <w:tc>
          <w:tcPr>
            <w:tcW w:w="13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w w:val="98"/>
              </w:rPr>
              <w:t>January 28, 2022</w:t>
            </w: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Professional</w:t>
            </w:r>
          </w:p>
        </w:tc>
        <w:tc>
          <w:tcPr>
            <w:tcW w:w="26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144,076</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center"/>
              <w:ind w:left="217"/>
              <w:spacing w:after="0"/>
              <w:rPr>
                <w:sz w:val="20"/>
                <w:szCs w:val="20"/>
                <w:color w:val="auto"/>
              </w:rPr>
            </w:pPr>
            <w:r>
              <w:rPr>
                <w:rFonts w:ascii="Times New Roman" w:cs="Times New Roman" w:eastAsia="Times New Roman" w:hAnsi="Times New Roman"/>
                <w:sz w:val="17"/>
                <w:szCs w:val="17"/>
                <w:color w:val="auto"/>
                <w:w w:val="98"/>
              </w:rPr>
              <w:t>93,272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Residential</w:t>
            </w:r>
          </w:p>
        </w:tc>
        <w:tc>
          <w:tcPr>
            <w:tcW w:w="2680" w:type="dxa"/>
            <w:vAlign w:val="bottom"/>
          </w:tcPr>
          <w:p>
            <w:pPr>
              <w:spacing w:after="0"/>
              <w:rPr>
                <w:sz w:val="18"/>
                <w:szCs w:val="18"/>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37,832</w:t>
            </w:r>
          </w:p>
        </w:tc>
        <w:tc>
          <w:tcPr>
            <w:tcW w:w="440" w:type="dxa"/>
            <w:vAlign w:val="bottom"/>
          </w:tcPr>
          <w:p>
            <w:pPr>
              <w:spacing w:after="0"/>
              <w:rPr>
                <w:sz w:val="18"/>
                <w:szCs w:val="18"/>
                <w:color w:val="auto"/>
              </w:rPr>
            </w:pPr>
          </w:p>
        </w:tc>
        <w:tc>
          <w:tcPr>
            <w:tcW w:w="880" w:type="dxa"/>
            <w:vAlign w:val="bottom"/>
          </w:tcPr>
          <w:p>
            <w:pPr>
              <w:jc w:val="center"/>
              <w:ind w:left="217"/>
              <w:spacing w:after="0"/>
              <w:rPr>
                <w:sz w:val="20"/>
                <w:szCs w:val="20"/>
                <w:color w:val="auto"/>
              </w:rPr>
            </w:pPr>
            <w:r>
              <w:rPr>
                <w:rFonts w:ascii="Times New Roman" w:cs="Times New Roman" w:eastAsia="Times New Roman" w:hAnsi="Times New Roman"/>
                <w:sz w:val="17"/>
                <w:szCs w:val="17"/>
                <w:color w:val="auto"/>
                <w:w w:val="98"/>
              </w:rPr>
              <w:t>31,760</w:t>
            </w:r>
          </w:p>
        </w:tc>
      </w:tr>
      <w:tr>
        <w:trPr>
          <w:trHeight w:val="216"/>
        </w:trPr>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6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(50,594)</w:t>
            </w: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left="177"/>
              <w:spacing w:after="0"/>
              <w:rPr>
                <w:sz w:val="20"/>
                <w:szCs w:val="20"/>
                <w:color w:val="auto"/>
              </w:rPr>
            </w:pPr>
            <w:r>
              <w:rPr>
                <w:rFonts w:ascii="Times New Roman" w:cs="Times New Roman" w:eastAsia="Times New Roman" w:hAnsi="Times New Roman"/>
                <w:sz w:val="17"/>
                <w:szCs w:val="17"/>
                <w:color w:val="auto"/>
                <w:w w:val="99"/>
              </w:rPr>
              <w:t>(37,885)</w:t>
            </w:r>
          </w:p>
        </w:tc>
      </w:tr>
      <w:tr>
        <w:trPr>
          <w:trHeight w:val="210"/>
        </w:trPr>
        <w:tc>
          <w:tcPr>
            <w:tcW w:w="5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Total segment earnings before income taxes</w:t>
            </w:r>
          </w:p>
        </w:tc>
        <w:tc>
          <w:tcPr>
            <w:tcW w:w="26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131,314</w:t>
            </w: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center"/>
              <w:ind w:left="217"/>
              <w:spacing w:after="0"/>
              <w:rPr>
                <w:sz w:val="20"/>
                <w:szCs w:val="20"/>
                <w:color w:val="auto"/>
              </w:rPr>
            </w:pPr>
            <w:r>
              <w:rPr>
                <w:rFonts w:ascii="Times New Roman" w:cs="Times New Roman" w:eastAsia="Times New Roman" w:hAnsi="Times New Roman"/>
                <w:sz w:val="17"/>
                <w:szCs w:val="17"/>
                <w:color w:val="auto"/>
                <w:w w:val="98"/>
              </w:rPr>
              <w:t>87,147</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420"/>
          </w:cols>
          <w:pgMar w:left="740" w:top="936" w:right="7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98"/>
              </w:rPr>
              <w:t>February 3, 2023</w:t>
            </w:r>
          </w:p>
        </w:tc>
        <w:tc>
          <w:tcPr>
            <w:tcW w:w="2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99"/>
              </w:rPr>
              <w:t>January 28, 2022</w:t>
            </w:r>
          </w:p>
        </w:tc>
        <w:tc>
          <w:tcPr>
            <w:tcW w:w="2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98"/>
              </w:rPr>
              <w:t>October 31, 2022</w:t>
            </w:r>
          </w:p>
        </w:tc>
      </w:tr>
      <w:tr>
        <w:trPr>
          <w:trHeight w:val="169"/>
        </w:trPr>
        <w:tc>
          <w:tcPr>
            <w:tcW w:w="20" w:type="dxa"/>
            <w:vAlign w:val="bottom"/>
            <w:shd w:val="clear" w:color="auto" w:fill="CCEEFF"/>
          </w:tcPr>
          <w:p>
            <w:pPr>
              <w:spacing w:after="0"/>
              <w:rPr>
                <w:sz w:val="14"/>
                <w:szCs w:val="14"/>
                <w:color w:val="auto"/>
              </w:rPr>
            </w:pPr>
          </w:p>
        </w:tc>
        <w:tc>
          <w:tcPr>
            <w:tcW w:w="488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ASSETS</w:t>
            </w:r>
          </w:p>
        </w:tc>
        <w:tc>
          <w:tcPr>
            <w:tcW w:w="15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174,037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192,959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188,250</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Receivables, net</w:t>
            </w:r>
          </w:p>
        </w:tc>
        <w:tc>
          <w:tcPr>
            <w:tcW w:w="15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377,262</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366,270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332,713</w:t>
            </w: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Inventories, net</w:t>
            </w:r>
          </w:p>
        </w:tc>
        <w:tc>
          <w:tcPr>
            <w:tcW w:w="158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1,131,438</w:t>
            </w:r>
          </w:p>
        </w:tc>
        <w:tc>
          <w:tcPr>
            <w:tcW w:w="2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832,072</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1,051,109</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8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5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74,957</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45,962</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103,279</w:t>
            </w:r>
          </w:p>
        </w:tc>
      </w:tr>
      <w:tr>
        <w:trPr>
          <w:trHeight w:val="209"/>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Total current assets</w:t>
            </w:r>
          </w:p>
        </w:tc>
        <w:tc>
          <w:tcPr>
            <w:tcW w:w="15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1,757,694</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1,437,263</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1,675,351</w:t>
            </w:r>
          </w:p>
        </w:tc>
      </w:tr>
      <w:tr>
        <w:trPr>
          <w:trHeight w:val="88"/>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8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58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584,147</w:t>
            </w:r>
          </w:p>
        </w:tc>
        <w:tc>
          <w:tcPr>
            <w:tcW w:w="2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507,549</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571,661</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15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584,550</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576,940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583,297</w:t>
            </w: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58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577,064</w:t>
            </w:r>
          </w:p>
        </w:tc>
        <w:tc>
          <w:tcPr>
            <w:tcW w:w="2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600,797</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585,832</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15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74,573</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78,306</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76,121</w:t>
            </w: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Investment in finance affiliate</w:t>
            </w:r>
          </w:p>
        </w:tc>
        <w:tc>
          <w:tcPr>
            <w:tcW w:w="158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45,726</w:t>
            </w:r>
          </w:p>
        </w:tc>
        <w:tc>
          <w:tcPr>
            <w:tcW w:w="2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24,119</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39,349</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5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11,747</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3,938</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5,310</w:t>
            </w:r>
          </w:p>
        </w:tc>
      </w:tr>
      <w:tr>
        <w:trPr>
          <w:trHeight w:val="216"/>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5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19,445</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24,133</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19,077</w:t>
            </w: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48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3,654,946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3,253,045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3,555,998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196"/>
        </w:trPr>
        <w:tc>
          <w:tcPr>
            <w:tcW w:w="20" w:type="dxa"/>
            <w:vAlign w:val="bottom"/>
            <w:shd w:val="clear" w:color="auto" w:fill="CCEEFF"/>
          </w:tcPr>
          <w:p>
            <w:pPr>
              <w:spacing w:after="0"/>
              <w:rPr>
                <w:sz w:val="17"/>
                <w:szCs w:val="17"/>
                <w:color w:val="auto"/>
              </w:rPr>
            </w:pPr>
          </w:p>
        </w:tc>
        <w:tc>
          <w:tcPr>
            <w:tcW w:w="48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15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CCEEFF"/>
            </w:tcBorders>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top w:val="single" w:sz="8" w:color="CCEEFF"/>
            </w:tcBorders>
          </w:tcPr>
          <w:p>
            <w:pPr>
              <w:jc w:val="right"/>
              <w:ind w:right="37"/>
              <w:spacing w:after="0"/>
              <w:rPr>
                <w:sz w:val="20"/>
                <w:szCs w:val="20"/>
                <w:color w:val="auto"/>
              </w:rPr>
            </w:pPr>
            <w:r>
              <w:rPr>
                <w:rFonts w:ascii="Times New Roman" w:cs="Times New Roman" w:eastAsia="Times New Roman" w:hAnsi="Times New Roman"/>
                <w:sz w:val="17"/>
                <w:szCs w:val="17"/>
                <w:color w:val="auto"/>
              </w:rPr>
              <w:t>100,000</w:t>
            </w: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5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475,218</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474,483</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578,624</w:t>
            </w: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158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496,793</w:t>
            </w:r>
          </w:p>
        </w:tc>
        <w:tc>
          <w:tcPr>
            <w:tcW w:w="2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395,739</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469,242</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88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15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15,962</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15,842</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15,747</w:t>
            </w: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5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987,973</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986,064</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1,063,613</w:t>
            </w:r>
          </w:p>
        </w:tc>
      </w:tr>
      <w:tr>
        <w:trPr>
          <w:trHeight w:val="88"/>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8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158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1,091,015</w:t>
            </w:r>
          </w:p>
        </w:tc>
        <w:tc>
          <w:tcPr>
            <w:tcW w:w="2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991,354</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990,768</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15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60,680</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65,760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63,604</w:t>
            </w: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58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31,444</w:t>
            </w:r>
          </w:p>
        </w:tc>
        <w:tc>
          <w:tcPr>
            <w:tcW w:w="2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50,382</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44,272</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5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39,663</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39,936</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42,040</w:t>
            </w: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5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Preferred stock</w:t>
            </w:r>
          </w:p>
        </w:tc>
        <w:tc>
          <w:tcPr>
            <w:tcW w:w="158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stock</w:t>
            </w:r>
          </w:p>
        </w:tc>
        <w:tc>
          <w:tcPr>
            <w:tcW w:w="15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104,283</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104,529</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103,970</w:t>
            </w:r>
          </w:p>
        </w:tc>
      </w:tr>
      <w:tr>
        <w:trPr>
          <w:trHeight w:val="216"/>
        </w:trPr>
        <w:tc>
          <w:tcPr>
            <w:tcW w:w="20" w:type="dxa"/>
            <w:vAlign w:val="bottom"/>
          </w:tcPr>
          <w:p>
            <w:pPr>
              <w:spacing w:after="0"/>
              <w:rPr>
                <w:sz w:val="18"/>
                <w:szCs w:val="18"/>
                <w:color w:val="auto"/>
              </w:rPr>
            </w:pPr>
          </w:p>
        </w:tc>
        <w:tc>
          <w:tcPr>
            <w:tcW w:w="48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Retained earnings</w:t>
            </w:r>
          </w:p>
        </w:tc>
        <w:tc>
          <w:tcPr>
            <w:tcW w:w="158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1,368,493</w:t>
            </w:r>
          </w:p>
        </w:tc>
        <w:tc>
          <w:tcPr>
            <w:tcW w:w="20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1,040,634</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1,280,856</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88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5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(28,605)</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(25,614)</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(33,125)</w:t>
            </w:r>
          </w:p>
        </w:tc>
      </w:tr>
      <w:tr>
        <w:trPr>
          <w:trHeight w:val="209"/>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5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1,444,171</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1,119,549</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1,351,701</w:t>
            </w:r>
          </w:p>
        </w:tc>
      </w:tr>
      <w:tr>
        <w:trPr>
          <w:trHeight w:val="235"/>
        </w:trPr>
        <w:tc>
          <w:tcPr>
            <w:tcW w:w="20" w:type="dxa"/>
            <w:vAlign w:val="bottom"/>
            <w:tcBorders>
              <w:bottom w:val="single" w:sz="8" w:color="auto"/>
            </w:tcBorders>
            <w:shd w:val="clear" w:color="auto" w:fill="CCEEFF"/>
          </w:tcPr>
          <w:p>
            <w:pPr>
              <w:spacing w:after="0"/>
              <w:rPr>
                <w:sz w:val="19"/>
                <w:szCs w:val="19"/>
                <w:color w:val="auto"/>
              </w:rPr>
            </w:pPr>
          </w:p>
        </w:tc>
        <w:tc>
          <w:tcPr>
            <w:tcW w:w="48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3,654,946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3,253,045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3,555,998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7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195"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Borders>
              <w:top w:val="single" w:sz="8" w:color="auto"/>
              <w:bottom w:val="single" w:sz="8" w:color="auto"/>
            </w:tcBorders>
          </w:tcPr>
          <w:p>
            <w:pPr>
              <w:spacing w:after="0"/>
              <w:rPr>
                <w:sz w:val="18"/>
                <w:szCs w:val="18"/>
                <w:color w:val="auto"/>
              </w:rPr>
            </w:pPr>
          </w:p>
        </w:tc>
        <w:tc>
          <w:tcPr>
            <w:tcW w:w="3020" w:type="dxa"/>
            <w:vAlign w:val="bottom"/>
            <w:tcBorders>
              <w:top w:val="single" w:sz="8" w:color="auto"/>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February 3, 2023</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January 28, 2022</w:t>
            </w: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204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106,860</w:t>
            </w:r>
          </w:p>
        </w:tc>
        <w:tc>
          <w:tcPr>
            <w:tcW w:w="44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69,510</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earnings to net cash used in operating activities:</w:t>
            </w:r>
          </w:p>
        </w:tc>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income from finance affiliate</w:t>
            </w:r>
          </w:p>
        </w:tc>
        <w:tc>
          <w:tcPr>
            <w:tcW w:w="20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(3,809)</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(1,398)</w:t>
            </w:r>
          </w:p>
        </w:tc>
      </w:tr>
      <w:tr>
        <w:trPr>
          <w:trHeight w:val="216"/>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Contributions to finance affiliate, net</w:t>
            </w:r>
          </w:p>
        </w:tc>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w:t>
            </w: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2040" w:type="dxa"/>
            <w:vAlign w:val="bottom"/>
          </w:tcPr>
          <w:p>
            <w:pPr>
              <w:spacing w:after="0"/>
              <w:rPr>
                <w:sz w:val="18"/>
                <w:szCs w:val="18"/>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19,152</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18,487</w:t>
            </w:r>
          </w:p>
        </w:tc>
      </w:tr>
      <w:tr>
        <w:trPr>
          <w:trHeight w:val="216"/>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other intangible assets</w:t>
            </w:r>
          </w:p>
        </w:tc>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9,129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6,456</w:t>
            </w: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040" w:type="dxa"/>
            <w:vAlign w:val="bottom"/>
          </w:tcPr>
          <w:p>
            <w:pPr>
              <w:spacing w:after="0"/>
              <w:rPr>
                <w:sz w:val="18"/>
                <w:szCs w:val="18"/>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5,224</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5,225</w:t>
            </w:r>
          </w:p>
        </w:tc>
      </w:tr>
      <w:tr>
        <w:trPr>
          <w:trHeight w:val="216"/>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 net of the effect of acquisitions:</w:t>
            </w:r>
          </w:p>
        </w:tc>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Receivables, net</w:t>
            </w:r>
          </w:p>
        </w:tc>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(42,495)</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(50,599)</w:t>
            </w: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20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(76,769)</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(59,171)</w:t>
            </w:r>
          </w:p>
        </w:tc>
      </w:tr>
      <w:tr>
        <w:trPr>
          <w:trHeight w:val="216"/>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(4,187)</w:t>
            </w:r>
          </w:p>
        </w:tc>
      </w:tr>
      <w:tr>
        <w:trPr>
          <w:trHeight w:val="216"/>
        </w:trPr>
        <w:tc>
          <w:tcPr>
            <w:tcW w:w="6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Accounts payable, accrued liabilities, and other liabilities</w:t>
            </w:r>
          </w:p>
        </w:tc>
        <w:tc>
          <w:tcPr>
            <w:tcW w:w="20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(81,980)</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(72,462)</w:t>
            </w:r>
          </w:p>
        </w:tc>
      </w:tr>
      <w:tr>
        <w:trPr>
          <w:trHeight w:val="209"/>
        </w:trPr>
        <w:tc>
          <w:tcPr>
            <w:tcW w:w="68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0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(68,849)</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(90,043)</w:t>
            </w:r>
          </w:p>
        </w:tc>
      </w:tr>
      <w:tr>
        <w:trPr>
          <w:trHeight w:val="75"/>
        </w:trPr>
        <w:tc>
          <w:tcPr>
            <w:tcW w:w="68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20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(29,329)</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(11,903)</w:t>
            </w:r>
          </w:p>
        </w:tc>
      </w:tr>
      <w:tr>
        <w:trPr>
          <w:trHeight w:val="216"/>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insurance claim</w:t>
            </w:r>
          </w:p>
        </w:tc>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7,114</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Business combinations, net of cash acquired</w:t>
            </w:r>
          </w:p>
        </w:tc>
        <w:tc>
          <w:tcPr>
            <w:tcW w:w="2040" w:type="dxa"/>
            <w:vAlign w:val="bottom"/>
          </w:tcPr>
          <w:p>
            <w:pPr>
              <w:spacing w:after="0"/>
              <w:rPr>
                <w:sz w:val="18"/>
                <w:szCs w:val="18"/>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(401,494)</w:t>
            </w:r>
          </w:p>
        </w:tc>
      </w:tr>
      <w:tr>
        <w:trPr>
          <w:trHeight w:val="216"/>
        </w:trPr>
        <w:tc>
          <w:tcPr>
            <w:tcW w:w="6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asset disposals</w:t>
            </w:r>
          </w:p>
        </w:tc>
        <w:tc>
          <w:tcPr>
            <w:tcW w:w="20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265</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0"/>
        </w:trPr>
        <w:tc>
          <w:tcPr>
            <w:tcW w:w="6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0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(21,950)</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(413,371)</w:t>
            </w:r>
          </w:p>
        </w:tc>
      </w:tr>
      <w:tr>
        <w:trPr>
          <w:trHeight w:val="75"/>
        </w:trPr>
        <w:tc>
          <w:tcPr>
            <w:tcW w:w="6800" w:type="dxa"/>
            <w:vAlign w:val="bottom"/>
            <w:shd w:val="clear" w:color="auto" w:fill="CCEEFF"/>
          </w:tcPr>
          <w:p>
            <w:pPr>
              <w:spacing w:after="0"/>
              <w:rPr>
                <w:sz w:val="6"/>
                <w:szCs w:val="6"/>
                <w:color w:val="auto"/>
              </w:rPr>
            </w:pPr>
          </w:p>
        </w:tc>
        <w:tc>
          <w:tcPr>
            <w:tcW w:w="20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Borrowings under debt arrangements</w:t>
            </w:r>
          </w:p>
        </w:tc>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170,000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under debt arrangements</w:t>
            </w:r>
          </w:p>
        </w:tc>
        <w:tc>
          <w:tcPr>
            <w:tcW w:w="20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14,029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w:t>
            </w: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withholding taxes for stock awards</w:t>
            </w:r>
          </w:p>
        </w:tc>
        <w:tc>
          <w:tcPr>
            <w:tcW w:w="20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(2,647)</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(1,381)</w:t>
            </w:r>
          </w:p>
        </w:tc>
      </w:tr>
      <w:tr>
        <w:trPr>
          <w:trHeight w:val="216"/>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Purchases of TTC common stock</w:t>
            </w:r>
          </w:p>
        </w:tc>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 paid on TTC common stock</w:t>
            </w:r>
          </w:p>
        </w:tc>
        <w:tc>
          <w:tcPr>
            <w:tcW w:w="20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(35,516)</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(31,469)</w:t>
            </w:r>
          </w:p>
        </w:tc>
      </w:tr>
      <w:tr>
        <w:trPr>
          <w:trHeight w:val="216"/>
        </w:trPr>
        <w:tc>
          <w:tcPr>
            <w:tcW w:w="6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20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6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0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74,391</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293,300</w:t>
            </w:r>
          </w:p>
        </w:tc>
      </w:tr>
      <w:tr>
        <w:trPr>
          <w:trHeight w:val="88"/>
        </w:trPr>
        <w:tc>
          <w:tcPr>
            <w:tcW w:w="6800" w:type="dxa"/>
            <w:vAlign w:val="bottom"/>
            <w:shd w:val="clear" w:color="auto" w:fill="CCEEFF"/>
          </w:tcPr>
          <w:p>
            <w:pPr>
              <w:spacing w:after="0"/>
              <w:rPr>
                <w:sz w:val="7"/>
                <w:szCs w:val="7"/>
                <w:color w:val="auto"/>
              </w:rPr>
            </w:pPr>
          </w:p>
        </w:tc>
        <w:tc>
          <w:tcPr>
            <w:tcW w:w="20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16"/>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20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2,195</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w:t>
            </w:r>
          </w:p>
        </w:tc>
      </w:tr>
      <w:tr>
        <w:trPr>
          <w:trHeight w:val="88"/>
        </w:trPr>
        <w:tc>
          <w:tcPr>
            <w:tcW w:w="6800" w:type="dxa"/>
            <w:vAlign w:val="bottom"/>
            <w:shd w:val="clear" w:color="auto" w:fill="CCEEFF"/>
          </w:tcPr>
          <w:p>
            <w:pPr>
              <w:spacing w:after="0"/>
              <w:rPr>
                <w:sz w:val="7"/>
                <w:szCs w:val="7"/>
                <w:color w:val="auto"/>
              </w:rPr>
            </w:pPr>
          </w:p>
        </w:tc>
        <w:tc>
          <w:tcPr>
            <w:tcW w:w="20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16"/>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20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(14,213)</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(212,653)</w:t>
            </w:r>
          </w:p>
        </w:tc>
      </w:tr>
      <w:tr>
        <w:trPr>
          <w:trHeight w:val="210"/>
        </w:trPr>
        <w:tc>
          <w:tcPr>
            <w:tcW w:w="6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beginning of the fiscal period</w:t>
            </w:r>
          </w:p>
        </w:tc>
        <w:tc>
          <w:tcPr>
            <w:tcW w:w="20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188,250</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405,612</w:t>
            </w:r>
          </w:p>
        </w:tc>
      </w:tr>
      <w:tr>
        <w:trPr>
          <w:trHeight w:val="210"/>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end of the fiscal period</w:t>
            </w:r>
          </w:p>
        </w:tc>
        <w:tc>
          <w:tcPr>
            <w:tcW w:w="20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174,037</w:t>
            </w:r>
          </w:p>
        </w:tc>
        <w:tc>
          <w:tcPr>
            <w:tcW w:w="4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192,959</w:t>
            </w:r>
          </w:p>
        </w:tc>
      </w:tr>
      <w:tr>
        <w:trPr>
          <w:trHeight w:val="20"/>
        </w:trPr>
        <w:tc>
          <w:tcPr>
            <w:tcW w:w="68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per-share data)</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provides a reconciliation of the non-GAAP financial performance measures used in this press release and our related earnings call to the most directly comparable measures calculated and reported in accordance with U.S. GAAP for the three month periods ended February 3, 2023 and January 28, 2022:</w:t>
      </w:r>
    </w:p>
    <w:p>
      <w:pPr>
        <w:spacing w:after="0" w:line="193"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40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w w:val="99"/>
              </w:rPr>
              <w:t>February 3, 2023</w:t>
            </w: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January 28, 2022</w:t>
            </w:r>
          </w:p>
        </w:tc>
      </w:tr>
      <w:tr>
        <w:trPr>
          <w:trHeight w:val="20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395,924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300,476</w:t>
            </w:r>
          </w:p>
        </w:tc>
      </w:tr>
      <w:tr>
        <w:trPr>
          <w:trHeight w:val="216"/>
        </w:trPr>
        <w:tc>
          <w:tcPr>
            <w:tcW w:w="54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2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225</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gross profit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396,149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300,476</w:t>
            </w:r>
          </w:p>
        </w:tc>
      </w:tr>
      <w:tr>
        <w:trPr>
          <w:trHeight w:val="88"/>
        </w:trPr>
        <w:tc>
          <w:tcPr>
            <w:tcW w:w="5400" w:type="dxa"/>
            <w:vAlign w:val="bottom"/>
            <w:tcBorders>
              <w:bottom w:val="single" w:sz="8" w:color="auto"/>
            </w:tcBorders>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earnings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136,427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91,626</w:t>
            </w:r>
          </w:p>
        </w:tc>
      </w:tr>
      <w:tr>
        <w:trPr>
          <w:trHeight w:val="216"/>
        </w:trPr>
        <w:tc>
          <w:tcPr>
            <w:tcW w:w="54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2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447</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1,016</w:t>
            </w:r>
          </w:p>
        </w:tc>
      </w:tr>
      <w:tr>
        <w:trPr>
          <w:trHeight w:val="209"/>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operating earnings</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136,874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92,642</w:t>
            </w:r>
          </w:p>
        </w:tc>
      </w:tr>
      <w:tr>
        <w:trPr>
          <w:trHeight w:val="88"/>
        </w:trPr>
        <w:tc>
          <w:tcPr>
            <w:tcW w:w="5400" w:type="dxa"/>
            <w:vAlign w:val="bottom"/>
            <w:tcBorders>
              <w:bottom w:val="single" w:sz="8" w:color="auto"/>
            </w:tcBorders>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earnings margin</w:t>
            </w:r>
          </w:p>
        </w:tc>
        <w:tc>
          <w:tcPr>
            <w:tcW w:w="26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11.9 %</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9.8 %</w:t>
            </w:r>
          </w:p>
        </w:tc>
      </w:tr>
      <w:tr>
        <w:trPr>
          <w:trHeight w:val="216"/>
        </w:trPr>
        <w:tc>
          <w:tcPr>
            <w:tcW w:w="54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2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09"/>
        </w:trPr>
        <w:tc>
          <w:tcPr>
            <w:tcW w:w="5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Adjusted operating earnings margin</w:t>
            </w:r>
          </w:p>
        </w:tc>
        <w:tc>
          <w:tcPr>
            <w:tcW w:w="26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11.9 %</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9.9 %</w:t>
            </w:r>
          </w:p>
        </w:tc>
      </w:tr>
      <w:tr>
        <w:trPr>
          <w:trHeight w:val="88"/>
        </w:trPr>
        <w:tc>
          <w:tcPr>
            <w:tcW w:w="540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131,314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87,147</w:t>
            </w:r>
          </w:p>
        </w:tc>
      </w:tr>
      <w:tr>
        <w:trPr>
          <w:trHeight w:val="216"/>
        </w:trPr>
        <w:tc>
          <w:tcPr>
            <w:tcW w:w="54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2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447</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1,016</w:t>
            </w:r>
          </w:p>
        </w:tc>
      </w:tr>
      <w:tr>
        <w:trPr>
          <w:trHeight w:val="209"/>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earnings before income taxes</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131,761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88,163</w:t>
            </w:r>
          </w:p>
        </w:tc>
      </w:tr>
      <w:tr>
        <w:trPr>
          <w:trHeight w:val="88"/>
        </w:trPr>
        <w:tc>
          <w:tcPr>
            <w:tcW w:w="5400" w:type="dxa"/>
            <w:vAlign w:val="bottom"/>
            <w:tcBorders>
              <w:bottom w:val="single" w:sz="8" w:color="auto"/>
            </w:tcBorders>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106,860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69,510</w:t>
            </w:r>
          </w:p>
        </w:tc>
      </w:tr>
      <w:tr>
        <w:trPr>
          <w:trHeight w:val="216"/>
        </w:trPr>
        <w:tc>
          <w:tcPr>
            <w:tcW w:w="54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26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351</w:t>
            </w:r>
          </w:p>
        </w:tc>
        <w:tc>
          <w:tcPr>
            <w:tcW w:w="200" w:type="dxa"/>
            <w:vAlign w:val="bottom"/>
          </w:tcPr>
          <w:p>
            <w:pPr>
              <w:spacing w:after="0"/>
              <w:rPr>
                <w:sz w:val="18"/>
                <w:szCs w:val="18"/>
                <w:color w:val="auto"/>
              </w:rPr>
            </w:pPr>
          </w:p>
        </w:tc>
        <w:tc>
          <w:tcPr>
            <w:tcW w:w="14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804</w:t>
            </w:r>
          </w:p>
        </w:tc>
      </w:tr>
      <w:tr>
        <w:trPr>
          <w:trHeight w:val="216"/>
        </w:trPr>
        <w:tc>
          <w:tcPr>
            <w:tcW w:w="540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2</w:t>
            </w:r>
          </w:p>
        </w:tc>
        <w:tc>
          <w:tcPr>
            <w:tcW w:w="26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(3,605)</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(620)</w:t>
            </w: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net earnings</w:t>
            </w: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103,606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69,694</w:t>
            </w:r>
          </w:p>
        </w:tc>
      </w:tr>
      <w:tr>
        <w:trPr>
          <w:trHeight w:val="88"/>
        </w:trPr>
        <w:tc>
          <w:tcPr>
            <w:tcW w:w="5400" w:type="dxa"/>
            <w:vAlign w:val="bottom"/>
            <w:tcBorders>
              <w:bottom w:val="single" w:sz="8" w:color="auto"/>
            </w:tcBorders>
            <w:shd w:val="clear" w:color="auto" w:fill="CCEEFF"/>
          </w:tcPr>
          <w:p>
            <w:pPr>
              <w:spacing w:after="0"/>
              <w:rPr>
                <w:sz w:val="7"/>
                <w:szCs w:val="7"/>
                <w:color w:val="auto"/>
              </w:rPr>
            </w:pPr>
          </w:p>
        </w:tc>
        <w:tc>
          <w:tcPr>
            <w:tcW w:w="2640" w:type="dxa"/>
            <w:vAlign w:val="bottom"/>
            <w:tcBorders>
              <w:bottom w:val="single" w:sz="8" w:color="auto"/>
            </w:tcBorders>
            <w:shd w:val="clear" w:color="auto" w:fill="CCEEFF"/>
          </w:tcPr>
          <w:p>
            <w:pPr>
              <w:spacing w:after="0"/>
              <w:rPr>
                <w:sz w:val="7"/>
                <w:szCs w:val="7"/>
                <w:color w:val="auto"/>
              </w:rPr>
            </w:pPr>
          </w:p>
        </w:tc>
        <w:tc>
          <w:tcPr>
            <w:tcW w:w="150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460" w:type="dxa"/>
            <w:vAlign w:val="bottom"/>
            <w:tcBorders>
              <w:bottom w:val="single" w:sz="8" w:color="auto"/>
            </w:tcBorders>
            <w:shd w:val="clear" w:color="auto" w:fill="CCEEFF"/>
          </w:tcPr>
          <w:p>
            <w:pPr>
              <w:spacing w:after="0"/>
              <w:rPr>
                <w:sz w:val="7"/>
                <w:szCs w:val="7"/>
                <w:color w:val="auto"/>
              </w:rPr>
            </w:pPr>
          </w:p>
        </w:tc>
      </w:tr>
      <w:tr>
        <w:trPr>
          <w:trHeight w:val="210"/>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1.01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0.66</w:t>
            </w:r>
          </w:p>
        </w:tc>
      </w:tr>
      <w:tr>
        <w:trPr>
          <w:trHeight w:val="216"/>
        </w:trPr>
        <w:tc>
          <w:tcPr>
            <w:tcW w:w="54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26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0.01</w:t>
            </w:r>
          </w:p>
        </w:tc>
      </w:tr>
      <w:tr>
        <w:trPr>
          <w:trHeight w:val="216"/>
        </w:trPr>
        <w:tc>
          <w:tcPr>
            <w:tcW w:w="54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2</w:t>
            </w:r>
          </w:p>
        </w:tc>
        <w:tc>
          <w:tcPr>
            <w:tcW w:w="2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(0.03)</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(0.01)</w:t>
            </w:r>
          </w:p>
        </w:tc>
      </w:tr>
      <w:tr>
        <w:trPr>
          <w:trHeight w:val="234"/>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diluted EPS</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0.66</w:t>
            </w:r>
          </w:p>
        </w:tc>
      </w:tr>
      <w:tr>
        <w:trPr>
          <w:trHeight w:val="20"/>
        </w:trPr>
        <w:tc>
          <w:tcPr>
            <w:tcW w:w="540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54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26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18.6 %</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20.2 %</w:t>
            </w:r>
          </w:p>
        </w:tc>
      </w:tr>
      <w:tr>
        <w:trPr>
          <w:trHeight w:val="216"/>
        </w:trPr>
        <w:tc>
          <w:tcPr>
            <w:tcW w:w="54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2</w:t>
            </w:r>
          </w:p>
        </w:tc>
        <w:tc>
          <w:tcPr>
            <w:tcW w:w="2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0.7 %</w:t>
            </w:r>
          </w:p>
        </w:tc>
      </w:tr>
      <w:tr>
        <w:trPr>
          <w:trHeight w:val="235"/>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effective tax rate</w:t>
            </w:r>
          </w:p>
        </w:tc>
        <w:tc>
          <w:tcPr>
            <w:tcW w:w="26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21.4 %</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20.9 %</w:t>
            </w:r>
          </w:p>
        </w:tc>
      </w:tr>
      <w:tr>
        <w:trPr>
          <w:trHeight w:val="20"/>
        </w:trPr>
        <w:tc>
          <w:tcPr>
            <w:tcW w:w="540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260" w:right="20" w:hanging="171"/>
        <w:spacing w:after="0" w:line="221" w:lineRule="auto"/>
        <w:tabs>
          <w:tab w:leader="none" w:pos="319"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January 13, 2022, the company completed the acquisition of Intimidator. Acquisition-related costs for the three month period ended February 3, 2023 represent integration costs. Acquisition-related costs for the three month period ended January 28, 2022 represent transaction and integration costs incurred in connection with the acquisition.</w:t>
      </w:r>
    </w:p>
    <w:p>
      <w:pPr>
        <w:spacing w:after="0" w:line="96" w:lineRule="exact"/>
        <w:rPr>
          <w:sz w:val="20"/>
          <w:szCs w:val="20"/>
          <w:color w:val="auto"/>
        </w:rPr>
      </w:pPr>
    </w:p>
    <w:p>
      <w:pPr>
        <w:jc w:val="both"/>
        <w:ind w:left="260" w:hanging="171"/>
        <w:spacing w:after="0" w:line="235" w:lineRule="auto"/>
        <w:tabs>
          <w:tab w:leader="none" w:pos="238"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month periods ended February 3, 2023 and January 28, 2022.</w:t>
      </w:r>
    </w:p>
    <w:p>
      <w:pPr>
        <w:sectPr>
          <w:pgSz w:w="11900" w:h="16838" w:orient="portrait"/>
          <w:cols w:equalWidth="0" w:num="1">
            <w:col w:w="11240"/>
          </w:cols>
          <w:pgMar w:left="320" w:top="117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Reconciliation of Non-GAAP Liquidity Measures</w:t>
      </w:r>
    </w:p>
    <w:p>
      <w:pPr>
        <w:spacing w:after="0" w:line="1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defines free cash flow as net cash provided by operating activities less purchases of property, plant and equipment, net of proceeds from insurance claim. Free cash flow conversion percentage represents free cash flow as a percentage of net earnings. The company considers free cash flow and free cash flow conversion percentage to be non-GAAP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provides a reconciliation of non-GAAP free cash flow and free cash flow conversion percentage to net cash provided by operating activities, which is the most directly comparable financial measure calculated and reported in accordance with U.S. GAAP, for the </w:t>
      </w:r>
      <w:r>
        <w:rPr>
          <w:rFonts w:ascii="Times New Roman" w:cs="Times New Roman" w:eastAsia="Times New Roman" w:hAnsi="Times New Roman"/>
          <w:sz w:val="16"/>
          <w:szCs w:val="16"/>
          <w:color w:val="auto"/>
        </w:rPr>
        <w:t>three</w:t>
      </w:r>
      <w:r>
        <w:rPr>
          <w:rFonts w:ascii="Times New Roman" w:cs="Times New Roman" w:eastAsia="Times New Roman" w:hAnsi="Times New Roman"/>
          <w:sz w:val="18"/>
          <w:szCs w:val="18"/>
          <w:color w:val="auto"/>
        </w:rPr>
        <w:t xml:space="preserve"> month periods ended February 3, 2023 and January 28, 2022:</w:t>
      </w:r>
    </w:p>
    <w:p>
      <w:pPr>
        <w:spacing w:after="0" w:line="166"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25"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6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9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99"/>
              </w:rPr>
              <w:t>February 3, 2023</w:t>
            </w: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98"/>
              </w:rPr>
              <w:t>January 28, 2022</w:t>
            </w:r>
          </w:p>
        </w:tc>
      </w:tr>
      <w:tr>
        <w:trPr>
          <w:trHeight w:val="20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(68,849)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(90,043)</w:t>
            </w:r>
          </w:p>
        </w:tc>
      </w:tr>
      <w:tr>
        <w:trPr>
          <w:trHeight w:val="216"/>
        </w:trPr>
        <w:tc>
          <w:tcPr>
            <w:tcW w:w="6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Less: Purchases of property, plant and equipment, net of proceeds from insurance claim</w:t>
            </w:r>
          </w:p>
        </w:tc>
        <w:tc>
          <w:tcPr>
            <w:tcW w:w="9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22,215</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11,903</w:t>
            </w:r>
          </w:p>
        </w:tc>
      </w:tr>
      <w:tr>
        <w:trPr>
          <w:trHeight w:val="210"/>
        </w:trPr>
        <w:tc>
          <w:tcPr>
            <w:tcW w:w="6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Free cash flow</w:t>
            </w:r>
          </w:p>
        </w:tc>
        <w:tc>
          <w:tcPr>
            <w:tcW w:w="9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(91,064)</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(101,946)</w:t>
            </w:r>
          </w:p>
        </w:tc>
      </w:tr>
      <w:tr>
        <w:trPr>
          <w:trHeight w:val="216"/>
        </w:trPr>
        <w:tc>
          <w:tcPr>
            <w:tcW w:w="6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106,860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69,510</w:t>
            </w:r>
          </w:p>
        </w:tc>
      </w:tr>
      <w:tr>
        <w:trPr>
          <w:trHeight w:val="234"/>
        </w:trPr>
        <w:tc>
          <w:tcPr>
            <w:tcW w:w="68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Free cash flow conversion percentage</w:t>
            </w:r>
          </w:p>
        </w:tc>
        <w:tc>
          <w:tcPr>
            <w:tcW w:w="9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w:t>
            </w:r>
          </w:p>
        </w:tc>
      </w:tr>
      <w:tr>
        <w:trPr>
          <w:trHeight w:val="20"/>
        </w:trPr>
        <w:tc>
          <w:tcPr>
            <w:tcW w:w="68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t>
      </w:r>
    </w:p>
    <w:sectPr>
      <w:pgSz w:w="11900" w:h="16838" w:orient="portrait"/>
      <w:cols w:equalWidth="0" w:num="1">
        <w:col w:w="11240"/>
      </w:cols>
      <w:pgMar w:left="320" w:top="11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952"/>
    </w:lvl>
  </w:abstractNum>
  <w:abstractNum w:abstractNumId="2">
    <w:nsid w:val="3D1B58BA"/>
    <w:multiLevelType w:val="hybridMultilevel"/>
    <w:lvl w:ilvl="0">
      <w:lvlJc w:val="left"/>
      <w:lvlText w:val="(%1)"/>
      <w:numFmt w:val="decimal"/>
      <w:start w:val="95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2023-03-09T07:50:43Z</dcterms:created>
  <dcterms:modified xsi:type="dcterms:W3CDTF">2023-03-09T07:50:43Z</dcterms:modified>
</cp:coreProperties>
</file>