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6304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304280"/>
                    </a:xfrm>
                    <a:prstGeom prst="rect">
                      <a:avLst/>
                    </a:prstGeom>
                    <a:noFill/>
                  </pic:spPr>
                </pic:pic>
              </a:graphicData>
            </a:graphic>
          </wp:anchor>
        </w:drawing>
      </w:r>
    </w:p>
    <w:p>
      <w:pPr>
        <w:spacing w:after="0" w:line="1247" w:lineRule="exact"/>
        <w:rPr>
          <w:sz w:val="24"/>
          <w:szCs w:val="24"/>
          <w:color w:val="auto"/>
        </w:rPr>
      </w:pPr>
    </w:p>
    <w:p>
      <w:pPr>
        <w:sectPr>
          <w:pgSz w:w="11900" w:h="16985" w:orient="portrait"/>
          <w:cols w:equalWidth="0" w:num="2">
            <w:col w:w="2340" w:space="240"/>
            <w:col w:w="8500"/>
          </w:cols>
          <w:pgMar w:left="460" w:top="218"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Svendsen Kurt D</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06/23/2026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48"/>
        <w:spacing w:after="0"/>
        <w:rPr>
          <w:sz w:val="20"/>
          <w:szCs w:val="20"/>
          <w:color w:val="auto"/>
        </w:rPr>
      </w:pPr>
      <w:r>
        <w:rPr>
          <w:rFonts w:ascii="Times New Roman" w:cs="Times New Roman" w:eastAsia="Times New Roman" w:hAnsi="Times New Roman"/>
          <w:sz w:val="17"/>
          <w:szCs w:val="17"/>
          <w:color w:val="0000FF"/>
        </w:rPr>
        <w:t>VP, Technology</w:t>
      </w:r>
    </w:p>
    <w:p>
      <w:pPr>
        <w:spacing w:after="0" w:line="314" w:lineRule="exact"/>
        <w:rPr>
          <w:sz w:val="24"/>
          <w:szCs w:val="24"/>
          <w:color w:val="auto"/>
        </w:rPr>
      </w:pPr>
    </w:p>
    <w:p>
      <w:pPr>
        <w:sectPr>
          <w:pgSz w:w="11900" w:h="16985" w:orient="portrait"/>
          <w:cols w:equalWidth="0" w:num="3">
            <w:col w:w="3180" w:space="720"/>
            <w:col w:w="3112" w:space="720"/>
            <w:col w:w="3348"/>
          </w:cols>
          <w:pgMar w:left="460" w:top="218"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7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w w:val="89"/>
              </w:rPr>
              <w:t>Line)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55420-1196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8"/>
          </w:tcPr>
          <w:p>
            <w:pPr>
              <w:ind w:left="2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2"/>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48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06/23/2026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ind w:right="56"/>
              <w:spacing w:after="0"/>
              <w:rPr>
                <w:sz w:val="20"/>
                <w:szCs w:val="20"/>
                <w:color w:val="auto"/>
              </w:rPr>
            </w:pPr>
            <w:r>
              <w:rPr>
                <w:rFonts w:ascii="Times New Roman" w:cs="Times New Roman" w:eastAsia="Times New Roman" w:hAnsi="Times New Roman"/>
                <w:sz w:val="17"/>
                <w:szCs w:val="17"/>
                <w:color w:val="0000FF"/>
              </w:rPr>
              <w:t>6,600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56.54</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18,766.46</w:t>
            </w:r>
            <w:r>
              <w:rPr>
                <w:rFonts w:ascii="Times New Roman" w:cs="Times New Roman" w:eastAsia="Times New Roman" w:hAnsi="Times New Roman"/>
                <w:sz w:val="21"/>
                <w:szCs w:val="21"/>
                <w:color w:val="008000"/>
                <w:w w:val="94"/>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06/23/2026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56"/>
              <w:spacing w:after="0"/>
              <w:rPr>
                <w:sz w:val="20"/>
                <w:szCs w:val="20"/>
                <w:color w:val="auto"/>
              </w:rPr>
            </w:pPr>
            <w:r>
              <w:rPr>
                <w:rFonts w:ascii="Times New Roman" w:cs="Times New Roman" w:eastAsia="Times New Roman" w:hAnsi="Times New Roman"/>
                <w:sz w:val="17"/>
                <w:szCs w:val="17"/>
                <w:color w:val="0000FF"/>
              </w:rPr>
              <w:t>6,600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93.09</w:t>
            </w:r>
            <w:r>
              <w:rPr>
                <w:rFonts w:ascii="Times New Roman" w:cs="Times New Roman" w:eastAsia="Times New Roman" w:hAnsi="Times New Roman"/>
                <w:sz w:val="21"/>
                <w:szCs w:val="21"/>
                <w:color w:val="008000"/>
                <w:w w:val="90"/>
                <w:vertAlign w:val="superscript"/>
              </w:rPr>
              <w:t>(2)</w:t>
            </w: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12,166.46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11,576.729</w:t>
            </w:r>
            <w:r>
              <w:rPr>
                <w:rFonts w:ascii="Times New Roman" w:cs="Times New Roman" w:eastAsia="Times New Roman" w:hAnsi="Times New Roman"/>
                <w:sz w:val="21"/>
                <w:szCs w:val="21"/>
                <w:color w:val="008000"/>
                <w:w w:val="92"/>
                <w:vertAlign w:val="superscript"/>
              </w:rPr>
              <w:t>(3)</w:t>
            </w:r>
          </w:p>
        </w:tc>
        <w:tc>
          <w:tcPr>
            <w:tcW w:w="34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6,405.374</w:t>
            </w:r>
            <w:r>
              <w:rPr>
                <w:rFonts w:ascii="Times New Roman" w:cs="Times New Roman" w:eastAsia="Times New Roman" w:hAnsi="Times New Roman"/>
                <w:sz w:val="21"/>
                <w:szCs w:val="21"/>
                <w:color w:val="008000"/>
                <w:w w:val="94"/>
                <w:vertAlign w:val="superscript"/>
              </w:rPr>
              <w:t>(4)</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56.54</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06/23/2026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6,600</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0000FF"/>
              </w:rPr>
              <w:t>12/09/2026</w:t>
            </w:r>
          </w:p>
        </w:tc>
        <w:tc>
          <w:tcPr>
            <w:tcW w:w="5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6,600</w:t>
            </w:r>
          </w:p>
        </w:tc>
        <w:tc>
          <w:tcPr>
            <w:tcW w:w="60" w:type="dxa"/>
            <w:vAlign w:val="bottom"/>
          </w:tcPr>
          <w:p>
            <w:pPr>
              <w:spacing w:after="0"/>
              <w:rPr>
                <w:sz w:val="12"/>
                <w:szCs w:val="12"/>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2"/>
                <w:szCs w:val="12"/>
                <w:color w:val="auto"/>
              </w:rPr>
            </w:pPr>
          </w:p>
        </w:tc>
        <w:tc>
          <w:tcPr>
            <w:tcW w:w="5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(6)</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(7)</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1,182.7</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jc w:val="right"/>
              <w:ind w:right="162"/>
              <w:spacing w:after="0" w:line="129" w:lineRule="exact"/>
              <w:rPr>
                <w:sz w:val="20"/>
                <w:szCs w:val="20"/>
                <w:color w:val="auto"/>
              </w:rPr>
            </w:pPr>
            <w:r>
              <w:rPr>
                <w:rFonts w:ascii="Times New Roman" w:cs="Times New Roman" w:eastAsia="Times New Roman" w:hAnsi="Times New Roman"/>
                <w:sz w:val="13"/>
                <w:szCs w:val="13"/>
                <w:color w:val="0000FF"/>
              </w:rPr>
              <w:t>1,182.7</w:t>
            </w:r>
          </w:p>
        </w:tc>
        <w:tc>
          <w:tcPr>
            <w:tcW w:w="54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-2540000</wp:posOffset>
            </wp:positionV>
            <wp:extent cx="29210" cy="254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5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48.475 shares acquired by the reporting person since the date of his last report under a dividend reinvestment feature of the account in which the shares are held.</w:t>
      </w:r>
    </w:p>
    <w:p>
      <w:pPr>
        <w:spacing w:after="0" w:line="44" w:lineRule="exact"/>
        <w:rPr>
          <w:rFonts w:ascii="Times New Roman" w:cs="Times New Roman" w:eastAsia="Times New Roman" w:hAnsi="Times New Roman"/>
          <w:sz w:val="13"/>
          <w:szCs w:val="13"/>
          <w:color w:val="008000"/>
        </w:rPr>
      </w:pPr>
    </w:p>
    <w:p>
      <w:pPr>
        <w:jc w:val="both"/>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$93.12 per share to $93.24 per share, inclusive. The reporting person undertakes to provide to The Toro Company, any security holder of The Toro Company,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46.354 net shares acquired under the dividend reinvestment feature of The Toro Company Retirement Plan less quarterly non-discretionary administrative fees.</w:t>
      </w:r>
    </w:p>
    <w:p>
      <w:pPr>
        <w:spacing w:after="0" w:line="44" w:lineRule="exact"/>
        <w:rPr>
          <w:rFonts w:ascii="Times New Roman" w:cs="Times New Roman" w:eastAsia="Times New Roman" w:hAnsi="Times New Roman"/>
          <w:sz w:val="13"/>
          <w:szCs w:val="13"/>
          <w:color w:val="008000"/>
        </w:rPr>
      </w:pPr>
    </w:p>
    <w:p>
      <w:pPr>
        <w:ind w:left="40" w:right="5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25.652 performance share units acquired by the reporting person since the date of his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9, 2016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in three equal annual installments commencing on the first anniversary of the December 22, 2025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3"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487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-20320</wp:posOffset>
            </wp:positionV>
            <wp:extent cx="302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226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9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85" w:orient="portrait"/>
          <w:cols w:equalWidth="0" w:num="1">
            <w:col w:w="11080"/>
          </w:cols>
          <w:pgMar w:left="460" w:top="218"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194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2026-06-24T16:17:59Z</dcterms:created>
  <dcterms:modified xsi:type="dcterms:W3CDTF">2026-06-24T16:17:59Z</dcterms:modified>
</cp:coreProperties>
</file>