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233680</wp:posOffset>
            </wp:positionH>
            <wp:positionV relativeFrom="page">
              <wp:posOffset>697230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662940</wp:posOffset>
            </wp:positionV>
            <wp:extent cx="70891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890"/>
                    </a:xfrm>
                    <a:prstGeom prst="rect">
                      <a:avLst/>
                    </a:prstGeom>
                    <a:noFill/>
                  </pic:spPr>
                </pic:pic>
              </a:graphicData>
            </a:graphic>
          </wp:anchor>
        </w:drawing>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111760</wp:posOffset>
            </wp:positionV>
            <wp:extent cx="17570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34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83185</wp:posOffset>
            </wp:positionV>
            <wp:extent cx="17570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jc w:val="center"/>
        <w:spacing w:after="0"/>
        <w:rPr>
          <w:sz w:val="20"/>
          <w:szCs w:val="20"/>
          <w:color w:val="auto"/>
        </w:rPr>
      </w:pPr>
      <w:r>
        <w:rPr>
          <w:rFonts w:ascii="Arial" w:cs="Arial" w:eastAsia="Arial" w:hAnsi="Arial"/>
          <w:sz w:val="19"/>
          <w:szCs w:val="19"/>
          <w:color w:val="auto"/>
        </w:rPr>
        <w:t>Date of Report (Date of earliest event reported): September 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122555</wp:posOffset>
            </wp:positionV>
            <wp:extent cx="17570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THE TORO COMPANY</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117475</wp:posOffset>
            </wp:positionV>
            <wp:extent cx="17570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85" w:lineRule="exact"/>
        <w:rPr>
          <w:sz w:val="24"/>
          <w:szCs w:val="24"/>
          <w:color w:val="auto"/>
        </w:rPr>
      </w:pPr>
    </w:p>
    <w:tbl>
      <w:tblPr>
        <w:tblLayout w:type="fixed"/>
        <w:tblInd w:w="480" w:type="dxa"/>
        <w:tblCellMar>
          <w:top w:w="0" w:type="dxa"/>
          <w:left w:w="0" w:type="dxa"/>
          <w:bottom w:w="0" w:type="dxa"/>
          <w:right w:w="0" w:type="dxa"/>
        </w:tblCellMar>
      </w:tblPr>
      <w:tr>
        <w:trPr>
          <w:trHeight w:val="246"/>
        </w:trPr>
        <w:tc>
          <w:tcPr>
            <w:tcW w:w="3660" w:type="dxa"/>
            <w:vAlign w:val="bottom"/>
          </w:tcPr>
          <w:p>
            <w:pPr>
              <w:jc w:val="center"/>
              <w:ind w:right="407"/>
              <w:spacing w:after="0"/>
              <w:rPr>
                <w:sz w:val="20"/>
                <w:szCs w:val="20"/>
                <w:color w:val="auto"/>
              </w:rPr>
            </w:pPr>
            <w:r>
              <w:rPr>
                <w:rFonts w:ascii="Arial" w:cs="Arial" w:eastAsia="Arial" w:hAnsi="Arial"/>
                <w:sz w:val="19"/>
                <w:szCs w:val="19"/>
                <w:b w:val="1"/>
                <w:bCs w:val="1"/>
                <w:color w:val="auto"/>
                <w:w w:val="91"/>
              </w:rPr>
              <w:t>Delaware</w:t>
            </w:r>
          </w:p>
        </w:tc>
        <w:tc>
          <w:tcPr>
            <w:tcW w:w="3100" w:type="dxa"/>
            <w:vAlign w:val="bottom"/>
          </w:tcPr>
          <w:p>
            <w:pPr>
              <w:jc w:val="right"/>
              <w:ind w:right="1268"/>
              <w:spacing w:after="0"/>
              <w:rPr>
                <w:sz w:val="20"/>
                <w:szCs w:val="20"/>
                <w:color w:val="auto"/>
              </w:rPr>
            </w:pPr>
            <w:r>
              <w:rPr>
                <w:rFonts w:ascii="Arial" w:cs="Arial" w:eastAsia="Arial" w:hAnsi="Arial"/>
                <w:sz w:val="19"/>
                <w:szCs w:val="19"/>
                <w:b w:val="1"/>
                <w:bCs w:val="1"/>
                <w:color w:val="auto"/>
              </w:rPr>
              <w:t>1-8649</w:t>
            </w:r>
          </w:p>
        </w:tc>
        <w:tc>
          <w:tcPr>
            <w:tcW w:w="3240" w:type="dxa"/>
            <w:vAlign w:val="bottom"/>
          </w:tcPr>
          <w:p>
            <w:pPr>
              <w:jc w:val="center"/>
              <w:ind w:left="548"/>
              <w:spacing w:after="0"/>
              <w:rPr>
                <w:sz w:val="20"/>
                <w:szCs w:val="20"/>
                <w:color w:val="auto"/>
              </w:rPr>
            </w:pPr>
            <w:r>
              <w:rPr>
                <w:rFonts w:ascii="Arial" w:cs="Arial" w:eastAsia="Arial" w:hAnsi="Arial"/>
                <w:sz w:val="19"/>
                <w:szCs w:val="19"/>
                <w:b w:val="1"/>
                <w:bCs w:val="1"/>
                <w:color w:val="auto"/>
                <w:w w:val="90"/>
              </w:rPr>
              <w:t>41-0580470</w:t>
            </w:r>
          </w:p>
        </w:tc>
        <w:tc>
          <w:tcPr>
            <w:tcW w:w="0" w:type="dxa"/>
            <w:vAlign w:val="bottom"/>
          </w:tcPr>
          <w:p>
            <w:pPr>
              <w:spacing w:after="0"/>
              <w:rPr>
                <w:sz w:val="1"/>
                <w:szCs w:val="1"/>
                <w:color w:val="auto"/>
              </w:rPr>
            </w:pPr>
          </w:p>
        </w:tc>
      </w:tr>
      <w:tr>
        <w:trPr>
          <w:trHeight w:val="241"/>
        </w:trPr>
        <w:tc>
          <w:tcPr>
            <w:tcW w:w="3660" w:type="dxa"/>
            <w:vAlign w:val="bottom"/>
          </w:tcPr>
          <w:p>
            <w:pPr>
              <w:jc w:val="center"/>
              <w:ind w:right="407"/>
              <w:spacing w:after="0"/>
              <w:rPr>
                <w:sz w:val="20"/>
                <w:szCs w:val="20"/>
                <w:color w:val="auto"/>
              </w:rPr>
            </w:pPr>
            <w:r>
              <w:rPr>
                <w:rFonts w:ascii="Arial" w:cs="Arial" w:eastAsia="Arial" w:hAnsi="Arial"/>
                <w:sz w:val="18"/>
                <w:szCs w:val="18"/>
                <w:color w:val="auto"/>
                <w:w w:val="92"/>
              </w:rPr>
              <w:t>(State or other jurisdiction of incorporation)</w:t>
            </w:r>
          </w:p>
        </w:tc>
        <w:tc>
          <w:tcPr>
            <w:tcW w:w="3100" w:type="dxa"/>
            <w:vAlign w:val="bottom"/>
          </w:tcPr>
          <w:p>
            <w:pPr>
              <w:jc w:val="center"/>
              <w:ind w:right="48"/>
              <w:spacing w:after="0"/>
              <w:rPr>
                <w:sz w:val="20"/>
                <w:szCs w:val="20"/>
                <w:color w:val="auto"/>
              </w:rPr>
            </w:pPr>
            <w:r>
              <w:rPr>
                <w:rFonts w:ascii="Arial" w:cs="Arial" w:eastAsia="Arial" w:hAnsi="Arial"/>
                <w:sz w:val="18"/>
                <w:szCs w:val="18"/>
                <w:color w:val="auto"/>
                <w:w w:val="93"/>
              </w:rPr>
              <w:t>(Commission File Number)</w:t>
            </w:r>
          </w:p>
        </w:tc>
        <w:tc>
          <w:tcPr>
            <w:tcW w:w="3240" w:type="dxa"/>
            <w:vAlign w:val="bottom"/>
          </w:tcPr>
          <w:p>
            <w:pPr>
              <w:jc w:val="center"/>
              <w:ind w:left="528"/>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391"/>
        </w:trPr>
        <w:tc>
          <w:tcPr>
            <w:tcW w:w="3660" w:type="dxa"/>
            <w:vAlign w:val="bottom"/>
          </w:tcPr>
          <w:p>
            <w:pPr>
              <w:jc w:val="center"/>
              <w:ind w:right="387"/>
              <w:spacing w:after="0"/>
              <w:rPr>
                <w:sz w:val="20"/>
                <w:szCs w:val="20"/>
                <w:color w:val="auto"/>
              </w:rPr>
            </w:pPr>
            <w:r>
              <w:rPr>
                <w:rFonts w:ascii="Arial" w:cs="Arial" w:eastAsia="Arial" w:hAnsi="Arial"/>
                <w:sz w:val="19"/>
                <w:szCs w:val="19"/>
                <w:b w:val="1"/>
                <w:bCs w:val="1"/>
                <w:color w:val="auto"/>
                <w:w w:val="87"/>
              </w:rPr>
              <w:t>8111 Lyndale Avenue South</w:t>
            </w:r>
          </w:p>
        </w:tc>
        <w:tc>
          <w:tcPr>
            <w:tcW w:w="3100" w:type="dxa"/>
            <w:vAlign w:val="bottom"/>
          </w:tcPr>
          <w:p>
            <w:pPr>
              <w:spacing w:after="0"/>
              <w:rPr>
                <w:sz w:val="24"/>
                <w:szCs w:val="24"/>
                <w:color w:val="auto"/>
              </w:rPr>
            </w:pPr>
          </w:p>
        </w:tc>
        <w:tc>
          <w:tcPr>
            <w:tcW w:w="3240" w:type="dxa"/>
            <w:vAlign w:val="bottom"/>
            <w:vMerge w:val="restart"/>
          </w:tcPr>
          <w:p>
            <w:pPr>
              <w:jc w:val="right"/>
              <w:ind w:right="948"/>
              <w:spacing w:after="0"/>
              <w:rPr>
                <w:sz w:val="20"/>
                <w:szCs w:val="20"/>
                <w:color w:val="auto"/>
              </w:rPr>
            </w:pPr>
            <w:r>
              <w:rPr>
                <w:rFonts w:ascii="Arial" w:cs="Arial" w:eastAsia="Arial" w:hAnsi="Arial"/>
                <w:sz w:val="19"/>
                <w:szCs w:val="19"/>
                <w:b w:val="1"/>
                <w:bCs w:val="1"/>
                <w:color w:val="auto"/>
              </w:rPr>
              <w:t>55420</w:t>
            </w:r>
          </w:p>
        </w:tc>
        <w:tc>
          <w:tcPr>
            <w:tcW w:w="0" w:type="dxa"/>
            <w:vAlign w:val="bottom"/>
          </w:tcPr>
          <w:p>
            <w:pPr>
              <w:spacing w:after="0"/>
              <w:rPr>
                <w:sz w:val="1"/>
                <w:szCs w:val="1"/>
                <w:color w:val="auto"/>
              </w:rPr>
            </w:pPr>
          </w:p>
        </w:tc>
      </w:tr>
      <w:tr>
        <w:trPr>
          <w:trHeight w:val="246"/>
        </w:trPr>
        <w:tc>
          <w:tcPr>
            <w:tcW w:w="3660" w:type="dxa"/>
            <w:vAlign w:val="bottom"/>
          </w:tcPr>
          <w:p>
            <w:pPr>
              <w:jc w:val="center"/>
              <w:ind w:right="387"/>
              <w:spacing w:after="0"/>
              <w:rPr>
                <w:sz w:val="20"/>
                <w:szCs w:val="20"/>
                <w:color w:val="auto"/>
              </w:rPr>
            </w:pPr>
            <w:r>
              <w:rPr>
                <w:rFonts w:ascii="Arial" w:cs="Arial" w:eastAsia="Arial" w:hAnsi="Arial"/>
                <w:sz w:val="19"/>
                <w:szCs w:val="19"/>
                <w:b w:val="1"/>
                <w:bCs w:val="1"/>
                <w:color w:val="auto"/>
                <w:w w:val="89"/>
              </w:rPr>
              <w:t>Bloomington, Minnesota</w:t>
            </w:r>
          </w:p>
        </w:tc>
        <w:tc>
          <w:tcPr>
            <w:tcW w:w="3100" w:type="dxa"/>
            <w:vAlign w:val="bottom"/>
          </w:tcPr>
          <w:p>
            <w:pPr>
              <w:spacing w:after="0"/>
              <w:rPr>
                <w:sz w:val="21"/>
                <w:szCs w:val="21"/>
                <w:color w:val="auto"/>
              </w:rPr>
            </w:pPr>
          </w:p>
        </w:tc>
        <w:tc>
          <w:tcPr>
            <w:tcW w:w="3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3660" w:type="dxa"/>
            <w:vAlign w:val="bottom"/>
          </w:tcPr>
          <w:p>
            <w:pPr>
              <w:jc w:val="center"/>
              <w:ind w:right="387"/>
              <w:spacing w:after="0"/>
              <w:rPr>
                <w:sz w:val="20"/>
                <w:szCs w:val="20"/>
                <w:color w:val="auto"/>
              </w:rPr>
            </w:pPr>
            <w:r>
              <w:rPr>
                <w:rFonts w:ascii="Arial" w:cs="Arial" w:eastAsia="Arial" w:hAnsi="Arial"/>
                <w:sz w:val="18"/>
                <w:szCs w:val="18"/>
                <w:color w:val="auto"/>
                <w:w w:val="92"/>
              </w:rPr>
              <w:t>(Address of principal executive offices)</w:t>
            </w:r>
          </w:p>
        </w:tc>
        <w:tc>
          <w:tcPr>
            <w:tcW w:w="3100" w:type="dxa"/>
            <w:vAlign w:val="bottom"/>
          </w:tcPr>
          <w:p>
            <w:pPr>
              <w:spacing w:after="0"/>
              <w:rPr>
                <w:sz w:val="20"/>
                <w:szCs w:val="20"/>
                <w:color w:val="auto"/>
              </w:rPr>
            </w:pPr>
          </w:p>
        </w:tc>
        <w:tc>
          <w:tcPr>
            <w:tcW w:w="3240" w:type="dxa"/>
            <w:vAlign w:val="bottom"/>
          </w:tcPr>
          <w:p>
            <w:pPr>
              <w:jc w:val="center"/>
              <w:ind w:left="548"/>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bl>
    <w:p>
      <w:pPr>
        <w:spacing w:after="0" w:line="363"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 xml:space="preserve">Registrant's telephone number, including area code: </w:t>
      </w:r>
      <w:r>
        <w:rPr>
          <w:rFonts w:ascii="Arial" w:cs="Arial" w:eastAsia="Arial" w:hAnsi="Arial"/>
          <w:sz w:val="19"/>
          <w:szCs w:val="19"/>
          <w:b w:val="1"/>
          <w:bCs w:val="1"/>
          <w:color w:val="auto"/>
        </w:rPr>
        <w:t>(952) 888-8801</w:t>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Not Applicable</w:t>
      </w:r>
    </w:p>
    <w:p>
      <w:pPr>
        <w:spacing w:after="0" w:line="7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126365</wp:posOffset>
            </wp:positionV>
            <wp:extent cx="17570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57045" cy="889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spacing w:after="0" w:line="276" w:lineRule="auto"/>
        <w:rPr>
          <w:sz w:val="20"/>
          <w:szCs w:val="20"/>
          <w:color w:val="auto"/>
        </w:rPr>
      </w:pPr>
      <w:r>
        <w:rPr>
          <w:rFonts w:ascii="Arial" w:cs="Arial" w:eastAsia="Arial" w:hAnsi="Arial"/>
          <w:sz w:val="19"/>
          <w:szCs w:val="19"/>
          <w:color w:val="auto"/>
        </w:rPr>
        <w:t>Check the appropriate box below if the Form 8-K filing is intended to simultaneously satisfy the filing obligation of the registrant under any of the following provisions:</w:t>
      </w:r>
    </w:p>
    <w:p>
      <w:pPr>
        <w:spacing w:after="0" w:line="213"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Written communications pursuant to Rule 425 under the Securities Act (17 CFR 230.425)</w:t>
      </w:r>
    </w:p>
    <w:p>
      <w:pPr>
        <w:spacing w:after="0" w:line="267" w:lineRule="exact"/>
        <w:rPr>
          <w:rFonts w:ascii="MS PGothic" w:cs="MS PGothic" w:eastAsia="MS PGothic" w:hAnsi="MS PGothic"/>
          <w:sz w:val="19"/>
          <w:szCs w:val="19"/>
          <w:color w:val="auto"/>
        </w:rPr>
      </w:pPr>
    </w:p>
    <w:p>
      <w:pPr>
        <w:ind w:left="240" w:hanging="232"/>
        <w:spacing w:after="0"/>
        <w:tabs>
          <w:tab w:leader="none" w:pos="24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Soliciting material pursuant to Rule 14a-12 under the Exchange Act (17 CFR 240.14a-12)</w:t>
      </w:r>
    </w:p>
    <w:p>
      <w:pPr>
        <w:spacing w:after="0" w:line="267" w:lineRule="exact"/>
        <w:rPr>
          <w:rFonts w:ascii="MS PGothic" w:cs="MS PGothic" w:eastAsia="MS PGothic" w:hAnsi="MS PGothic"/>
          <w:sz w:val="19"/>
          <w:szCs w:val="19"/>
          <w:color w:val="auto"/>
        </w:rPr>
      </w:pPr>
    </w:p>
    <w:p>
      <w:pPr>
        <w:ind w:left="240" w:hanging="232"/>
        <w:spacing w:after="0"/>
        <w:tabs>
          <w:tab w:leader="none" w:pos="24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Pre-commencement communications pursuant to Rule 14d-2(b) under the Exchange Act (17 CFR 240.14d-2(b))</w:t>
      </w:r>
    </w:p>
    <w:p>
      <w:pPr>
        <w:spacing w:after="0" w:line="254" w:lineRule="exact"/>
        <w:rPr>
          <w:rFonts w:ascii="MS PGothic" w:cs="MS PGothic" w:eastAsia="MS PGothic" w:hAnsi="MS PGothic"/>
          <w:sz w:val="19"/>
          <w:szCs w:val="19"/>
          <w:color w:val="auto"/>
        </w:rPr>
      </w:pPr>
    </w:p>
    <w:p>
      <w:pPr>
        <w:ind w:right="2560" w:firstLine="8"/>
        <w:spacing w:after="0" w:line="464" w:lineRule="auto"/>
        <w:tabs>
          <w:tab w:leader="none" w:pos="228"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Pre-commencement communications pursuant to Rule 13e-4(c) under the Exchange Act (17 CFR 240.13e-4(c)) Securities registered pursuant to Section 12(b) of the Act:</w:t>
      </w:r>
    </w:p>
    <w:tbl>
      <w:tblPr>
        <w:tblLayout w:type="fixed"/>
        <w:tblInd w:w="50" w:type="dxa"/>
        <w:tblCellMar>
          <w:top w:w="0" w:type="dxa"/>
          <w:left w:w="0" w:type="dxa"/>
          <w:bottom w:w="0" w:type="dxa"/>
          <w:right w:w="0" w:type="dxa"/>
        </w:tblCellMar>
      </w:tblPr>
      <w:tr>
        <w:trPr>
          <w:trHeight w:val="208"/>
        </w:trPr>
        <w:tc>
          <w:tcPr>
            <w:tcW w:w="41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Title of each class</w:t>
            </w:r>
          </w:p>
        </w:tc>
        <w:tc>
          <w:tcPr>
            <w:tcW w:w="30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40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226"/>
        </w:trPr>
        <w:tc>
          <w:tcPr>
            <w:tcW w:w="41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$1.00 per share</w:t>
            </w:r>
          </w:p>
        </w:tc>
        <w:tc>
          <w:tcPr>
            <w:tcW w:w="3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TTC</w:t>
            </w:r>
          </w:p>
        </w:tc>
        <w:tc>
          <w:tcPr>
            <w:tcW w:w="4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bl>
    <w:p>
      <w:pPr>
        <w:spacing w:after="0" w:line="302" w:lineRule="exact"/>
        <w:rPr>
          <w:sz w:val="24"/>
          <w:szCs w:val="24"/>
          <w:color w:val="auto"/>
        </w:rPr>
      </w:pPr>
    </w:p>
    <w:p>
      <w:pPr>
        <w:jc w:val="both"/>
        <w:spacing w:after="0" w:line="276"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6" w:lineRule="exact"/>
        <w:rPr>
          <w:sz w:val="24"/>
          <w:szCs w:val="24"/>
          <w:color w:val="auto"/>
        </w:rPr>
      </w:pPr>
    </w:p>
    <w:p>
      <w:pPr>
        <w:ind w:left="896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324" w:lineRule="exact"/>
        <w:rPr>
          <w:sz w:val="24"/>
          <w:szCs w:val="24"/>
          <w:color w:val="auto"/>
        </w:rPr>
      </w:pPr>
    </w:p>
    <w:p>
      <w:pPr>
        <w:jc w:val="both"/>
        <w:spacing w:after="0" w:line="256"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705485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92075</wp:posOffset>
            </wp:positionV>
            <wp:extent cx="7089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57785</wp:posOffset>
            </wp:positionV>
            <wp:extent cx="70891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color w:val="auto"/>
        </w:rPr>
        <w:t>On September 7, 2023, The Toro Company announced its earnings for the three and nine month periods ended August 4, 2023.</w:t>
      </w:r>
    </w:p>
    <w:p>
      <w:pPr>
        <w:spacing w:after="0" w:line="254"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Attached to this Current Report on Form 8-K as Exhibit 99.1 is a copy of The Toro Company’s press release in connection with the announcement. The information in this Item 2.02, including the exhibit attached hereto, is furnished pursuant to Item 2.02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380" w:type="dxa"/>
            <w:vAlign w:val="bottom"/>
          </w:tcPr>
          <w:p>
            <w:pPr>
              <w:spacing w:after="0"/>
              <w:rPr>
                <w:sz w:val="20"/>
                <w:szCs w:val="20"/>
                <w:color w:val="auto"/>
              </w:rPr>
            </w:pPr>
            <w:r>
              <w:rPr>
                <w:rFonts w:ascii="Arial" w:cs="Arial" w:eastAsia="Arial" w:hAnsi="Arial"/>
                <w:sz w:val="20"/>
                <w:szCs w:val="20"/>
                <w:color w:val="auto"/>
              </w:rPr>
              <w:t>(d)  Exhibits.</w:t>
            </w:r>
          </w:p>
        </w:tc>
        <w:tc>
          <w:tcPr>
            <w:tcW w:w="4760" w:type="dxa"/>
            <w:vAlign w:val="bottom"/>
          </w:tcPr>
          <w:p>
            <w:pPr>
              <w:spacing w:after="0"/>
              <w:rPr>
                <w:sz w:val="21"/>
                <w:szCs w:val="21"/>
                <w:color w:val="auto"/>
              </w:rPr>
            </w:pPr>
          </w:p>
        </w:tc>
        <w:tc>
          <w:tcPr>
            <w:tcW w:w="4100" w:type="dxa"/>
            <w:vAlign w:val="bottom"/>
          </w:tcPr>
          <w:p>
            <w:pPr>
              <w:spacing w:after="0"/>
              <w:rPr>
                <w:sz w:val="21"/>
                <w:szCs w:val="21"/>
                <w:color w:val="auto"/>
              </w:rPr>
            </w:pPr>
          </w:p>
        </w:tc>
      </w:tr>
      <w:tr>
        <w:trPr>
          <w:trHeight w:val="486"/>
        </w:trPr>
        <w:tc>
          <w:tcPr>
            <w:tcW w:w="2380" w:type="dxa"/>
            <w:vAlign w:val="bottom"/>
          </w:tcPr>
          <w:p>
            <w:pPr>
              <w:ind w:left="220"/>
              <w:spacing w:after="0"/>
              <w:rPr>
                <w:sz w:val="20"/>
                <w:szCs w:val="20"/>
                <w:color w:val="auto"/>
              </w:rPr>
            </w:pPr>
            <w:r>
              <w:rPr>
                <w:rFonts w:ascii="Arial" w:cs="Arial" w:eastAsia="Arial" w:hAnsi="Arial"/>
                <w:sz w:val="20"/>
                <w:szCs w:val="20"/>
                <w:b w:val="1"/>
                <w:bCs w:val="1"/>
                <w:color w:val="auto"/>
              </w:rPr>
              <w:t>Exhibit No.</w:t>
            </w:r>
          </w:p>
        </w:tc>
        <w:tc>
          <w:tcPr>
            <w:tcW w:w="8860" w:type="dxa"/>
            <w:vAlign w:val="bottom"/>
            <w:gridSpan w:val="2"/>
          </w:tcPr>
          <w:p>
            <w:pPr>
              <w:spacing w:after="0"/>
              <w:rPr>
                <w:sz w:val="20"/>
                <w:szCs w:val="20"/>
                <w:color w:val="auto"/>
              </w:rPr>
            </w:pPr>
            <w:r>
              <w:rPr>
                <w:rFonts w:ascii="Arial" w:cs="Arial" w:eastAsia="Arial" w:hAnsi="Arial"/>
                <w:sz w:val="20"/>
                <w:szCs w:val="20"/>
                <w:b w:val="1"/>
                <w:bCs w:val="1"/>
                <w:color w:val="auto"/>
              </w:rPr>
              <w:t>Description</w:t>
            </w:r>
          </w:p>
        </w:tc>
      </w:tr>
      <w:tr>
        <w:trPr>
          <w:trHeight w:val="212"/>
        </w:trPr>
        <w:tc>
          <w:tcPr>
            <w:tcW w:w="2380" w:type="dxa"/>
            <w:vAlign w:val="bottom"/>
          </w:tcPr>
          <w:p>
            <w:pPr>
              <w:ind w:left="220"/>
              <w:spacing w:after="0" w:line="212" w:lineRule="exact"/>
              <w:rPr>
                <w:sz w:val="20"/>
                <w:szCs w:val="20"/>
                <w:color w:val="auto"/>
              </w:rPr>
            </w:pPr>
            <w:r>
              <w:rPr>
                <w:rFonts w:ascii="Arial" w:cs="Arial" w:eastAsia="Arial" w:hAnsi="Arial"/>
                <w:sz w:val="20"/>
                <w:szCs w:val="20"/>
                <w:color w:val="auto"/>
              </w:rPr>
              <w:t>99.1</w:t>
            </w:r>
          </w:p>
        </w:tc>
        <w:tc>
          <w:tcPr>
            <w:tcW w:w="8860" w:type="dxa"/>
            <w:vAlign w:val="bottom"/>
            <w:gridSpan w:val="2"/>
          </w:tcPr>
          <w:p>
            <w:pPr>
              <w:spacing w:after="0" w:line="212" w:lineRule="exact"/>
              <w:rPr>
                <w:sz w:val="20"/>
                <w:szCs w:val="20"/>
                <w:color w:val="auto"/>
              </w:rPr>
            </w:pPr>
            <w:r>
              <w:rPr>
                <w:rFonts w:ascii="Arial" w:cs="Arial" w:eastAsia="Arial" w:hAnsi="Arial"/>
                <w:sz w:val="20"/>
                <w:szCs w:val="20"/>
                <w:color w:val="0000FF"/>
              </w:rPr>
              <w:t>Press release dated September 7, 2023 (furnished herewith).</w:t>
            </w:r>
          </w:p>
        </w:tc>
      </w:tr>
      <w:tr>
        <w:trPr>
          <w:trHeight w:val="20"/>
        </w:trPr>
        <w:tc>
          <w:tcPr>
            <w:tcW w:w="2380" w:type="dxa"/>
            <w:vAlign w:val="bottom"/>
          </w:tcPr>
          <w:p>
            <w:pPr>
              <w:spacing w:after="0" w:line="20" w:lineRule="exact"/>
              <w:rPr>
                <w:sz w:val="1"/>
                <w:szCs w:val="1"/>
                <w:color w:val="auto"/>
              </w:rPr>
            </w:pPr>
          </w:p>
        </w:tc>
        <w:tc>
          <w:tcPr>
            <w:tcW w:w="4760" w:type="dxa"/>
            <w:vAlign w:val="bottom"/>
            <w:shd w:val="clear" w:color="auto" w:fill="0000FF"/>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281"/>
        </w:trPr>
        <w:tc>
          <w:tcPr>
            <w:tcW w:w="2380" w:type="dxa"/>
            <w:vAlign w:val="bottom"/>
          </w:tcPr>
          <w:p>
            <w:pPr>
              <w:ind w:left="220"/>
              <w:spacing w:after="0"/>
              <w:rPr>
                <w:sz w:val="20"/>
                <w:szCs w:val="20"/>
                <w:color w:val="auto"/>
              </w:rPr>
            </w:pPr>
            <w:r>
              <w:rPr>
                <w:rFonts w:ascii="Arial" w:cs="Arial" w:eastAsia="Arial" w:hAnsi="Arial"/>
                <w:sz w:val="20"/>
                <w:szCs w:val="20"/>
                <w:color w:val="auto"/>
              </w:rPr>
              <w:t>104</w:t>
            </w:r>
          </w:p>
        </w:tc>
        <w:tc>
          <w:tcPr>
            <w:tcW w:w="8860" w:type="dxa"/>
            <w:vAlign w:val="bottom"/>
            <w:gridSpan w:val="2"/>
          </w:tcPr>
          <w:p>
            <w:pPr>
              <w:spacing w:after="0"/>
              <w:rPr>
                <w:sz w:val="20"/>
                <w:szCs w:val="20"/>
                <w:color w:val="auto"/>
              </w:rPr>
            </w:pPr>
            <w:r>
              <w:rPr>
                <w:rFonts w:ascii="Arial" w:cs="Arial" w:eastAsia="Arial" w:hAnsi="Arial"/>
                <w:sz w:val="20"/>
                <w:szCs w:val="20"/>
                <w:color w:val="auto"/>
              </w:rPr>
              <w:t>Cover Page Interactive Data File (embedded within the Inline XBRL document).</w:t>
            </w:r>
          </w:p>
        </w:tc>
      </w:tr>
      <w:tr>
        <w:trPr>
          <w:trHeight w:val="1474"/>
        </w:trPr>
        <w:tc>
          <w:tcPr>
            <w:tcW w:w="2380" w:type="dxa"/>
            <w:vAlign w:val="bottom"/>
            <w:tcBorders>
              <w:bottom w:val="single" w:sz="8" w:color="9A9A9A"/>
            </w:tcBorders>
          </w:tcPr>
          <w:p>
            <w:pPr>
              <w:spacing w:after="0"/>
              <w:rPr>
                <w:sz w:val="24"/>
                <w:szCs w:val="24"/>
                <w:color w:val="auto"/>
              </w:rPr>
            </w:pPr>
          </w:p>
        </w:tc>
        <w:tc>
          <w:tcPr>
            <w:tcW w:w="476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20"/>
          <w:szCs w:val="20"/>
          <w:color w:val="auto"/>
        </w:rPr>
        <w:t>SIGNATURES</w:t>
      </w:r>
    </w:p>
    <w:p>
      <w:pPr>
        <w:spacing w:after="0" w:line="25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58" w:lineRule="exact"/>
        <w:rPr>
          <w:sz w:val="20"/>
          <w:szCs w:val="20"/>
          <w:color w:val="auto"/>
        </w:rPr>
      </w:pPr>
    </w:p>
    <w:p>
      <w:pPr>
        <w:ind w:left="6360"/>
        <w:spacing w:after="0"/>
        <w:rPr>
          <w:sz w:val="20"/>
          <w:szCs w:val="20"/>
          <w:color w:val="auto"/>
        </w:rPr>
      </w:pPr>
      <w:r>
        <w:rPr>
          <w:rFonts w:ascii="Arial" w:cs="Arial" w:eastAsia="Arial" w:hAnsi="Arial"/>
          <w:sz w:val="20"/>
          <w:szCs w:val="20"/>
          <w:color w:val="auto"/>
        </w:rPr>
        <w:t>THE TORO COMPANY</w:t>
      </w:r>
    </w:p>
    <w:p>
      <w:pPr>
        <w:spacing w:after="0" w:line="27" w:lineRule="exact"/>
        <w:rPr>
          <w:sz w:val="20"/>
          <w:szCs w:val="20"/>
          <w:color w:val="auto"/>
        </w:rPr>
      </w:pPr>
    </w:p>
    <w:p>
      <w:pPr>
        <w:ind w:left="6360"/>
        <w:spacing w:after="0"/>
        <w:rPr>
          <w:sz w:val="20"/>
          <w:szCs w:val="20"/>
          <w:color w:val="auto"/>
        </w:rPr>
      </w:pPr>
      <w:r>
        <w:rPr>
          <w:rFonts w:ascii="Arial" w:cs="Arial" w:eastAsia="Arial" w:hAnsi="Arial"/>
          <w:sz w:val="20"/>
          <w:szCs w:val="20"/>
          <w:color w:val="auto"/>
        </w:rPr>
        <w:t>(Registrant)</w:t>
      </w:r>
    </w:p>
    <w:p>
      <w:pPr>
        <w:spacing w:after="0" w:line="297" w:lineRule="exact"/>
        <w:rPr>
          <w:sz w:val="20"/>
          <w:szCs w:val="20"/>
          <w:color w:val="auto"/>
        </w:rPr>
      </w:pPr>
    </w:p>
    <w:p>
      <w:pPr>
        <w:ind w:left="40"/>
        <w:spacing w:after="0"/>
        <w:tabs>
          <w:tab w:leader="none" w:pos="6340" w:val="left"/>
        </w:tabs>
        <w:rPr>
          <w:sz w:val="20"/>
          <w:szCs w:val="20"/>
          <w:color w:val="auto"/>
        </w:rPr>
      </w:pPr>
      <w:r>
        <w:rPr>
          <w:rFonts w:ascii="Arial" w:cs="Arial" w:eastAsia="Arial" w:hAnsi="Arial"/>
          <w:sz w:val="20"/>
          <w:szCs w:val="20"/>
          <w:color w:val="auto"/>
        </w:rPr>
        <w:t>Date: September 7, 2023</w:t>
      </w:r>
      <w:r>
        <w:rPr>
          <w:sz w:val="20"/>
          <w:szCs w:val="20"/>
          <w:color w:val="auto"/>
        </w:rPr>
        <w:tab/>
      </w:r>
      <w:r>
        <w:rPr>
          <w:rFonts w:ascii="Arial" w:cs="Arial" w:eastAsia="Arial" w:hAnsi="Arial"/>
          <w:sz w:val="18"/>
          <w:szCs w:val="18"/>
          <w:color w:val="auto"/>
        </w:rPr>
        <w:t>/s/ Angela C. Drake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19050</wp:posOffset>
            </wp:positionV>
            <wp:extent cx="30943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 w:lineRule="exact"/>
        <w:rPr>
          <w:sz w:val="20"/>
          <w:szCs w:val="20"/>
          <w:color w:val="auto"/>
        </w:rPr>
      </w:pPr>
    </w:p>
    <w:p>
      <w:pPr>
        <w:ind w:left="6360"/>
        <w:spacing w:after="0"/>
        <w:rPr>
          <w:sz w:val="20"/>
          <w:szCs w:val="20"/>
          <w:color w:val="auto"/>
        </w:rPr>
      </w:pPr>
      <w:r>
        <w:rPr>
          <w:rFonts w:ascii="Arial" w:cs="Arial" w:eastAsia="Arial" w:hAnsi="Arial"/>
          <w:sz w:val="20"/>
          <w:szCs w:val="20"/>
          <w:color w:val="auto"/>
        </w:rPr>
        <w:t>Angela C. Drake</w:t>
      </w:r>
    </w:p>
    <w:p>
      <w:pPr>
        <w:spacing w:after="0" w:line="27" w:lineRule="exact"/>
        <w:rPr>
          <w:sz w:val="20"/>
          <w:szCs w:val="20"/>
          <w:color w:val="auto"/>
        </w:rPr>
      </w:pPr>
    </w:p>
    <w:p>
      <w:pPr>
        <w:ind w:left="6360"/>
        <w:spacing w:after="0"/>
        <w:rPr>
          <w:sz w:val="20"/>
          <w:szCs w:val="20"/>
          <w:color w:val="auto"/>
        </w:rPr>
      </w:pPr>
      <w:r>
        <w:rPr>
          <w:rFonts w:ascii="Arial" w:cs="Arial" w:eastAsia="Arial" w:hAnsi="Arial"/>
          <w:sz w:val="20"/>
          <w:szCs w:val="20"/>
          <w:color w:val="auto"/>
        </w:rPr>
        <w:t>Vice President, Chief Financial Officer</w:t>
      </w:r>
    </w:p>
    <w:p>
      <w:pPr>
        <w:sectPr>
          <w:pgSz w:w="11900" w:h="16838" w:orient="portrait"/>
          <w:cols w:equalWidth="0" w:num="1">
            <w:col w:w="11020"/>
          </w:cols>
          <w:pgMar w:left="320" w:top="892" w:right="5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2486025" cy="643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486025" cy="643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Jeremy Steffan</w:t>
      </w: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ind w:left="480" w:hanging="47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887-7962, </w:t>
      </w:r>
      <w:r>
        <w:rPr>
          <w:rFonts w:ascii="Arial" w:cs="Arial" w:eastAsia="Arial" w:hAnsi="Arial"/>
          <w:sz w:val="18"/>
          <w:szCs w:val="18"/>
          <w:u w:val="single" w:color="auto"/>
          <w:color w:val="0000FF"/>
        </w:rPr>
        <w:t>jeremy.steffan@toro.com</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234" w:lineRule="auto"/>
        <w:rPr>
          <w:sz w:val="20"/>
          <w:szCs w:val="20"/>
          <w:color w:val="auto"/>
        </w:rPr>
      </w:pPr>
      <w:r>
        <w:rPr>
          <w:rFonts w:ascii="Arial" w:cs="Arial" w:eastAsia="Arial" w:hAnsi="Arial"/>
          <w:sz w:val="18"/>
          <w:szCs w:val="18"/>
          <w:color w:val="auto"/>
        </w:rPr>
        <w:t>Senior Manager, Public Relations</w:t>
      </w:r>
    </w:p>
    <w:p>
      <w:pPr>
        <w:spacing w:after="0" w:line="1" w:lineRule="exact"/>
        <w:rPr>
          <w:sz w:val="20"/>
          <w:szCs w:val="20"/>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887-8930, </w:t>
      </w:r>
      <w:r>
        <w:rPr>
          <w:rFonts w:ascii="Arial" w:cs="Arial" w:eastAsia="Arial" w:hAnsi="Arial"/>
          <w:sz w:val="18"/>
          <w:szCs w:val="18"/>
          <w:u w:val="single" w:color="auto"/>
          <w:color w:val="0000FF"/>
        </w:rPr>
        <w:t>branden.happel@toro.com</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 Immediate Release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Toro Company Reports Fiscal 2023 Third-Quarter Results and Revises Full-Year Outlook</w:t>
      </w:r>
    </w:p>
    <w:p>
      <w:pPr>
        <w:spacing w:after="0" w:line="32" w:lineRule="exact"/>
        <w:rPr>
          <w:sz w:val="20"/>
          <w:szCs w:val="20"/>
          <w:color w:val="auto"/>
        </w:rPr>
      </w:pPr>
    </w:p>
    <w:p>
      <w:pPr>
        <w:jc w:val="center"/>
        <w:spacing w:after="0" w:line="232" w:lineRule="auto"/>
        <w:rPr>
          <w:sz w:val="20"/>
          <w:szCs w:val="20"/>
          <w:color w:val="auto"/>
        </w:rPr>
      </w:pPr>
      <w:r>
        <w:rPr>
          <w:rFonts w:ascii="Arial" w:cs="Arial" w:eastAsia="Arial" w:hAnsi="Arial"/>
          <w:sz w:val="20"/>
          <w:szCs w:val="20"/>
          <w:i w:val="1"/>
          <w:iCs w:val="1"/>
          <w:color w:val="auto"/>
        </w:rPr>
        <w:t>Lower-than-Expected Homeowner Demand for Lawn Care Solutions Driven by Macro Factors and Weather Continued Strength in Demand Across Construction, and Golf and Grounds Markets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Announces New Strategic Partnership with Lowe’s</w:t>
      </w:r>
    </w:p>
    <w:p>
      <w:pPr>
        <w:spacing w:after="0" w:line="161" w:lineRule="exact"/>
        <w:rPr>
          <w:sz w:val="20"/>
          <w:szCs w:val="20"/>
          <w:color w:val="auto"/>
        </w:rPr>
      </w:pPr>
    </w:p>
    <w:p>
      <w:pPr>
        <w:ind w:left="480" w:hanging="310"/>
        <w:spacing w:after="0"/>
        <w:tabs>
          <w:tab w:leader="none" w:pos="48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Third-quarter net sales of $1.08 billion, compared to $1.16 billion in the comparable period of fiscal 2022</w:t>
      </w:r>
    </w:p>
    <w:p>
      <w:pPr>
        <w:spacing w:after="0" w:line="13" w:lineRule="exact"/>
        <w:rPr>
          <w:rFonts w:ascii="Arial" w:cs="Arial" w:eastAsia="Arial" w:hAnsi="Arial"/>
          <w:sz w:val="20"/>
          <w:szCs w:val="20"/>
          <w:color w:val="auto"/>
        </w:rPr>
      </w:pPr>
    </w:p>
    <w:p>
      <w:pPr>
        <w:ind w:left="500" w:hanging="330"/>
        <w:spacing w:after="0" w:line="239" w:lineRule="auto"/>
        <w:tabs>
          <w:tab w:leader="none" w:pos="488" w:val="left"/>
        </w:tabs>
        <w:numPr>
          <w:ilvl w:val="0"/>
          <w:numId w:val="4"/>
        </w:numPr>
        <w:rPr>
          <w:rFonts w:ascii="Arial" w:cs="Arial" w:eastAsia="Arial" w:hAnsi="Arial"/>
          <w:sz w:val="20"/>
          <w:szCs w:val="20"/>
          <w:color w:val="auto"/>
        </w:rPr>
      </w:pPr>
      <w:r>
        <w:rPr>
          <w:rFonts w:ascii="Arial" w:cs="Arial" w:eastAsia="Arial" w:hAnsi="Arial"/>
          <w:sz w:val="20"/>
          <w:szCs w:val="20"/>
          <w:color w:val="auto"/>
        </w:rPr>
        <w:t>Third-quarter reported diluted EPS of ($0.14), which includes non-cash impairment charges related to the Intimidator Group of $151.3 million on a gross basis; $114.6 million net of $36.7 million tax benefit</w:t>
      </w:r>
    </w:p>
    <w:p>
      <w:pPr>
        <w:ind w:left="480" w:hanging="310"/>
        <w:spacing w:after="0"/>
        <w:tabs>
          <w:tab w:leader="none" w:pos="48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Third-quarter *adjusted diluted EPS of $0.95, compared to $1.19 in the comparable period of fiscal 2022</w:t>
      </w:r>
    </w:p>
    <w:p>
      <w:pPr>
        <w:ind w:left="480" w:hanging="310"/>
        <w:spacing w:after="0"/>
        <w:tabs>
          <w:tab w:leader="none" w:pos="48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Revises full-year *adjusted diluted EPS guidance to a range of $4.05 to $4.10</w:t>
      </w:r>
    </w:p>
    <w:p>
      <w:pPr>
        <w:spacing w:after="0" w:line="151" w:lineRule="exact"/>
        <w:rPr>
          <w:sz w:val="20"/>
          <w:szCs w:val="20"/>
          <w:color w:val="auto"/>
        </w:rPr>
      </w:pPr>
    </w:p>
    <w:p>
      <w:pPr>
        <w:ind w:right="200"/>
        <w:spacing w:after="0" w:line="255" w:lineRule="auto"/>
        <w:rPr>
          <w:sz w:val="20"/>
          <w:szCs w:val="20"/>
          <w:color w:val="auto"/>
        </w:rPr>
      </w:pPr>
      <w:r>
        <w:rPr>
          <w:rFonts w:ascii="Arial" w:cs="Arial" w:eastAsia="Arial" w:hAnsi="Arial"/>
          <w:sz w:val="20"/>
          <w:szCs w:val="20"/>
          <w:b w:val="1"/>
          <w:bCs w:val="1"/>
          <w:color w:val="auto"/>
        </w:rPr>
        <w:t>BLOOMINGTON, Minn.—(BUSINESS WIRE) — September 7, 2023—</w:t>
      </w:r>
      <w:r>
        <w:rPr>
          <w:rFonts w:ascii="Arial" w:cs="Arial" w:eastAsia="Arial" w:hAnsi="Arial"/>
          <w:sz w:val="20"/>
          <w:szCs w:val="20"/>
          <w:color w:val="auto"/>
        </w:rPr>
        <w:t>The Toro Company (NYSE: TTC), a</w:t>
      </w:r>
      <w:r>
        <w:rPr>
          <w:rFonts w:ascii="Arial" w:cs="Arial" w:eastAsia="Arial" w:hAnsi="Arial"/>
          <w:sz w:val="20"/>
          <w:szCs w:val="20"/>
          <w:b w:val="1"/>
          <w:bCs w:val="1"/>
          <w:color w:val="auto"/>
        </w:rPr>
        <w:t xml:space="preserve"> </w:t>
      </w:r>
      <w:r>
        <w:rPr>
          <w:rFonts w:ascii="Arial" w:cs="Arial" w:eastAsia="Arial" w:hAnsi="Arial"/>
          <w:sz w:val="20"/>
          <w:szCs w:val="20"/>
          <w:color w:val="0A0A0A"/>
        </w:rPr>
        <w:t>leading worldwide</w:t>
      </w:r>
      <w:r>
        <w:rPr>
          <w:rFonts w:ascii="Arial" w:cs="Arial" w:eastAsia="Arial" w:hAnsi="Arial"/>
          <w:sz w:val="20"/>
          <w:szCs w:val="20"/>
          <w:b w:val="1"/>
          <w:bCs w:val="1"/>
          <w:color w:val="auto"/>
        </w:rPr>
        <w:t xml:space="preserve"> </w:t>
      </w:r>
      <w:r>
        <w:rPr>
          <w:rFonts w:ascii="Arial" w:cs="Arial" w:eastAsia="Arial" w:hAnsi="Arial"/>
          <w:sz w:val="20"/>
          <w:szCs w:val="20"/>
          <w:color w:val="0A0A0A"/>
        </w:rPr>
        <w:t xml:space="preserve">provider of innovative solutions for the outdoor environment, </w:t>
      </w:r>
      <w:r>
        <w:rPr>
          <w:rFonts w:ascii="Arial" w:cs="Arial" w:eastAsia="Arial" w:hAnsi="Arial"/>
          <w:sz w:val="20"/>
          <w:szCs w:val="20"/>
          <w:color w:val="000000"/>
        </w:rPr>
        <w:t>today reported results for its fiscal third quarter ended August 4,</w:t>
      </w:r>
      <w:r>
        <w:rPr>
          <w:rFonts w:ascii="Arial" w:cs="Arial" w:eastAsia="Arial" w:hAnsi="Arial"/>
          <w:sz w:val="20"/>
          <w:szCs w:val="20"/>
          <w:color w:val="0A0A0A"/>
        </w:rPr>
        <w:t xml:space="preserve"> </w:t>
      </w:r>
      <w:r>
        <w:rPr>
          <w:rFonts w:ascii="Arial" w:cs="Arial" w:eastAsia="Arial" w:hAnsi="Arial"/>
          <w:sz w:val="20"/>
          <w:szCs w:val="20"/>
          <w:color w:val="000000"/>
        </w:rPr>
        <w:t>2023. In a separate news release, the company also announced a new strategic partnership with Lowe's.</w:t>
      </w:r>
    </w:p>
    <w:p>
      <w:pPr>
        <w:spacing w:after="0" w:line="14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“During the third quarter, we experienced a sharp and accelerated reduction in homeowner demand for residential and professional segment lawn care products,” said Richard M. Olson, chairman and chief executive officer. "This drove the underperformance versus our expectations, and also led to the Intimidator Group non-cash impairment charges. Demand was strong across the rest of our end customer base, and with that, the other businesses in our diverse portfolio delivered excellent growth in the quarter.</w:t>
      </w:r>
    </w:p>
    <w:p>
      <w:pPr>
        <w:spacing w:after="0" w:line="16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softness in homeowner demand was driven by a combination of macro factors, including economic uncertainty, higher interest rates, and consumer spending preferences following a period of exceptional demand during the pandemic, along with unusually unfavorable weather patterns. These factors led to significantly lower than expected shipments of lawn care solutions in both our residential and professional segments. Macro factors drove reduced demand from homeowners, including purchase deferrals and trade-downs, as well as a reduction in orders by our dealer channel and an acceleration of destocking by our mass channel. Dry conditions in key regions persisted throughout June and into July, which delayed replacement needs and slowed mid-season channel replenishment orders.</w:t>
      </w:r>
    </w:p>
    <w:p>
      <w:pPr>
        <w:spacing w:after="0" w:line="152"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“On a positive note, the rest of the businesses in our diverse portfolio performed well. We continued to see exceptional demand within the professional segment for our underground and specialty construction, and golf and grounds solutions driven by infrastructure spending and support, sustained momentum in new golfers and rounds played, and the prioritization of public green spaces. Importantly, with improved supply and our team’s operational execution, volumes were up significantly for those businesses on a year-over-year basis, as lead times continued to improve.”</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u w:val="single" w:color="auto"/>
          <w:color w:val="auto"/>
        </w:rPr>
        <w:t>OUTLOOK</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20"/>
          <w:szCs w:val="20"/>
          <w:color w:val="auto"/>
        </w:rPr>
        <w:t>“As we look ahead, we have and are taking appropriate actions to further align costs and production to demand trends that we expect will continue into fiscal 2024,” continued Olson. "We believe the combination of macro dynamics and weather patterns this year has exacerbated the rebalancing of homeowner demand for lawn care solutions in both of our residential and professional segments, which has resulted in elevated dealer field inventories of those products, along with higher floorplanning expense than originally anticipated. At the same time, we expect continued strength in demand and substantial order backlog for our underground and specialty construction, and golf and grounds solutions. As the supply chain for those products further stabilizes, we intend to leverage our existing manufacturing footprint to implement incremental, flexible production capacity to better serve our customers and return backlog to more normal levels as soon as possible.</w:t>
      </w:r>
    </w:p>
    <w:p>
      <w:pPr>
        <w:spacing w:after="0" w:line="158"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“In addition, we are excited about our new strategic partnership with Lowe’s, and this shared opportunity to leverage the Toro brand and further serve our customer base. Lowe’s leadership position in the zero-turn mower category and strong footprint in key customer markets complements our existing channel strategy and is expected to bolster market presence of our powerful 60V battery portfolio. Our full line-up of Toro-branded all-season outdoor power equipment will be available at Lowe’s nationwide for the spring 2024 selling season.</w:t>
      </w:r>
    </w:p>
    <w:p>
      <w:pPr>
        <w:spacing w:after="0" w:line="149"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“We believe our market leadership and business fundamentals remain strong. We have a proven ability to manage through economic cycles and seasonal variations, as evidenced by our long history of delivering positive results. We continue to prioritize investments that we expect will drive long-term profitable growth, supported by our empowered and resilient team of employees and channel partners. We believe we remain well-positioned to grow share and profitability in each of our attractive end markets with our strong brands, innovative new product pipeline and extensive distribution networks,” concluded Olson.</w:t>
      </w:r>
    </w:p>
    <w:p>
      <w:pPr>
        <w:spacing w:after="0" w:line="168"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For the fiscal year ending October 31, 2023, the company now expects net sales similar to slightly higher than the prior fiscal year, and adjusted diluted EPS in the range of $4.05 to $4.10. The updated full-year outlook is based on management’s current visibility, and assumes continued supply chain stabilization, incremental manufacturing inefficiencies as production is further aligned to demand, and a continuation of the macro factors that affected third quarter results.</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THIRD-QUARTER FISCAL 2023 FINANCIAL HIGHLIGHTS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5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b w:val="1"/>
                <w:bCs w:val="1"/>
                <w:color w:val="auto"/>
              </w:rPr>
              <w:t>Reported</w:t>
            </w:r>
          </w:p>
        </w:tc>
        <w:tc>
          <w:tcPr>
            <w:tcW w:w="13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Adjusted*</w:t>
            </w:r>
          </w:p>
        </w:tc>
        <w:tc>
          <w:tcPr>
            <w:tcW w:w="1340" w:type="dxa"/>
            <w:vAlign w:val="bottom"/>
            <w:tcBorders>
              <w:bottom w:val="single" w:sz="8" w:color="auto"/>
            </w:tcBorders>
          </w:tcPr>
          <w:p>
            <w:pPr>
              <w:spacing w:after="0"/>
              <w:rPr>
                <w:sz w:val="19"/>
                <w:szCs w:val="19"/>
                <w:color w:val="auto"/>
              </w:rPr>
            </w:pPr>
          </w:p>
        </w:tc>
      </w:tr>
      <w:tr>
        <w:trPr>
          <w:trHeight w:val="210"/>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(dollars in millions, except per share data)</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b w:val="1"/>
                <w:bCs w:val="1"/>
                <w:color w:val="auto"/>
              </w:rPr>
              <w:t>FY23 Q3</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b w:val="1"/>
                <w:bCs w:val="1"/>
                <w:color w:val="auto"/>
              </w:rPr>
              <w:t>FY22 Q3</w:t>
            </w:r>
          </w:p>
        </w:tc>
        <w:tc>
          <w:tcPr>
            <w:tcW w:w="1360" w:type="dxa"/>
            <w:vAlign w:val="bottom"/>
            <w:tcBorders>
              <w:bottom w:val="single" w:sz="8" w:color="auto"/>
            </w:tcBorders>
          </w:tcPr>
          <w:p>
            <w:pPr>
              <w:jc w:val="right"/>
              <w:ind w:right="397"/>
              <w:spacing w:after="0"/>
              <w:rPr>
                <w:sz w:val="20"/>
                <w:szCs w:val="20"/>
                <w:color w:val="auto"/>
              </w:rPr>
            </w:pPr>
            <w:r>
              <w:rPr>
                <w:rFonts w:ascii="Arial" w:cs="Arial" w:eastAsia="Arial" w:hAnsi="Arial"/>
                <w:sz w:val="17"/>
                <w:szCs w:val="17"/>
                <w:b w:val="1"/>
                <w:bCs w:val="1"/>
                <w:color w:val="auto"/>
              </w:rPr>
              <w:t>% Change</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b w:val="1"/>
                <w:bCs w:val="1"/>
                <w:color w:val="auto"/>
              </w:rPr>
              <w:t>FY23 Q3</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b w:val="1"/>
                <w:bCs w:val="1"/>
                <w:color w:val="auto"/>
              </w:rPr>
              <w:t>FY22 Q3</w:t>
            </w:r>
          </w:p>
        </w:tc>
        <w:tc>
          <w:tcPr>
            <w:tcW w:w="1340" w:type="dxa"/>
            <w:vAlign w:val="bottom"/>
            <w:tcBorders>
              <w:bottom w:val="single" w:sz="8" w:color="auto"/>
            </w:tcBorders>
          </w:tcPr>
          <w:p>
            <w:pPr>
              <w:jc w:val="right"/>
              <w:ind w:right="357"/>
              <w:spacing w:after="0"/>
              <w:rPr>
                <w:sz w:val="20"/>
                <w:szCs w:val="20"/>
                <w:color w:val="auto"/>
              </w:rPr>
            </w:pPr>
            <w:r>
              <w:rPr>
                <w:rFonts w:ascii="Arial" w:cs="Arial" w:eastAsia="Arial" w:hAnsi="Arial"/>
                <w:sz w:val="17"/>
                <w:szCs w:val="17"/>
                <w:b w:val="1"/>
                <w:bCs w:val="1"/>
                <w:color w:val="auto"/>
              </w:rPr>
              <w:t>% Change</w:t>
            </w:r>
          </w:p>
        </w:tc>
      </w:tr>
      <w:tr>
        <w:trPr>
          <w:trHeight w:val="209"/>
        </w:trPr>
        <w:tc>
          <w:tcPr>
            <w:tcW w:w="3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1,081.8</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1,160.6</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1,081.8</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1,160.6</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r>
      <w:tr>
        <w:trPr>
          <w:trHeight w:val="214"/>
        </w:trPr>
        <w:tc>
          <w:tcPr>
            <w:tcW w:w="3580" w:type="dxa"/>
            <w:vAlign w:val="bottom"/>
          </w:tcPr>
          <w:p>
            <w:pPr>
              <w:ind w:left="20"/>
              <w:spacing w:after="0"/>
              <w:rPr>
                <w:sz w:val="20"/>
                <w:szCs w:val="20"/>
                <w:color w:val="auto"/>
              </w:rPr>
            </w:pPr>
            <w:r>
              <w:rPr>
                <w:rFonts w:ascii="Arial" w:cs="Arial" w:eastAsia="Arial" w:hAnsi="Arial"/>
                <w:sz w:val="17"/>
                <w:szCs w:val="17"/>
                <w:color w:val="auto"/>
              </w:rPr>
              <w:t>Net Earnings</w:t>
            </w: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(15.0)</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125.2</w:t>
            </w:r>
          </w:p>
        </w:tc>
        <w:tc>
          <w:tcPr>
            <w:tcW w:w="1360" w:type="dxa"/>
            <w:vAlign w:val="bottom"/>
          </w:tcPr>
          <w:p>
            <w:pPr>
              <w:jc w:val="right"/>
              <w:spacing w:after="0"/>
              <w:rPr>
                <w:sz w:val="20"/>
                <w:szCs w:val="20"/>
                <w:color w:val="auto"/>
              </w:rPr>
            </w:pPr>
            <w:r>
              <w:rPr>
                <w:rFonts w:ascii="Arial" w:cs="Arial" w:eastAsia="Arial" w:hAnsi="Arial"/>
                <w:sz w:val="17"/>
                <w:szCs w:val="17"/>
                <w:color w:val="auto"/>
              </w:rPr>
              <w:t>(112)%</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99.4</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125.1</w:t>
            </w:r>
          </w:p>
        </w:tc>
        <w:tc>
          <w:tcPr>
            <w:tcW w:w="134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18"/>
        </w:trPr>
        <w:tc>
          <w:tcPr>
            <w:tcW w:w="3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Diluted EPS</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(0.14)</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0.95</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r>
    </w:tbl>
    <w:p>
      <w:pPr>
        <w:sectPr>
          <w:pgSz w:w="11900" w:h="16838" w:orient="portrait"/>
          <w:cols w:equalWidth="0" w:num="1">
            <w:col w:w="11240"/>
          </w:cols>
          <w:pgMar w:left="320" w:top="760"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u w:val="single" w:color="auto"/>
          <w:color w:val="auto"/>
        </w:rPr>
        <w:t>THIRD-QUARTER FISCAL 2023 SEGMENT RESULTS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Professional Segment</w:t>
      </w:r>
    </w:p>
    <w:p>
      <w:pPr>
        <w:spacing w:after="0" w:line="185" w:lineRule="exact"/>
        <w:rPr>
          <w:sz w:val="20"/>
          <w:szCs w:val="20"/>
          <w:color w:val="auto"/>
        </w:rPr>
      </w:pPr>
    </w:p>
    <w:p>
      <w:pPr>
        <w:jc w:val="both"/>
        <w:ind w:left="660" w:hanging="328"/>
        <w:spacing w:after="0" w:line="250"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Professional segment net sales for the third quarter were $896.3 million, up 1.1% from $886.2 million in the same period last year. The increase was primarily driven by higher shipments of underground and specialty construction, and golf and grounds products, and net price realization, partially offset by lower shipments of lawn care equipment.</w:t>
      </w:r>
    </w:p>
    <w:p>
      <w:pPr>
        <w:spacing w:after="0" w:line="145" w:lineRule="exact"/>
        <w:rPr>
          <w:rFonts w:ascii="Arial" w:cs="Arial" w:eastAsia="Arial" w:hAnsi="Arial"/>
          <w:sz w:val="20"/>
          <w:szCs w:val="20"/>
          <w:color w:val="auto"/>
        </w:rPr>
      </w:pPr>
    </w:p>
    <w:p>
      <w:pPr>
        <w:jc w:val="both"/>
        <w:ind w:left="660" w:hanging="328"/>
        <w:spacing w:after="0" w:line="246"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Professional segment earnings for the third quarter were $13.0 million, down 92.1% from $166.2 million in the same period last year, and when expressed as a percentage of net sales, 1.5%, down from 18.8% in the prior-year period. The decrease was primarily due to gross non-cash impairment charges of $151.3 million, and higher material and manufacturing costs, partially offset by productivity improvements and net price realization.</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Residential Segment</w:t>
      </w:r>
    </w:p>
    <w:p>
      <w:pPr>
        <w:spacing w:after="0" w:line="185" w:lineRule="exact"/>
        <w:rPr>
          <w:sz w:val="20"/>
          <w:szCs w:val="20"/>
          <w:color w:val="auto"/>
        </w:rPr>
      </w:pPr>
    </w:p>
    <w:p>
      <w:pPr>
        <w:ind w:left="660" w:right="20" w:hanging="328"/>
        <w:spacing w:after="0" w:line="261"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Residential segment net sales for the third quarter were $175.3 million, down 35.1% from $270.0 million in the same period last year. The decrease was primarily driven by lower shipments of products broadly across the segment.</w:t>
      </w:r>
    </w:p>
    <w:p>
      <w:pPr>
        <w:spacing w:after="0" w:line="134" w:lineRule="exact"/>
        <w:rPr>
          <w:rFonts w:ascii="Arial" w:cs="Arial" w:eastAsia="Arial" w:hAnsi="Arial"/>
          <w:sz w:val="20"/>
          <w:szCs w:val="20"/>
          <w:color w:val="auto"/>
        </w:rPr>
      </w:pPr>
    </w:p>
    <w:p>
      <w:pPr>
        <w:jc w:val="both"/>
        <w:ind w:left="660" w:hanging="328"/>
        <w:spacing w:after="0" w:line="250"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Residential segment earnings for the third quarter were $3.8 million, down 85.4% from $26.3 million in the same period last year, and when expressed as a percentage of net sales, 2.2%, down from 9.8% in the prior-year period. The decrease was primarily driven by lower volume and unfavorable product mix, partially offset by lower material costs.</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OPERATING RESULTS</w:t>
      </w:r>
    </w:p>
    <w:p>
      <w:pPr>
        <w:spacing w:after="0" w:line="185"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Gross margin and *adjusted gross margin for the third quarter were both 34.4%, down slightly from 34.5% for both in the same prior-year period. The decrease was primarily driven by higher material costs, mostly offset by lower freight expense.</w:t>
      </w:r>
    </w:p>
    <w:p>
      <w:pPr>
        <w:spacing w:after="0" w:line="13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SG&amp;A expense as a percentage of net sales for the third quarter was 22.2%, compared with 20.5% in the prior-year period. The increase was primarily due to lower net sales, higher marketing costs, and increased investment in research and engineering.</w:t>
      </w:r>
    </w:p>
    <w:p>
      <w:pPr>
        <w:spacing w:after="0" w:line="11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Operating earnings as a percentage of net sales were (1.8)% for the third quarter, compared with 14.0% in the same prior-year period. *Adjusted operating earnings as a percentage of net sales for the third quarter were 12.2%, compared with 14.1% in the same prior-year period.</w:t>
      </w:r>
    </w:p>
    <w:p>
      <w:pPr>
        <w:spacing w:after="0" w:line="145" w:lineRule="exact"/>
        <w:rPr>
          <w:sz w:val="20"/>
          <w:szCs w:val="20"/>
          <w:color w:val="auto"/>
        </w:rPr>
      </w:pPr>
    </w:p>
    <w:p>
      <w:pPr>
        <w:jc w:val="both"/>
        <w:ind w:right="20"/>
        <w:spacing w:after="0" w:line="261" w:lineRule="auto"/>
        <w:rPr>
          <w:sz w:val="20"/>
          <w:szCs w:val="20"/>
          <w:color w:val="auto"/>
        </w:rPr>
      </w:pPr>
      <w:r>
        <w:rPr>
          <w:rFonts w:ascii="Arial" w:cs="Arial" w:eastAsia="Arial" w:hAnsi="Arial"/>
          <w:sz w:val="20"/>
          <w:szCs w:val="20"/>
          <w:color w:val="auto"/>
        </w:rPr>
        <w:t>Interest expense was $15.0 million for the third quarter, up $5.8 million from the same prior-year period. This increase was primarily driven by higher average interest rates.</w:t>
      </w:r>
    </w:p>
    <w:p>
      <w:pPr>
        <w:spacing w:after="0" w:line="13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reported effective tax rate for the third quarter was 47.6%, compared with 20.3% in the same prior year period. The change was primarily due to the tax benefit from non-cash impairment charges in the current-year period. The *adjusted effective tax rate for the third quarter was 19.0% compared with 20.7% in the same prior year period. The decrease was primarily due to an increased benefit from the geographic mix of earnings in the current-year period.</w:t>
      </w:r>
    </w:p>
    <w:p>
      <w:pPr>
        <w:spacing w:after="0" w:line="200" w:lineRule="exact"/>
        <w:rPr>
          <w:sz w:val="20"/>
          <w:szCs w:val="20"/>
          <w:color w:val="auto"/>
        </w:rPr>
      </w:pPr>
    </w:p>
    <w:p>
      <w:pPr>
        <w:spacing w:after="0" w:line="38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*Non-GAAP financial measure. Please refer to the “Use of Non-GAAP Financial Information” for details regarding these measures, as well as the tables provided for a reconciliation of historical non-GAAP financial measures to the most comparable GAAP measures.</w:t>
      </w:r>
    </w:p>
    <w:p>
      <w:pPr>
        <w:sectPr>
          <w:pgSz w:w="11900" w:h="16838" w:orient="portrait"/>
          <w:cols w:equalWidth="0" w:num="1">
            <w:col w:w="11240"/>
          </w:cols>
          <w:pgMar w:left="320" w:top="760"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LIVE CONFERENCE CALL</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September 7, 2023 at 10:00 a.m. CDT</w:t>
      </w:r>
    </w:p>
    <w:p>
      <w:pPr>
        <w:spacing w:after="0"/>
        <w:rPr>
          <w:sz w:val="20"/>
          <w:szCs w:val="20"/>
          <w:color w:val="auto"/>
        </w:rPr>
      </w:pPr>
      <w:r>
        <w:rPr>
          <w:rFonts w:ascii="Arial" w:cs="Arial" w:eastAsia="Arial" w:hAnsi="Arial"/>
          <w:sz w:val="20"/>
          <w:szCs w:val="20"/>
          <w:u w:val="single" w:color="auto"/>
          <w:color w:val="0000FF"/>
        </w:rPr>
        <w:t>www.thetorocompany.com/invest</w:t>
      </w:r>
    </w:p>
    <w:p>
      <w:pPr>
        <w:spacing w:after="0" w:line="16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Toro Company will conduct its earnings call and webcast for investors beginning at 10:00 a.m. CDT on September 7, 2023. The webcast will be available at www.thetorocompany.com/invest. Webcast participants will need to complete a brief registration form and should allocate extra time before the webcast begins to register and, if necessary, install audio software.</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Toro Company</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20"/>
          <w:szCs w:val="20"/>
          <w:color w:val="auto"/>
        </w:rPr>
        <w:t xml:space="preserve">The Toro Company (NYSE: TTC) is a leading worldwide provider of innovative solutions for the outdoor environment including turf and landscape maintenance, snow and ice management, underground utility construction, rental and specialty construction, and irrigation and outdoor lighting solutions. With net sales of $4.5 billion in fiscal 2022, The Toro Company’s global presence extends to more than 125 countries through a family of brands that includes Toro, Ditch Witch, Exmark, Spartan, BOSS, Ventrac, American Augers, Trencor, Pope, Subsite, HammerHead, Radius, Perrot, Hayter, Unique Lighting Systems, Irritrol, and Lawn-Boy. Through constant innovation and caring relationships built on trust and integrity, The Toro Company and its family of brands have built a legacy of excellence by helping customers work on golf courses, sports fields, construction sites, public green spaces, commercial and residential properties and agricultural operations. For more information, visit </w:t>
      </w:r>
      <w:r>
        <w:rPr>
          <w:rFonts w:ascii="Arial" w:cs="Arial" w:eastAsia="Arial" w:hAnsi="Arial"/>
          <w:sz w:val="20"/>
          <w:szCs w:val="20"/>
          <w:u w:val="single" w:color="auto"/>
          <w:color w:val="0000FF"/>
        </w:rPr>
        <w:t>www.thetorocompany.com</w:t>
      </w:r>
      <w:r>
        <w:rPr>
          <w:rFonts w:ascii="Arial" w:cs="Arial" w:eastAsia="Arial" w:hAnsi="Arial"/>
          <w:sz w:val="20"/>
          <w:szCs w:val="20"/>
          <w:color w:val="000000"/>
        </w:rPr>
        <w:t>.</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Non-GAAP Financial Information</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This press release and our related earnings call reference certain non-GAAP financial measures, which are not calculated or presented in accordance with U.S. GAAP, as information supplemental and in addition to the most directly comparable financial measures calculated and presented in accordance with U.S. GAAP. The non-GAAP financial measures included within this press release and our related earnings call that are utilized as measures of our operating performance consist of gross profit, gross margin, operating earnings, earnings before income taxes, net earnings, diluted EPS, and the effective tax rate, each as adjusted. The non-GAAP financial measures included within this press release and our related earnings call that are utilized as measures of our liquidity consist of free cash flow and free cash flow conversion percentage.</w:t>
      </w:r>
    </w:p>
    <w:p>
      <w:pPr>
        <w:spacing w:after="0" w:line="172"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The Toro Company uses these non-GAAP financial measures in making operating decisions and assessing liquidity because it believes these non-GAAP financial measures provide meaningful supplemental information regarding core operational performance and cash flows, as a measure of the company's liquidity, and provide the company with a better understanding of how to allocate resources to both ongoing and prospective business initiatives. Additionally, these non-GAAP financial measures facilitate the company's internal comparisons for both historical operating results and competitors' operating results by factoring out potential differences caused by charges and benefits not related to its regular, ongoing business, including, without limitation, certain non-cash, large, and/or unpredictable charges and benefits; acquisitions and dispositions; legal judgments, settlements, or other matters; and tax positions. The company believes that these non-GAAP financial measures, when considered in conjunction with the financial measures prepared in accordance with U.S. GAAP, provide investors with useful supplemental financial information to better understand its core operational performance and cash flows.</w:t>
      </w:r>
    </w:p>
    <w:p>
      <w:pPr>
        <w:spacing w:after="0" w:line="17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Reconciliations of historical non-GAAP financial measures to the most comparable U.S. GAAP financial measures are included in the financial tables contained in this press release. These non-GAAP financial measures, however, should not be considered superior to, as a substitute for, or as an alternative to, and should be considered in conjunction with, the U.S. GAAP financial measures included within this press release and the company’s related earnings call. These non-GAAP financial measures may differ from similar measures used by other companies.</w:t>
      </w:r>
    </w:p>
    <w:p>
      <w:pPr>
        <w:spacing w:after="0" w:line="155"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The Toro Company does not provide a quantitative reconciliation of the company’s projected range for adjusted diluted EPS for fiscal 2023 to diluted EPS, which is the most directly comparable GAAP measure, in reliance on the unreasonable efforts exception provided under Item 10(e)(1)(i)(B) of Regulation S-K. The company’s adjusted diluted EPS guidance for fiscal 2023 excludes certain items that are inherently uncertain and difficult to predict, including certain non-cash, large and/or unpredictable charges and benefits; acquisitions and</w:t>
      </w:r>
    </w:p>
    <w:p>
      <w:pPr>
        <w:sectPr>
          <w:pgSz w:w="11900" w:h="16838" w:orient="portrait"/>
          <w:cols w:equalWidth="0" w:num="1">
            <w:col w:w="11240"/>
          </w:cols>
          <w:pgMar w:left="320" w:top="760" w:right="339" w:bottom="1440" w:gutter="0" w:footer="0" w:header="0"/>
        </w:sectPr>
      </w:pPr>
    </w:p>
    <w:bookmarkStart w:id="7" w:name="page8"/>
    <w:bookmarkEnd w:id="7"/>
    <w:p>
      <w:pPr>
        <w:jc w:val="both"/>
        <w:spacing w:after="0"/>
        <w:rPr>
          <w:sz w:val="20"/>
          <w:szCs w:val="20"/>
          <w:color w:val="auto"/>
        </w:rPr>
      </w:pPr>
      <w:r>
        <w:rPr>
          <w:rFonts w:ascii="Arial" w:cs="Arial" w:eastAsia="Arial" w:hAnsi="Arial"/>
          <w:sz w:val="20"/>
          <w:szCs w:val="20"/>
          <w:color w:val="auto"/>
        </w:rPr>
        <w:t>dispositions; legal judgments, settlements, or other matters; and tax positions. Due to the uncertainty of the amount or timing of these future excluded items, management does not forecast them for internal use and therefore cannot create a quantitative adjusted diluted EPS for fiscal 2023 to diluted EPS reconciliation without unreasonable efforts. A quantitative reconciliation of adjusted diluted EPS for fiscal 2023 to diluted EPS would imply a degree of precision and certainty as to these future items that does not exist and could be confusing to investors. From a qualitative perspective, it is anticipated that the differences between adjusted diluted EPS for fiscal 2023 to diluted EPS will consist of items similar to those described in the financial tables later in this release, including, for example and without limitation, certain non-cash, large, and/or unpredictable charges and benefits; acquisitions and dispositions; legal judgments, settlements, or other matters; and tax positions. The timing and amount of any of these excluded items could significantly impact the company’s diluted EPS for a particular period.</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This news release contains forward-looking statements, which are being made pursuant to the safe harbor provisions of the Private Securities Litigation Reform Act of 1995. These forward-looking statements are based on management’s current assumptions and expectations of future events, and often can be identified by words such as “expect,” “strive,” “looking ahead,” “outlook,” “guidance,” “forecast,” “goal,” “optimistic,” “encourage,” “anticipate,” “continue,” “plan,” “estimate,” “project,” “target,” “improve,” “believe,” “become,” “should,” “could,” “will,” “would,” “possible,” “promise,” “may,” “likely,” “intend,” “can,” “seek,” “pursue,” “potential,” “pro forma,” variations of such words or the negative thereof, and similar expressions or future dates. Forward-looking statements involve risks and uncertainties that could cause actual events and results to differ materially from those projected or implied. Forward-looking statements in this release include the company’s fiscal 2023 financial guidance, expectations regarding demand trends and supply chain stabilization, and other statements made under the "Outlook" section of this release. Particular risks and uncertainties that may affect the company’s operating results or financial position or cause actual events and results to differ materially from those projected or implied include: adverse worldwide economic conditions, including inflationary pressures and higher interest rates; the effect of abnormal weather patterns; customer, government and municipal revenue, budget spending levels and cash conservation efforts; loss of any substantial customer; inventory adjustments or changes in purchasing patterns by customers; fluctuations in the cost and availability of commodities, components, parts, and accessories, including steel, engines, hydraulics, and resins; disruption at or in proximity to its facilities or in its manufacturing or other operations, or those in its distribution channel customers, mass retailers or home centers where its products are sold, or suppliers; risks associated with acquisitions and dispositions, including the company's acquisition of the Intimidator Group and possible future impairment of goodwill or other intangible assets; impacts of any future restructuring activities or cost savings initiatives; COVID-19 related factors, risks and challenges; the effect of natural disasters, social unrest, war and global pandemics; the level of growth or contraction in its key markets; the company’s ability to develop and achieve market acceptance for new products; increased competition; the risks attendant to international relations, operations and markets; foreign currency exchange rate fluctuations; financial viability of and/or relationships with the company’s distribution channel partners; management of strategic partnerships, key customer relationships, alliances or joint ventures, including Red Iron Acceptance, LLC; impact of laws, regulations and standards, consumer product safety, accounting, taxation, trade, tariffs and/or antidumping and countervailing duties petitions, healthcare, and environmental, health and safety matters; unforeseen product quality problems; loss of or changes in executive management or key employees; the occurrence of litigation or claims, including those involving intellectual property or product liability matters; impact of increased scrutiny on its environmental, social, and governance practices; and other risks and uncertainties described in the company’s most recent annual report on Form 10-K, subsequent quarterly reports on Form 10-Q and other filings with the Securities and Exchange Commission. The company makes no commitment to revise or update any forward-looking statements in order to reflect events or circumstances occurring or existing after the date any forward-looking statement is made.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tables follow)</w:t>
      </w:r>
    </w:p>
    <w:p>
      <w:pPr>
        <w:sectPr>
          <w:pgSz w:w="11900" w:h="16838" w:orient="portrait"/>
          <w:cols w:equalWidth="0" w:num="1">
            <w:col w:w="11240"/>
          </w:cols>
          <w:pgMar w:left="320" w:top="770" w:right="339" w:bottom="1440" w:gutter="0" w:footer="0" w:header="0"/>
        </w:sectPr>
      </w:pPr>
    </w:p>
    <w:bookmarkStart w:id="8" w:name="page9"/>
    <w:bookmarkEnd w:id="8"/>
    <w:p>
      <w:pPr>
        <w:jc w:val="center"/>
        <w:spacing w:after="0" w:line="264" w:lineRule="auto"/>
        <w:rPr>
          <w:sz w:val="20"/>
          <w:szCs w:val="20"/>
          <w:color w:val="auto"/>
        </w:rPr>
      </w:pPr>
      <w:r>
        <w:rPr>
          <w:rFonts w:ascii="Arial" w:cs="Arial" w:eastAsia="Arial" w:hAnsi="Arial"/>
          <w:sz w:val="20"/>
          <w:szCs w:val="20"/>
          <w:b w:val="1"/>
          <w:bCs w:val="1"/>
          <w:color w:val="auto"/>
        </w:rPr>
        <w:t>THE TORO COMPANY AND SUBSIDIARIES Condensed Consolidated Statements of Earnings (Unaudited) (Dollars and shares in thousands, except per-share data)</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2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3"/>
          </w:tcPr>
          <w:p>
            <w:pPr>
              <w:jc w:val="right"/>
              <w:ind w:right="797"/>
              <w:spacing w:after="0"/>
              <w:rPr>
                <w:sz w:val="20"/>
                <w:szCs w:val="20"/>
                <w:color w:val="auto"/>
              </w:rPr>
            </w:pPr>
            <w:r>
              <w:rPr>
                <w:rFonts w:ascii="Arial" w:cs="Arial" w:eastAsia="Arial" w:hAnsi="Arial"/>
                <w:sz w:val="17"/>
                <w:szCs w:val="17"/>
                <w:b w:val="1"/>
                <w:bCs w:val="1"/>
                <w:color w:val="auto"/>
              </w:rPr>
              <w:t>Three Months Ended</w:t>
            </w:r>
          </w:p>
        </w:tc>
        <w:tc>
          <w:tcPr>
            <w:tcW w:w="22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gridSpan w:val="3"/>
          </w:tcPr>
          <w:p>
            <w:pPr>
              <w:jc w:val="right"/>
              <w:ind w:right="777"/>
              <w:spacing w:after="0"/>
              <w:rPr>
                <w:sz w:val="20"/>
                <w:szCs w:val="20"/>
                <w:color w:val="auto"/>
              </w:rPr>
            </w:pPr>
            <w:r>
              <w:rPr>
                <w:rFonts w:ascii="Arial" w:cs="Arial" w:eastAsia="Arial" w:hAnsi="Arial"/>
                <w:sz w:val="17"/>
                <w:szCs w:val="17"/>
                <w:b w:val="1"/>
                <w:bCs w:val="1"/>
                <w:color w:val="auto"/>
              </w:rPr>
              <w:t>Nine Months Ended</w:t>
            </w:r>
          </w:p>
        </w:tc>
      </w:tr>
      <w:tr>
        <w:trPr>
          <w:trHeight w:val="210"/>
        </w:trPr>
        <w:tc>
          <w:tcPr>
            <w:tcW w:w="42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b w:val="1"/>
                <w:bCs w:val="1"/>
                <w:color w:val="auto"/>
                <w:w w:val="99"/>
              </w:rPr>
              <w:t>August 4, 2023</w:t>
            </w: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257"/>
              <w:spacing w:after="0"/>
              <w:rPr>
                <w:sz w:val="20"/>
                <w:szCs w:val="20"/>
                <w:color w:val="auto"/>
              </w:rPr>
            </w:pPr>
            <w:r>
              <w:rPr>
                <w:rFonts w:ascii="Arial" w:cs="Arial" w:eastAsia="Arial" w:hAnsi="Arial"/>
                <w:sz w:val="17"/>
                <w:szCs w:val="17"/>
                <w:b w:val="1"/>
                <w:bCs w:val="1"/>
                <w:color w:val="auto"/>
              </w:rPr>
              <w:t>July 29, 2022</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b w:val="1"/>
                <w:bCs w:val="1"/>
                <w:color w:val="auto"/>
                <w:w w:val="99"/>
              </w:rPr>
              <w:t>August 4, 2023</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b w:val="1"/>
                <w:bCs w:val="1"/>
                <w:color w:val="auto"/>
              </w:rPr>
              <w:t>July 29, 2022</w:t>
            </w:r>
          </w:p>
        </w:tc>
      </w:tr>
      <w:tr>
        <w:trPr>
          <w:trHeight w:val="209"/>
        </w:trPr>
        <w:tc>
          <w:tcPr>
            <w:tcW w:w="4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1,081,784</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1,160,550</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3,569,950</w:t>
            </w:r>
          </w:p>
        </w:tc>
        <w:tc>
          <w:tcPr>
            <w:tcW w:w="2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3,342,678</w:t>
            </w:r>
          </w:p>
        </w:tc>
      </w:tr>
      <w:tr>
        <w:trPr>
          <w:trHeight w:val="214"/>
        </w:trPr>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Cost of sales</w:t>
            </w: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709,430</w:t>
            </w: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760,644</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2,321,951</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2,236,927</w:t>
            </w:r>
          </w:p>
        </w:tc>
      </w:tr>
      <w:tr>
        <w:trPr>
          <w:trHeight w:val="211"/>
        </w:trPr>
        <w:tc>
          <w:tcPr>
            <w:tcW w:w="4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372,354</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399,906</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1,247,999</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1,105,751</w:t>
            </w:r>
          </w:p>
        </w:tc>
      </w:tr>
      <w:tr>
        <w:trPr>
          <w:trHeight w:val="214"/>
        </w:trPr>
        <w:tc>
          <w:tcPr>
            <w:tcW w:w="4260" w:type="dxa"/>
            <w:vAlign w:val="bottom"/>
          </w:tcPr>
          <w:p>
            <w:pPr>
              <w:ind w:left="140"/>
              <w:spacing w:after="0"/>
              <w:rPr>
                <w:sz w:val="20"/>
                <w:szCs w:val="20"/>
                <w:color w:val="auto"/>
              </w:rPr>
            </w:pPr>
            <w:r>
              <w:rPr>
                <w:rFonts w:ascii="Arial" w:cs="Arial" w:eastAsia="Arial" w:hAnsi="Arial"/>
                <w:sz w:val="17"/>
                <w:szCs w:val="17"/>
                <w:color w:val="auto"/>
              </w:rPr>
              <w:t>Gross margin</w:t>
            </w: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34.4 %</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34.5 %</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35.0 %</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33.1 %</w:t>
            </w:r>
          </w:p>
        </w:tc>
      </w:tr>
      <w:tr>
        <w:trPr>
          <w:trHeight w:val="218"/>
        </w:trPr>
        <w:tc>
          <w:tcPr>
            <w:tcW w:w="4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 expense</w:t>
            </w: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240,163</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236,858</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760,585</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680,500</w:t>
            </w:r>
          </w:p>
        </w:tc>
      </w:tr>
      <w:tr>
        <w:trPr>
          <w:trHeight w:val="214"/>
        </w:trPr>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Non-cash impairment charges</w:t>
            </w: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151,263</w:t>
            </w: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151,263</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w:t>
            </w:r>
          </w:p>
        </w:tc>
      </w:tr>
      <w:tr>
        <w:trPr>
          <w:trHeight w:val="211"/>
        </w:trPr>
        <w:tc>
          <w:tcPr>
            <w:tcW w:w="4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Operating (loss) earnings</w:t>
            </w: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(19,072)</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163,048</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336,151</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425,251</w:t>
            </w:r>
          </w:p>
        </w:tc>
      </w:tr>
      <w:tr>
        <w:trPr>
          <w:trHeight w:val="214"/>
        </w:trPr>
        <w:tc>
          <w:tcPr>
            <w:tcW w:w="426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420" w:type="dxa"/>
            <w:vAlign w:val="bottom"/>
          </w:tcPr>
          <w:p>
            <w:pPr>
              <w:spacing w:after="0"/>
              <w:rPr>
                <w:sz w:val="18"/>
                <w:szCs w:val="18"/>
                <w:color w:val="auto"/>
              </w:rPr>
            </w:pPr>
          </w:p>
        </w:tc>
        <w:tc>
          <w:tcPr>
            <w:tcW w:w="1480" w:type="dxa"/>
            <w:vAlign w:val="bottom"/>
          </w:tcPr>
          <w:p>
            <w:pPr>
              <w:jc w:val="right"/>
              <w:ind w:right="157"/>
              <w:spacing w:after="0"/>
              <w:rPr>
                <w:sz w:val="20"/>
                <w:szCs w:val="20"/>
                <w:color w:val="auto"/>
              </w:rPr>
            </w:pPr>
            <w:r>
              <w:rPr>
                <w:rFonts w:ascii="Arial" w:cs="Arial" w:eastAsia="Arial" w:hAnsi="Arial"/>
                <w:sz w:val="17"/>
                <w:szCs w:val="17"/>
                <w:color w:val="auto"/>
              </w:rPr>
              <w:t>(14,987)</w:t>
            </w:r>
          </w:p>
        </w:tc>
        <w:tc>
          <w:tcPr>
            <w:tcW w:w="240" w:type="dxa"/>
            <w:vAlign w:val="bottom"/>
          </w:tcPr>
          <w:p>
            <w:pPr>
              <w:spacing w:after="0"/>
              <w:rPr>
                <w:sz w:val="18"/>
                <w:szCs w:val="18"/>
                <w:color w:val="auto"/>
              </w:rPr>
            </w:pPr>
          </w:p>
        </w:tc>
        <w:tc>
          <w:tcPr>
            <w:tcW w:w="1460" w:type="dxa"/>
            <w:vAlign w:val="bottom"/>
          </w:tcPr>
          <w:p>
            <w:pPr>
              <w:jc w:val="right"/>
              <w:ind w:right="157"/>
              <w:spacing w:after="0"/>
              <w:rPr>
                <w:sz w:val="20"/>
                <w:szCs w:val="20"/>
                <w:color w:val="auto"/>
              </w:rPr>
            </w:pPr>
            <w:r>
              <w:rPr>
                <w:rFonts w:ascii="Arial" w:cs="Arial" w:eastAsia="Arial" w:hAnsi="Arial"/>
                <w:sz w:val="17"/>
                <w:szCs w:val="17"/>
                <w:color w:val="auto"/>
              </w:rPr>
              <w:t>(9,182)</w:t>
            </w:r>
          </w:p>
        </w:tc>
        <w:tc>
          <w:tcPr>
            <w:tcW w:w="220" w:type="dxa"/>
            <w:vAlign w:val="bottom"/>
          </w:tcPr>
          <w:p>
            <w:pPr>
              <w:spacing w:after="0"/>
              <w:rPr>
                <w:sz w:val="18"/>
                <w:szCs w:val="18"/>
                <w:color w:val="auto"/>
              </w:rPr>
            </w:pPr>
          </w:p>
        </w:tc>
        <w:tc>
          <w:tcPr>
            <w:tcW w:w="1480" w:type="dxa"/>
            <w:vAlign w:val="bottom"/>
          </w:tcPr>
          <w:p>
            <w:pPr>
              <w:jc w:val="right"/>
              <w:ind w:right="137"/>
              <w:spacing w:after="0"/>
              <w:rPr>
                <w:sz w:val="20"/>
                <w:szCs w:val="20"/>
                <w:color w:val="auto"/>
              </w:rPr>
            </w:pPr>
            <w:r>
              <w:rPr>
                <w:rFonts w:ascii="Arial" w:cs="Arial" w:eastAsia="Arial" w:hAnsi="Arial"/>
                <w:sz w:val="17"/>
                <w:szCs w:val="17"/>
                <w:color w:val="auto"/>
              </w:rPr>
              <w:t>(43,822)</w:t>
            </w:r>
          </w:p>
        </w:tc>
        <w:tc>
          <w:tcPr>
            <w:tcW w:w="260" w:type="dxa"/>
            <w:vAlign w:val="bottom"/>
          </w:tcPr>
          <w:p>
            <w:pPr>
              <w:spacing w:after="0"/>
              <w:rPr>
                <w:sz w:val="18"/>
                <w:szCs w:val="18"/>
                <w:color w:val="auto"/>
              </w:rPr>
            </w:pPr>
          </w:p>
        </w:tc>
        <w:tc>
          <w:tcPr>
            <w:tcW w:w="1380" w:type="dxa"/>
            <w:vAlign w:val="bottom"/>
          </w:tcPr>
          <w:p>
            <w:pPr>
              <w:jc w:val="right"/>
              <w:ind w:right="77"/>
              <w:spacing w:after="0"/>
              <w:rPr>
                <w:sz w:val="20"/>
                <w:szCs w:val="20"/>
                <w:color w:val="auto"/>
              </w:rPr>
            </w:pPr>
            <w:r>
              <w:rPr>
                <w:rFonts w:ascii="Arial" w:cs="Arial" w:eastAsia="Arial" w:hAnsi="Arial"/>
                <w:sz w:val="17"/>
                <w:szCs w:val="17"/>
                <w:color w:val="auto"/>
              </w:rPr>
              <w:t>(24,219)</w:t>
            </w:r>
          </w:p>
        </w:tc>
      </w:tr>
      <w:tr>
        <w:trPr>
          <w:trHeight w:val="216"/>
        </w:trPr>
        <w:tc>
          <w:tcPr>
            <w:tcW w:w="4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Other income, net</w:t>
            </w:r>
          </w:p>
        </w:tc>
        <w:tc>
          <w:tcPr>
            <w:tcW w:w="4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rPr>
              <w:t>5,496</w:t>
            </w:r>
          </w:p>
        </w:tc>
        <w:tc>
          <w:tcPr>
            <w:tcW w:w="2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rPr>
              <w:t>3,225</w:t>
            </w: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rPr>
              <w:t>21,241</w:t>
            </w: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8,262</w:t>
            </w:r>
          </w:p>
        </w:tc>
      </w:tr>
      <w:tr>
        <w:trPr>
          <w:trHeight w:val="209"/>
        </w:trPr>
        <w:tc>
          <w:tcPr>
            <w:tcW w:w="4260" w:type="dxa"/>
            <w:vAlign w:val="bottom"/>
          </w:tcPr>
          <w:p>
            <w:pPr>
              <w:ind w:left="140"/>
              <w:spacing w:after="0"/>
              <w:rPr>
                <w:sz w:val="20"/>
                <w:szCs w:val="20"/>
                <w:color w:val="auto"/>
              </w:rPr>
            </w:pPr>
            <w:r>
              <w:rPr>
                <w:rFonts w:ascii="Arial" w:cs="Arial" w:eastAsia="Arial" w:hAnsi="Arial"/>
                <w:sz w:val="17"/>
                <w:szCs w:val="17"/>
                <w:color w:val="auto"/>
              </w:rPr>
              <w:t>(Loss) earnings before income taxes</w:t>
            </w:r>
          </w:p>
        </w:tc>
        <w:tc>
          <w:tcPr>
            <w:tcW w:w="420" w:type="dxa"/>
            <w:vAlign w:val="bottom"/>
          </w:tcPr>
          <w:p>
            <w:pPr>
              <w:spacing w:after="0"/>
              <w:rPr>
                <w:sz w:val="18"/>
                <w:szCs w:val="18"/>
                <w:color w:val="auto"/>
              </w:rPr>
            </w:pPr>
          </w:p>
        </w:tc>
        <w:tc>
          <w:tcPr>
            <w:tcW w:w="1480" w:type="dxa"/>
            <w:vAlign w:val="bottom"/>
          </w:tcPr>
          <w:p>
            <w:pPr>
              <w:jc w:val="right"/>
              <w:ind w:right="157"/>
              <w:spacing w:after="0"/>
              <w:rPr>
                <w:sz w:val="20"/>
                <w:szCs w:val="20"/>
                <w:color w:val="auto"/>
              </w:rPr>
            </w:pPr>
            <w:r>
              <w:rPr>
                <w:rFonts w:ascii="Arial" w:cs="Arial" w:eastAsia="Arial" w:hAnsi="Arial"/>
                <w:sz w:val="17"/>
                <w:szCs w:val="17"/>
                <w:color w:val="auto"/>
              </w:rPr>
              <w:t>(28,563)</w:t>
            </w:r>
          </w:p>
        </w:tc>
        <w:tc>
          <w:tcPr>
            <w:tcW w:w="240" w:type="dxa"/>
            <w:vAlign w:val="bottom"/>
          </w:tcPr>
          <w:p>
            <w:pPr>
              <w:spacing w:after="0"/>
              <w:rPr>
                <w:sz w:val="18"/>
                <w:szCs w:val="18"/>
                <w:color w:val="auto"/>
              </w:rPr>
            </w:pPr>
          </w:p>
        </w:tc>
        <w:tc>
          <w:tcPr>
            <w:tcW w:w="1460" w:type="dxa"/>
            <w:vAlign w:val="bottom"/>
          </w:tcPr>
          <w:p>
            <w:pPr>
              <w:jc w:val="right"/>
              <w:ind w:right="197"/>
              <w:spacing w:after="0"/>
              <w:rPr>
                <w:sz w:val="20"/>
                <w:szCs w:val="20"/>
                <w:color w:val="auto"/>
              </w:rPr>
            </w:pPr>
            <w:r>
              <w:rPr>
                <w:rFonts w:ascii="Arial" w:cs="Arial" w:eastAsia="Arial" w:hAnsi="Arial"/>
                <w:sz w:val="17"/>
                <w:szCs w:val="17"/>
                <w:color w:val="auto"/>
              </w:rPr>
              <w:t>157,091</w:t>
            </w:r>
          </w:p>
        </w:tc>
        <w:tc>
          <w:tcPr>
            <w:tcW w:w="220" w:type="dxa"/>
            <w:vAlign w:val="bottom"/>
          </w:tcPr>
          <w:p>
            <w:pPr>
              <w:spacing w:after="0"/>
              <w:rPr>
                <w:sz w:val="18"/>
                <w:szCs w:val="18"/>
                <w:color w:val="auto"/>
              </w:rPr>
            </w:pPr>
          </w:p>
        </w:tc>
        <w:tc>
          <w:tcPr>
            <w:tcW w:w="1480" w:type="dxa"/>
            <w:vAlign w:val="bottom"/>
          </w:tcPr>
          <w:p>
            <w:pPr>
              <w:jc w:val="right"/>
              <w:ind w:right="197"/>
              <w:spacing w:after="0"/>
              <w:rPr>
                <w:sz w:val="20"/>
                <w:szCs w:val="20"/>
                <w:color w:val="auto"/>
              </w:rPr>
            </w:pPr>
            <w:r>
              <w:rPr>
                <w:rFonts w:ascii="Arial" w:cs="Arial" w:eastAsia="Arial" w:hAnsi="Arial"/>
                <w:sz w:val="17"/>
                <w:szCs w:val="17"/>
                <w:color w:val="auto"/>
              </w:rPr>
              <w:t>313,570</w:t>
            </w:r>
          </w:p>
        </w:tc>
        <w:tc>
          <w:tcPr>
            <w:tcW w:w="260" w:type="dxa"/>
            <w:vAlign w:val="bottom"/>
          </w:tcPr>
          <w:p>
            <w:pPr>
              <w:spacing w:after="0"/>
              <w:rPr>
                <w:sz w:val="18"/>
                <w:szCs w:val="18"/>
                <w:color w:val="auto"/>
              </w:rPr>
            </w:pPr>
          </w:p>
        </w:tc>
        <w:tc>
          <w:tcPr>
            <w:tcW w:w="1380" w:type="dxa"/>
            <w:vAlign w:val="bottom"/>
          </w:tcPr>
          <w:p>
            <w:pPr>
              <w:jc w:val="right"/>
              <w:ind w:right="137"/>
              <w:spacing w:after="0"/>
              <w:rPr>
                <w:sz w:val="20"/>
                <w:szCs w:val="20"/>
                <w:color w:val="auto"/>
              </w:rPr>
            </w:pPr>
            <w:r>
              <w:rPr>
                <w:rFonts w:ascii="Arial" w:cs="Arial" w:eastAsia="Arial" w:hAnsi="Arial"/>
                <w:sz w:val="17"/>
                <w:szCs w:val="17"/>
                <w:color w:val="auto"/>
              </w:rPr>
              <w:t>409,294</w:t>
            </w:r>
          </w:p>
        </w:tc>
      </w:tr>
      <w:tr>
        <w:trPr>
          <w:trHeight w:val="216"/>
        </w:trPr>
        <w:tc>
          <w:tcPr>
            <w:tcW w:w="4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Income tax (benefit) provision</w:t>
            </w:r>
          </w:p>
        </w:tc>
        <w:tc>
          <w:tcPr>
            <w:tcW w:w="4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rPr>
              <w:t>(13,600)</w:t>
            </w:r>
          </w:p>
        </w:tc>
        <w:tc>
          <w:tcPr>
            <w:tcW w:w="2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rPr>
              <w:t>31,941</w:t>
            </w: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rPr>
              <w:t>54,208</w:t>
            </w: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83,509</w:t>
            </w:r>
          </w:p>
        </w:tc>
      </w:tr>
      <w:tr>
        <w:trPr>
          <w:trHeight w:val="210"/>
        </w:trPr>
        <w:tc>
          <w:tcPr>
            <w:tcW w:w="426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Net (loss) earnings</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rPr>
              <w:t>(14,963)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125,150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259,362</w:t>
            </w:r>
          </w:p>
        </w:tc>
        <w:tc>
          <w:tcPr>
            <w:tcW w:w="2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325,785</w:t>
            </w:r>
          </w:p>
        </w:tc>
      </w:tr>
      <w:tr>
        <w:trPr>
          <w:trHeight w:val="20"/>
        </w:trPr>
        <w:tc>
          <w:tcPr>
            <w:tcW w:w="4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77"/>
        </w:trPr>
        <w:tc>
          <w:tcPr>
            <w:tcW w:w="4260" w:type="dxa"/>
            <w:vAlign w:val="bottom"/>
            <w:tcBorders>
              <w:bottom w:val="single" w:sz="8" w:color="auto"/>
            </w:tcBorders>
            <w:shd w:val="clear" w:color="auto" w:fill="CCEEFF"/>
          </w:tcPr>
          <w:p>
            <w:pPr>
              <w:spacing w:after="0"/>
              <w:rPr>
                <w:sz w:val="6"/>
                <w:szCs w:val="6"/>
                <w:color w:val="auto"/>
              </w:rPr>
            </w:pPr>
          </w:p>
        </w:tc>
        <w:tc>
          <w:tcPr>
            <w:tcW w:w="420" w:type="dxa"/>
            <w:vAlign w:val="bottom"/>
            <w:tcBorders>
              <w:bottom w:val="single" w:sz="8" w:color="auto"/>
            </w:tcBorders>
            <w:shd w:val="clear" w:color="auto" w:fill="CCEEFF"/>
          </w:tcPr>
          <w:p>
            <w:pPr>
              <w:spacing w:after="0"/>
              <w:rPr>
                <w:sz w:val="6"/>
                <w:szCs w:val="6"/>
                <w:color w:val="auto"/>
              </w:rPr>
            </w:pPr>
          </w:p>
        </w:tc>
        <w:tc>
          <w:tcPr>
            <w:tcW w:w="1480" w:type="dxa"/>
            <w:vAlign w:val="bottom"/>
            <w:tcBorders>
              <w:bottom w:val="single" w:sz="8" w:color="auto"/>
            </w:tcBorders>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46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480" w:type="dxa"/>
            <w:vAlign w:val="bottom"/>
            <w:tcBorders>
              <w:bottom w:val="single" w:sz="8" w:color="auto"/>
            </w:tcBorders>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380" w:type="dxa"/>
            <w:vAlign w:val="bottom"/>
            <w:tcBorders>
              <w:bottom w:val="single" w:sz="8" w:color="auto"/>
            </w:tcBorders>
            <w:shd w:val="clear" w:color="auto" w:fill="CCEEFF"/>
          </w:tcPr>
          <w:p>
            <w:pPr>
              <w:spacing w:after="0"/>
              <w:rPr>
                <w:sz w:val="6"/>
                <w:szCs w:val="6"/>
                <w:color w:val="auto"/>
              </w:rPr>
            </w:pPr>
          </w:p>
        </w:tc>
      </w:tr>
      <w:tr>
        <w:trPr>
          <w:trHeight w:val="208"/>
        </w:trPr>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Basic net (loss) earnings per share of common stock</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rPr>
              <w:t>(0.14)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1.19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2.48</w:t>
            </w:r>
          </w:p>
        </w:tc>
        <w:tc>
          <w:tcPr>
            <w:tcW w:w="2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3.10</w:t>
            </w:r>
          </w:p>
        </w:tc>
      </w:tr>
      <w:tr>
        <w:trPr>
          <w:trHeight w:val="90"/>
        </w:trPr>
        <w:tc>
          <w:tcPr>
            <w:tcW w:w="4260" w:type="dxa"/>
            <w:vAlign w:val="bottom"/>
            <w:tcBorders>
              <w:bottom w:val="single" w:sz="8" w:color="auto"/>
            </w:tcBorders>
            <w:shd w:val="clear" w:color="auto" w:fill="CCEEFF"/>
          </w:tcPr>
          <w:p>
            <w:pPr>
              <w:spacing w:after="0"/>
              <w:rPr>
                <w:sz w:val="7"/>
                <w:szCs w:val="7"/>
                <w:color w:val="auto"/>
              </w:rPr>
            </w:pPr>
          </w:p>
        </w:tc>
        <w:tc>
          <w:tcPr>
            <w:tcW w:w="420" w:type="dxa"/>
            <w:vAlign w:val="bottom"/>
            <w:tcBorders>
              <w:bottom w:val="single" w:sz="8" w:color="auto"/>
            </w:tcBorders>
            <w:shd w:val="clear" w:color="auto" w:fill="CCEEFF"/>
          </w:tcPr>
          <w:p>
            <w:pPr>
              <w:spacing w:after="0"/>
              <w:rPr>
                <w:sz w:val="7"/>
                <w:szCs w:val="7"/>
                <w:color w:val="auto"/>
              </w:rPr>
            </w:pPr>
          </w:p>
        </w:tc>
        <w:tc>
          <w:tcPr>
            <w:tcW w:w="1480" w:type="dxa"/>
            <w:vAlign w:val="bottom"/>
            <w:tcBorders>
              <w:bottom w:val="single" w:sz="8" w:color="auto"/>
            </w:tcBorders>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1460" w:type="dxa"/>
            <w:vAlign w:val="bottom"/>
            <w:tcBorders>
              <w:bottom w:val="single" w:sz="8" w:color="auto"/>
            </w:tcBorders>
            <w:shd w:val="clear" w:color="auto" w:fill="CCEEFF"/>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1480" w:type="dxa"/>
            <w:vAlign w:val="bottom"/>
            <w:tcBorders>
              <w:bottom w:val="single" w:sz="8" w:color="auto"/>
            </w:tcBorders>
            <w:shd w:val="clear" w:color="auto" w:fill="CCEEFF"/>
          </w:tcPr>
          <w:p>
            <w:pPr>
              <w:spacing w:after="0"/>
              <w:rPr>
                <w:sz w:val="7"/>
                <w:szCs w:val="7"/>
                <w:color w:val="auto"/>
              </w:rPr>
            </w:pPr>
          </w:p>
        </w:tc>
        <w:tc>
          <w:tcPr>
            <w:tcW w:w="260" w:type="dxa"/>
            <w:vAlign w:val="bottom"/>
            <w:tcBorders>
              <w:bottom w:val="single" w:sz="8" w:color="auto"/>
            </w:tcBorders>
            <w:shd w:val="clear" w:color="auto" w:fill="CCEEFF"/>
          </w:tcPr>
          <w:p>
            <w:pPr>
              <w:spacing w:after="0"/>
              <w:rPr>
                <w:sz w:val="7"/>
                <w:szCs w:val="7"/>
                <w:color w:val="auto"/>
              </w:rPr>
            </w:pPr>
          </w:p>
        </w:tc>
        <w:tc>
          <w:tcPr>
            <w:tcW w:w="1380" w:type="dxa"/>
            <w:vAlign w:val="bottom"/>
            <w:tcBorders>
              <w:bottom w:val="single" w:sz="8" w:color="auto"/>
            </w:tcBorders>
            <w:shd w:val="clear" w:color="auto" w:fill="CCEEFF"/>
          </w:tcPr>
          <w:p>
            <w:pPr>
              <w:spacing w:after="0"/>
              <w:rPr>
                <w:sz w:val="7"/>
                <w:szCs w:val="7"/>
                <w:color w:val="auto"/>
              </w:rPr>
            </w:pPr>
          </w:p>
        </w:tc>
      </w:tr>
      <w:tr>
        <w:trPr>
          <w:trHeight w:val="208"/>
        </w:trPr>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Diluted net (loss) earnings per share of common stock</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rPr>
              <w:t>(0.14)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1.19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2.46</w:t>
            </w:r>
          </w:p>
        </w:tc>
        <w:tc>
          <w:tcPr>
            <w:tcW w:w="2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3.08</w:t>
            </w:r>
          </w:p>
        </w:tc>
      </w:tr>
      <w:tr>
        <w:trPr>
          <w:trHeight w:val="90"/>
        </w:trPr>
        <w:tc>
          <w:tcPr>
            <w:tcW w:w="42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380" w:type="dxa"/>
            <w:vAlign w:val="bottom"/>
            <w:shd w:val="clear" w:color="auto" w:fill="CCEEFF"/>
          </w:tcPr>
          <w:p>
            <w:pPr>
              <w:spacing w:after="0"/>
              <w:rPr>
                <w:sz w:val="7"/>
                <w:szCs w:val="7"/>
                <w:color w:val="auto"/>
              </w:rPr>
            </w:pPr>
          </w:p>
        </w:tc>
      </w:tr>
    </w:tbl>
    <w:p>
      <w:pPr>
        <w:spacing w:after="0" w:line="1" w:lineRule="exact"/>
        <w:rPr>
          <w:sz w:val="20"/>
          <w:szCs w:val="20"/>
          <w:color w:val="auto"/>
        </w:rPr>
      </w:pPr>
    </w:p>
    <w:p>
      <w:pPr>
        <w:sectPr>
          <w:pgSz w:w="11900" w:h="16838" w:orient="portrait"/>
          <w:cols w:equalWidth="0" w:num="1">
            <w:col w:w="11200"/>
          </w:cols>
          <w:pgMar w:left="340" w:top="760" w:right="359" w:bottom="1440" w:gutter="0" w:footer="0" w:header="0"/>
        </w:sectPr>
      </w:pPr>
    </w:p>
    <w:p>
      <w:pPr>
        <w:ind w:left="20" w:right="540"/>
        <w:spacing w:after="0" w:line="229" w:lineRule="auto"/>
        <w:rPr>
          <w:sz w:val="20"/>
          <w:szCs w:val="20"/>
          <w:color w:val="auto"/>
        </w:rPr>
      </w:pPr>
      <w:r>
        <w:rPr>
          <w:rFonts w:ascii="Arial" w:cs="Arial" w:eastAsia="Arial" w:hAnsi="Arial"/>
          <w:sz w:val="17"/>
          <w:szCs w:val="17"/>
          <w:color w:val="auto"/>
        </w:rPr>
        <w:t>Weighted-average number of shares of common stock outstanding — Basic</w:t>
      </w:r>
    </w:p>
    <w:p>
      <w:pPr>
        <w:spacing w:after="0" w:line="126" w:lineRule="exact"/>
        <w:rPr>
          <w:sz w:val="20"/>
          <w:szCs w:val="20"/>
          <w:color w:val="auto"/>
        </w:rPr>
      </w:pPr>
    </w:p>
    <w:p>
      <w:pPr>
        <w:ind w:left="20" w:right="540"/>
        <w:spacing w:after="0" w:line="229" w:lineRule="auto"/>
        <w:rPr>
          <w:sz w:val="20"/>
          <w:szCs w:val="20"/>
          <w:color w:val="auto"/>
        </w:rPr>
      </w:pPr>
      <w:r>
        <w:rPr>
          <w:rFonts w:ascii="Arial" w:cs="Arial" w:eastAsia="Arial" w:hAnsi="Arial"/>
          <w:sz w:val="17"/>
          <w:szCs w:val="17"/>
          <w:color w:val="auto"/>
        </w:rPr>
        <w:t>Weighted-average number of shares of common stock outstanding — Diluted</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1160" w:type="dxa"/>
            <w:vAlign w:val="bottom"/>
          </w:tcPr>
          <w:p>
            <w:pPr>
              <w:jc w:val="right"/>
              <w:ind w:right="477"/>
              <w:spacing w:after="0"/>
              <w:rPr>
                <w:sz w:val="20"/>
                <w:szCs w:val="20"/>
                <w:color w:val="auto"/>
              </w:rPr>
            </w:pPr>
            <w:r>
              <w:rPr>
                <w:rFonts w:ascii="Arial" w:cs="Arial" w:eastAsia="Arial" w:hAnsi="Arial"/>
                <w:sz w:val="17"/>
                <w:szCs w:val="17"/>
                <w:color w:val="auto"/>
                <w:w w:val="94"/>
              </w:rPr>
              <w:t>104,286</w:t>
            </w:r>
          </w:p>
        </w:tc>
        <w:tc>
          <w:tcPr>
            <w:tcW w:w="1700" w:type="dxa"/>
            <w:vAlign w:val="bottom"/>
          </w:tcPr>
          <w:p>
            <w:pPr>
              <w:jc w:val="right"/>
              <w:ind w:right="477"/>
              <w:spacing w:after="0"/>
              <w:rPr>
                <w:sz w:val="20"/>
                <w:szCs w:val="20"/>
                <w:color w:val="auto"/>
              </w:rPr>
            </w:pPr>
            <w:r>
              <w:rPr>
                <w:rFonts w:ascii="Arial" w:cs="Arial" w:eastAsia="Arial" w:hAnsi="Arial"/>
                <w:sz w:val="17"/>
                <w:szCs w:val="17"/>
                <w:color w:val="auto"/>
              </w:rPr>
              <w:t>104,827</w:t>
            </w:r>
          </w:p>
        </w:tc>
        <w:tc>
          <w:tcPr>
            <w:tcW w:w="1700" w:type="dxa"/>
            <w:vAlign w:val="bottom"/>
          </w:tcPr>
          <w:p>
            <w:pPr>
              <w:jc w:val="right"/>
              <w:ind w:right="477"/>
              <w:spacing w:after="0"/>
              <w:rPr>
                <w:sz w:val="20"/>
                <w:szCs w:val="20"/>
                <w:color w:val="auto"/>
              </w:rPr>
            </w:pPr>
            <w:r>
              <w:rPr>
                <w:rFonts w:ascii="Arial" w:cs="Arial" w:eastAsia="Arial" w:hAnsi="Arial"/>
                <w:sz w:val="17"/>
                <w:szCs w:val="17"/>
                <w:color w:val="auto"/>
              </w:rPr>
              <w:t>104,479</w:t>
            </w:r>
          </w:p>
        </w:tc>
        <w:tc>
          <w:tcPr>
            <w:tcW w:w="1140" w:type="dxa"/>
            <w:vAlign w:val="bottom"/>
          </w:tcPr>
          <w:p>
            <w:pPr>
              <w:jc w:val="right"/>
              <w:spacing w:after="0"/>
              <w:rPr>
                <w:sz w:val="20"/>
                <w:szCs w:val="20"/>
                <w:color w:val="auto"/>
              </w:rPr>
            </w:pPr>
            <w:r>
              <w:rPr>
                <w:rFonts w:ascii="Arial" w:cs="Arial" w:eastAsia="Arial" w:hAnsi="Arial"/>
                <w:sz w:val="17"/>
                <w:szCs w:val="17"/>
                <w:color w:val="auto"/>
              </w:rPr>
              <w:t>104,931</w:t>
            </w:r>
          </w:p>
        </w:tc>
      </w:tr>
      <w:tr>
        <w:trPr>
          <w:trHeight w:val="499"/>
        </w:trPr>
        <w:tc>
          <w:tcPr>
            <w:tcW w:w="1160" w:type="dxa"/>
            <w:vAlign w:val="bottom"/>
          </w:tcPr>
          <w:p>
            <w:pPr>
              <w:jc w:val="right"/>
              <w:ind w:right="477"/>
              <w:spacing w:after="0"/>
              <w:rPr>
                <w:sz w:val="20"/>
                <w:szCs w:val="20"/>
                <w:color w:val="auto"/>
              </w:rPr>
            </w:pPr>
            <w:r>
              <w:rPr>
                <w:rFonts w:ascii="Arial" w:cs="Arial" w:eastAsia="Arial" w:hAnsi="Arial"/>
                <w:sz w:val="17"/>
                <w:szCs w:val="17"/>
                <w:color w:val="auto"/>
                <w:w w:val="94"/>
              </w:rPr>
              <w:t>104,286</w:t>
            </w:r>
          </w:p>
        </w:tc>
        <w:tc>
          <w:tcPr>
            <w:tcW w:w="1700" w:type="dxa"/>
            <w:vAlign w:val="bottom"/>
          </w:tcPr>
          <w:p>
            <w:pPr>
              <w:jc w:val="right"/>
              <w:ind w:right="477"/>
              <w:spacing w:after="0"/>
              <w:rPr>
                <w:sz w:val="20"/>
                <w:szCs w:val="20"/>
                <w:color w:val="auto"/>
              </w:rPr>
            </w:pPr>
            <w:r>
              <w:rPr>
                <w:rFonts w:ascii="Arial" w:cs="Arial" w:eastAsia="Arial" w:hAnsi="Arial"/>
                <w:sz w:val="17"/>
                <w:szCs w:val="17"/>
                <w:color w:val="auto"/>
              </w:rPr>
              <w:t>105,448</w:t>
            </w:r>
          </w:p>
        </w:tc>
        <w:tc>
          <w:tcPr>
            <w:tcW w:w="1700" w:type="dxa"/>
            <w:vAlign w:val="bottom"/>
          </w:tcPr>
          <w:p>
            <w:pPr>
              <w:jc w:val="right"/>
              <w:ind w:right="477"/>
              <w:spacing w:after="0"/>
              <w:rPr>
                <w:sz w:val="20"/>
                <w:szCs w:val="20"/>
                <w:color w:val="auto"/>
              </w:rPr>
            </w:pPr>
            <w:r>
              <w:rPr>
                <w:rFonts w:ascii="Arial" w:cs="Arial" w:eastAsia="Arial" w:hAnsi="Arial"/>
                <w:sz w:val="17"/>
                <w:szCs w:val="17"/>
                <w:color w:val="auto"/>
              </w:rPr>
              <w:t>105,409</w:t>
            </w:r>
          </w:p>
        </w:tc>
        <w:tc>
          <w:tcPr>
            <w:tcW w:w="1140" w:type="dxa"/>
            <w:vAlign w:val="bottom"/>
          </w:tcPr>
          <w:p>
            <w:pPr>
              <w:jc w:val="right"/>
              <w:spacing w:after="0"/>
              <w:rPr>
                <w:sz w:val="20"/>
                <w:szCs w:val="20"/>
                <w:color w:val="auto"/>
              </w:rPr>
            </w:pPr>
            <w:r>
              <w:rPr>
                <w:rFonts w:ascii="Arial" w:cs="Arial" w:eastAsia="Arial" w:hAnsi="Arial"/>
                <w:sz w:val="17"/>
                <w:szCs w:val="17"/>
                <w:color w:val="auto"/>
              </w:rPr>
              <w:t>105,754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-313690</wp:posOffset>
            </wp:positionV>
            <wp:extent cx="7115175"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68580"/>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2540</wp:posOffset>
            </wp:positionV>
            <wp:extent cx="71151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60" w:space="720"/>
            <w:col w:w="5920"/>
          </w:cols>
          <w:pgMar w:left="340" w:top="760" w:right="359" w:bottom="1440" w:gutter="0" w:footer="0" w:header="0"/>
          <w:type w:val="continuous"/>
        </w:sect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Segment Data (Unaudited)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(Dollars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7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3"/>
          </w:tcPr>
          <w:p>
            <w:pPr>
              <w:jc w:val="right"/>
              <w:ind w:right="677"/>
              <w:spacing w:after="0"/>
              <w:rPr>
                <w:sz w:val="20"/>
                <w:szCs w:val="20"/>
                <w:color w:val="auto"/>
              </w:rPr>
            </w:pPr>
            <w:r>
              <w:rPr>
                <w:rFonts w:ascii="Arial" w:cs="Arial" w:eastAsia="Arial" w:hAnsi="Arial"/>
                <w:sz w:val="17"/>
                <w:szCs w:val="17"/>
                <w:b w:val="1"/>
                <w:bCs w:val="1"/>
                <w:color w:val="auto"/>
              </w:rPr>
              <w:t>Three Months Ended</w:t>
            </w:r>
          </w:p>
        </w:tc>
        <w:tc>
          <w:tcPr>
            <w:tcW w:w="22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3"/>
          </w:tcPr>
          <w:p>
            <w:pPr>
              <w:jc w:val="right"/>
              <w:ind w:right="677"/>
              <w:spacing w:after="0"/>
              <w:rPr>
                <w:sz w:val="20"/>
                <w:szCs w:val="20"/>
                <w:color w:val="auto"/>
              </w:rPr>
            </w:pPr>
            <w:r>
              <w:rPr>
                <w:rFonts w:ascii="Arial" w:cs="Arial" w:eastAsia="Arial" w:hAnsi="Arial"/>
                <w:sz w:val="17"/>
                <w:szCs w:val="17"/>
                <w:b w:val="1"/>
                <w:bCs w:val="1"/>
                <w:color w:val="auto"/>
              </w:rPr>
              <w:t>Nine Months Ended</w:t>
            </w:r>
          </w:p>
        </w:tc>
      </w:tr>
      <w:tr>
        <w:trPr>
          <w:trHeight w:val="210"/>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Segment net sales</w:t>
            </w:r>
          </w:p>
        </w:tc>
        <w:tc>
          <w:tcPr>
            <w:tcW w:w="1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b w:val="1"/>
                <w:bCs w:val="1"/>
                <w:color w:val="auto"/>
                <w:w w:val="98"/>
              </w:rPr>
              <w:t>August 4, 2023</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b w:val="1"/>
                <w:bCs w:val="1"/>
                <w:color w:val="auto"/>
              </w:rPr>
              <w:t>July 29, 2022</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b w:val="1"/>
                <w:bCs w:val="1"/>
                <w:color w:val="auto"/>
                <w:w w:val="98"/>
              </w:rPr>
              <w:t>August 4, 2023</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b w:val="1"/>
                <w:bCs w:val="1"/>
                <w:color w:val="auto"/>
              </w:rPr>
              <w:t>July 29, 2022</w:t>
            </w:r>
          </w:p>
        </w:tc>
      </w:tr>
      <w:tr>
        <w:trPr>
          <w:trHeight w:val="210"/>
        </w:trPr>
        <w:tc>
          <w:tcPr>
            <w:tcW w:w="3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Professional</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896,321</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886,232</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2,845,714</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2,484,927</w:t>
            </w:r>
          </w:p>
        </w:tc>
      </w:tr>
      <w:tr>
        <w:trPr>
          <w:trHeight w:val="214"/>
        </w:trPr>
        <w:tc>
          <w:tcPr>
            <w:tcW w:w="3760" w:type="dxa"/>
            <w:vAlign w:val="bottom"/>
          </w:tcPr>
          <w:p>
            <w:pPr>
              <w:ind w:left="20"/>
              <w:spacing w:after="0"/>
              <w:rPr>
                <w:sz w:val="20"/>
                <w:szCs w:val="20"/>
                <w:color w:val="auto"/>
              </w:rPr>
            </w:pPr>
            <w:r>
              <w:rPr>
                <w:rFonts w:ascii="Arial" w:cs="Arial" w:eastAsia="Arial" w:hAnsi="Arial"/>
                <w:sz w:val="17"/>
                <w:szCs w:val="17"/>
                <w:color w:val="auto"/>
              </w:rPr>
              <w:t>Residential</w:t>
            </w:r>
          </w:p>
        </w:tc>
        <w:tc>
          <w:tcPr>
            <w:tcW w:w="1260" w:type="dxa"/>
            <w:vAlign w:val="bottom"/>
          </w:tcPr>
          <w:p>
            <w:pPr>
              <w:spacing w:after="0"/>
              <w:rPr>
                <w:sz w:val="18"/>
                <w:szCs w:val="18"/>
                <w:color w:val="auto"/>
              </w:rPr>
            </w:pPr>
          </w:p>
        </w:tc>
        <w:tc>
          <w:tcPr>
            <w:tcW w:w="1400" w:type="dxa"/>
            <w:vAlign w:val="bottom"/>
          </w:tcPr>
          <w:p>
            <w:pPr>
              <w:jc w:val="right"/>
              <w:ind w:right="17"/>
              <w:spacing w:after="0"/>
              <w:rPr>
                <w:sz w:val="20"/>
                <w:szCs w:val="20"/>
                <w:color w:val="auto"/>
              </w:rPr>
            </w:pPr>
            <w:r>
              <w:rPr>
                <w:rFonts w:ascii="Arial" w:cs="Arial" w:eastAsia="Arial" w:hAnsi="Arial"/>
                <w:sz w:val="17"/>
                <w:szCs w:val="17"/>
                <w:color w:val="auto"/>
              </w:rPr>
              <w:t>175,314</w:t>
            </w:r>
          </w:p>
        </w:tc>
        <w:tc>
          <w:tcPr>
            <w:tcW w:w="240" w:type="dxa"/>
            <w:vAlign w:val="bottom"/>
          </w:tcPr>
          <w:p>
            <w:pPr>
              <w:spacing w:after="0"/>
              <w:rPr>
                <w:sz w:val="18"/>
                <w:szCs w:val="18"/>
                <w:color w:val="auto"/>
              </w:rPr>
            </w:pPr>
          </w:p>
        </w:tc>
        <w:tc>
          <w:tcPr>
            <w:tcW w:w="1360" w:type="dxa"/>
            <w:vAlign w:val="bottom"/>
          </w:tcPr>
          <w:p>
            <w:pPr>
              <w:jc w:val="right"/>
              <w:ind w:right="17"/>
              <w:spacing w:after="0"/>
              <w:rPr>
                <w:sz w:val="20"/>
                <w:szCs w:val="20"/>
                <w:color w:val="auto"/>
              </w:rPr>
            </w:pPr>
            <w:r>
              <w:rPr>
                <w:rFonts w:ascii="Arial" w:cs="Arial" w:eastAsia="Arial" w:hAnsi="Arial"/>
                <w:sz w:val="17"/>
                <w:szCs w:val="17"/>
                <w:color w:val="auto"/>
              </w:rPr>
              <w:t>269,962</w:t>
            </w:r>
          </w:p>
        </w:tc>
        <w:tc>
          <w:tcPr>
            <w:tcW w:w="220" w:type="dxa"/>
            <w:vAlign w:val="bottom"/>
          </w:tcPr>
          <w:p>
            <w:pPr>
              <w:spacing w:after="0"/>
              <w:rPr>
                <w:sz w:val="18"/>
                <w:szCs w:val="18"/>
                <w:color w:val="auto"/>
              </w:rPr>
            </w:pPr>
          </w:p>
        </w:tc>
        <w:tc>
          <w:tcPr>
            <w:tcW w:w="1380" w:type="dxa"/>
            <w:vAlign w:val="bottom"/>
          </w:tcPr>
          <w:p>
            <w:pPr>
              <w:jc w:val="right"/>
              <w:ind w:right="17"/>
              <w:spacing w:after="0"/>
              <w:rPr>
                <w:sz w:val="20"/>
                <w:szCs w:val="20"/>
                <w:color w:val="auto"/>
              </w:rPr>
            </w:pPr>
            <w:r>
              <w:rPr>
                <w:rFonts w:ascii="Arial" w:cs="Arial" w:eastAsia="Arial" w:hAnsi="Arial"/>
                <w:sz w:val="17"/>
                <w:szCs w:val="17"/>
                <w:color w:val="auto"/>
              </w:rPr>
              <w:t>705,765</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845,039</w:t>
            </w:r>
          </w:p>
        </w:tc>
      </w:tr>
      <w:tr>
        <w:trPr>
          <w:trHeight w:val="216"/>
        </w:trPr>
        <w:tc>
          <w:tcPr>
            <w:tcW w:w="3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10,149</w:t>
            </w:r>
          </w:p>
        </w:tc>
        <w:tc>
          <w:tcPr>
            <w:tcW w:w="2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4,356</w:t>
            </w: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18,471</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12,712</w:t>
            </w:r>
          </w:p>
        </w:tc>
      </w:tr>
      <w:tr>
        <w:trPr>
          <w:trHeight w:val="210"/>
        </w:trPr>
        <w:tc>
          <w:tcPr>
            <w:tcW w:w="376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Total net sales*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1,081,784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1,160,550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3,569,950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3,342,678</w:t>
            </w:r>
          </w:p>
        </w:tc>
      </w:tr>
      <w:tr>
        <w:trPr>
          <w:trHeight w:val="22"/>
        </w:trPr>
        <w:tc>
          <w:tcPr>
            <w:tcW w:w="37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75"/>
        </w:trPr>
        <w:tc>
          <w:tcPr>
            <w:tcW w:w="37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r>
      <w:tr>
        <w:trPr>
          <w:trHeight w:val="208"/>
        </w:trPr>
        <w:tc>
          <w:tcPr>
            <w:tcW w:w="3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*Includes international net sales of:</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234,964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216,142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756,686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656,799</w:t>
            </w:r>
          </w:p>
        </w:tc>
      </w:tr>
    </w:tbl>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3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3"/>
          </w:tcPr>
          <w:p>
            <w:pPr>
              <w:jc w:val="right"/>
              <w:ind w:right="697"/>
              <w:spacing w:after="0"/>
              <w:rPr>
                <w:sz w:val="20"/>
                <w:szCs w:val="20"/>
                <w:color w:val="auto"/>
              </w:rPr>
            </w:pPr>
            <w:r>
              <w:rPr>
                <w:rFonts w:ascii="Arial" w:cs="Arial" w:eastAsia="Arial" w:hAnsi="Arial"/>
                <w:sz w:val="17"/>
                <w:szCs w:val="17"/>
                <w:b w:val="1"/>
                <w:bCs w:val="1"/>
                <w:color w:val="auto"/>
              </w:rPr>
              <w:t>Three Months Ended</w:t>
            </w:r>
          </w:p>
        </w:tc>
        <w:tc>
          <w:tcPr>
            <w:tcW w:w="20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3"/>
          </w:tcPr>
          <w:p>
            <w:pPr>
              <w:jc w:val="right"/>
              <w:ind w:right="677"/>
              <w:spacing w:after="0"/>
              <w:rPr>
                <w:sz w:val="20"/>
                <w:szCs w:val="20"/>
                <w:color w:val="auto"/>
              </w:rPr>
            </w:pPr>
            <w:r>
              <w:rPr>
                <w:rFonts w:ascii="Arial" w:cs="Arial" w:eastAsia="Arial" w:hAnsi="Arial"/>
                <w:sz w:val="17"/>
                <w:szCs w:val="17"/>
                <w:b w:val="1"/>
                <w:bCs w:val="1"/>
                <w:color w:val="auto"/>
              </w:rPr>
              <w:t>Nine Months Ended</w:t>
            </w:r>
          </w:p>
        </w:tc>
      </w:tr>
      <w:tr>
        <w:trPr>
          <w:trHeight w:val="210"/>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Segment earnings (loss) before income taxes</w:t>
            </w:r>
          </w:p>
        </w:tc>
        <w:tc>
          <w:tcPr>
            <w:tcW w:w="6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b w:val="1"/>
                <w:bCs w:val="1"/>
                <w:color w:val="auto"/>
                <w:w w:val="98"/>
              </w:rPr>
              <w:t>August 4, 2023</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b w:val="1"/>
                <w:bCs w:val="1"/>
                <w:color w:val="auto"/>
              </w:rPr>
              <w:t>July 29, 2022</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b w:val="1"/>
                <w:bCs w:val="1"/>
                <w:color w:val="auto"/>
                <w:w w:val="98"/>
              </w:rPr>
              <w:t>August 4, 2023</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b w:val="1"/>
                <w:bCs w:val="1"/>
                <w:color w:val="auto"/>
              </w:rPr>
              <w:t>July 29, 2022</w:t>
            </w:r>
          </w:p>
        </w:tc>
      </w:tr>
      <w:tr>
        <w:trPr>
          <w:trHeight w:val="210"/>
        </w:trPr>
        <w:tc>
          <w:tcPr>
            <w:tcW w:w="4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Professional</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13,049</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166,191</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384,621</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424,833</w:t>
            </w:r>
          </w:p>
        </w:tc>
      </w:tr>
      <w:tr>
        <w:trPr>
          <w:trHeight w:val="214"/>
        </w:trPr>
        <w:tc>
          <w:tcPr>
            <w:tcW w:w="4380" w:type="dxa"/>
            <w:vAlign w:val="bottom"/>
          </w:tcPr>
          <w:p>
            <w:pPr>
              <w:ind w:left="20"/>
              <w:spacing w:after="0"/>
              <w:rPr>
                <w:sz w:val="20"/>
                <w:szCs w:val="20"/>
                <w:color w:val="auto"/>
              </w:rPr>
            </w:pPr>
            <w:r>
              <w:rPr>
                <w:rFonts w:ascii="Arial" w:cs="Arial" w:eastAsia="Arial" w:hAnsi="Arial"/>
                <w:sz w:val="17"/>
                <w:szCs w:val="17"/>
                <w:color w:val="auto"/>
              </w:rPr>
              <w:t>Residential</w:t>
            </w:r>
          </w:p>
        </w:tc>
        <w:tc>
          <w:tcPr>
            <w:tcW w:w="640" w:type="dxa"/>
            <w:vAlign w:val="bottom"/>
          </w:tcPr>
          <w:p>
            <w:pPr>
              <w:spacing w:after="0"/>
              <w:rPr>
                <w:sz w:val="18"/>
                <w:szCs w:val="18"/>
                <w:color w:val="auto"/>
              </w:rPr>
            </w:pPr>
          </w:p>
        </w:tc>
        <w:tc>
          <w:tcPr>
            <w:tcW w:w="1420" w:type="dxa"/>
            <w:vAlign w:val="bottom"/>
          </w:tcPr>
          <w:p>
            <w:pPr>
              <w:jc w:val="right"/>
              <w:ind w:right="37"/>
              <w:spacing w:after="0"/>
              <w:rPr>
                <w:sz w:val="20"/>
                <w:szCs w:val="20"/>
                <w:color w:val="auto"/>
              </w:rPr>
            </w:pPr>
            <w:r>
              <w:rPr>
                <w:rFonts w:ascii="Arial" w:cs="Arial" w:eastAsia="Arial" w:hAnsi="Arial"/>
                <w:sz w:val="17"/>
                <w:szCs w:val="17"/>
                <w:color w:val="auto"/>
              </w:rPr>
              <w:t>3,848</w:t>
            </w:r>
          </w:p>
        </w:tc>
        <w:tc>
          <w:tcPr>
            <w:tcW w:w="220" w:type="dxa"/>
            <w:vAlign w:val="bottom"/>
          </w:tcPr>
          <w:p>
            <w:pPr>
              <w:spacing w:after="0"/>
              <w:rPr>
                <w:sz w:val="18"/>
                <w:szCs w:val="18"/>
                <w:color w:val="auto"/>
              </w:rPr>
            </w:pPr>
          </w:p>
        </w:tc>
        <w:tc>
          <w:tcPr>
            <w:tcW w:w="1380" w:type="dxa"/>
            <w:vAlign w:val="bottom"/>
          </w:tcPr>
          <w:p>
            <w:pPr>
              <w:jc w:val="right"/>
              <w:ind w:right="37"/>
              <w:spacing w:after="0"/>
              <w:rPr>
                <w:sz w:val="20"/>
                <w:szCs w:val="20"/>
                <w:color w:val="auto"/>
              </w:rPr>
            </w:pPr>
            <w:r>
              <w:rPr>
                <w:rFonts w:ascii="Arial" w:cs="Arial" w:eastAsia="Arial" w:hAnsi="Arial"/>
                <w:sz w:val="17"/>
                <w:szCs w:val="17"/>
                <w:color w:val="auto"/>
              </w:rPr>
              <w:t>26,348</w:t>
            </w:r>
          </w:p>
        </w:tc>
        <w:tc>
          <w:tcPr>
            <w:tcW w:w="200" w:type="dxa"/>
            <w:vAlign w:val="bottom"/>
          </w:tcPr>
          <w:p>
            <w:pPr>
              <w:spacing w:after="0"/>
              <w:rPr>
                <w:sz w:val="18"/>
                <w:szCs w:val="18"/>
                <w:color w:val="auto"/>
              </w:rPr>
            </w:pPr>
          </w:p>
        </w:tc>
        <w:tc>
          <w:tcPr>
            <w:tcW w:w="1400" w:type="dxa"/>
            <w:vAlign w:val="bottom"/>
          </w:tcPr>
          <w:p>
            <w:pPr>
              <w:jc w:val="right"/>
              <w:ind w:right="37"/>
              <w:spacing w:after="0"/>
              <w:rPr>
                <w:sz w:val="20"/>
                <w:szCs w:val="20"/>
                <w:color w:val="auto"/>
              </w:rPr>
            </w:pPr>
            <w:r>
              <w:rPr>
                <w:rFonts w:ascii="Arial" w:cs="Arial" w:eastAsia="Arial" w:hAnsi="Arial"/>
                <w:sz w:val="17"/>
                <w:szCs w:val="17"/>
                <w:color w:val="auto"/>
              </w:rPr>
              <w:t>64,411</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95,203</w:t>
            </w:r>
          </w:p>
        </w:tc>
      </w:tr>
      <w:tr>
        <w:trPr>
          <w:trHeight w:val="216"/>
        </w:trPr>
        <w:tc>
          <w:tcPr>
            <w:tcW w:w="4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6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(45,460)</w:t>
            </w: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(35,448)</w:t>
            </w: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(135,462)</w:t>
            </w: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(110,742)</w:t>
            </w:r>
          </w:p>
        </w:tc>
      </w:tr>
      <w:tr>
        <w:trPr>
          <w:trHeight w:val="209"/>
        </w:trPr>
        <w:tc>
          <w:tcPr>
            <w:tcW w:w="43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Total segment (loss) earnings before income taxes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(28,563)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157,091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313,570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409,294</w:t>
            </w:r>
          </w:p>
        </w:tc>
      </w:tr>
      <w:tr>
        <w:trPr>
          <w:trHeight w:val="22"/>
        </w:trPr>
        <w:tc>
          <w:tcPr>
            <w:tcW w:w="4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00"/>
          </w:cols>
          <w:pgMar w:left="340" w:top="760" w:right="35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20"/>
          <w:szCs w:val="20"/>
          <w:b w:val="1"/>
          <w:bCs w:val="1"/>
          <w:color w:val="auto"/>
        </w:rPr>
        <w:t>THE TORO COMPANY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Balance Sheets (Unaudited)</w:t>
      </w:r>
    </w:p>
    <w:p>
      <w:pPr>
        <w:jc w:val="center"/>
        <w:spacing w:after="0"/>
        <w:rPr>
          <w:sz w:val="20"/>
          <w:szCs w:val="20"/>
          <w:color w:val="auto"/>
        </w:rPr>
      </w:pPr>
      <w:r>
        <w:rPr>
          <w:rFonts w:ascii="Arial" w:cs="Arial" w:eastAsia="Arial" w:hAnsi="Arial"/>
          <w:sz w:val="20"/>
          <w:szCs w:val="20"/>
          <w:b w:val="1"/>
          <w:bCs w:val="1"/>
          <w:color w:val="auto"/>
        </w:rPr>
        <w:t>(Dollars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27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7"/>
                <w:szCs w:val="17"/>
                <w:b w:val="1"/>
                <w:bCs w:val="1"/>
                <w:color w:val="auto"/>
              </w:rPr>
              <w:t>August 4, 2023</w:t>
            </w:r>
          </w:p>
        </w:tc>
        <w:tc>
          <w:tcPr>
            <w:tcW w:w="26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7"/>
                <w:szCs w:val="17"/>
                <w:b w:val="1"/>
                <w:bCs w:val="1"/>
                <w:color w:val="auto"/>
              </w:rPr>
              <w:t>July 29, 2022</w:t>
            </w:r>
          </w:p>
        </w:tc>
        <w:tc>
          <w:tcPr>
            <w:tcW w:w="20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7"/>
                <w:szCs w:val="17"/>
                <w:b w:val="1"/>
                <w:bCs w:val="1"/>
                <w:color w:val="auto"/>
                <w:w w:val="98"/>
              </w:rPr>
              <w:t>October 31, 2022</w:t>
            </w:r>
          </w:p>
        </w:tc>
      </w:tr>
      <w:tr>
        <w:trPr>
          <w:trHeight w:val="169"/>
        </w:trPr>
        <w:tc>
          <w:tcPr>
            <w:tcW w:w="4720" w:type="dxa"/>
            <w:vAlign w:val="bottom"/>
            <w:gridSpan w:val="4"/>
            <w:shd w:val="clear" w:color="auto" w:fill="CCEEFF"/>
          </w:tcPr>
          <w:p>
            <w:pPr>
              <w:ind w:left="20"/>
              <w:spacing w:after="0" w:line="169" w:lineRule="exact"/>
              <w:rPr>
                <w:sz w:val="20"/>
                <w:szCs w:val="20"/>
                <w:color w:val="auto"/>
              </w:rPr>
            </w:pPr>
            <w:r>
              <w:rPr>
                <w:rFonts w:ascii="Arial" w:cs="Arial" w:eastAsia="Arial" w:hAnsi="Arial"/>
                <w:sz w:val="17"/>
                <w:szCs w:val="17"/>
                <w:color w:val="auto"/>
              </w:rPr>
              <w:t>ASSETS</w:t>
            </w:r>
          </w:p>
        </w:tc>
        <w:tc>
          <w:tcPr>
            <w:tcW w:w="142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r>
      <w:tr>
        <w:trPr>
          <w:trHeight w:val="214"/>
        </w:trPr>
        <w:tc>
          <w:tcPr>
            <w:tcW w:w="4720" w:type="dxa"/>
            <w:vAlign w:val="bottom"/>
            <w:gridSpan w:val="4"/>
          </w:tcPr>
          <w:p>
            <w:pPr>
              <w:ind w:left="20"/>
              <w:spacing w:after="0"/>
              <w:rPr>
                <w:sz w:val="20"/>
                <w:szCs w:val="20"/>
                <w:color w:val="auto"/>
              </w:rPr>
            </w:pPr>
            <w:r>
              <w:rPr>
                <w:rFonts w:ascii="Arial" w:cs="Arial" w:eastAsia="Arial" w:hAnsi="Arial"/>
                <w:sz w:val="17"/>
                <w:szCs w:val="17"/>
                <w:color w:val="auto"/>
              </w:rPr>
              <w:t>Cash and cash equivalents</w:t>
            </w:r>
          </w:p>
        </w:tc>
        <w:tc>
          <w:tcPr>
            <w:tcW w:w="1420" w:type="dxa"/>
            <w:vAlign w:val="bottom"/>
          </w:tcPr>
          <w:p>
            <w:pPr>
              <w:jc w:val="right"/>
              <w:spacing w:after="0"/>
              <w:rPr>
                <w:sz w:val="20"/>
                <w:szCs w:val="20"/>
                <w:color w:val="auto"/>
              </w:rPr>
            </w:pPr>
            <w:r>
              <w:rPr>
                <w:rFonts w:ascii="Arial" w:cs="Arial" w:eastAsia="Arial" w:hAnsi="Arial"/>
                <w:sz w:val="17"/>
                <w:szCs w:val="17"/>
                <w:color w:val="auto"/>
              </w:rPr>
              <w:t>$</w:t>
            </w:r>
          </w:p>
        </w:tc>
        <w:tc>
          <w:tcPr>
            <w:tcW w:w="1560" w:type="dxa"/>
            <w:vAlign w:val="bottom"/>
          </w:tcPr>
          <w:p>
            <w:pPr>
              <w:jc w:val="right"/>
              <w:ind w:right="57"/>
              <w:spacing w:after="0"/>
              <w:rPr>
                <w:sz w:val="20"/>
                <w:szCs w:val="20"/>
                <w:color w:val="auto"/>
              </w:rPr>
            </w:pPr>
            <w:r>
              <w:rPr>
                <w:rFonts w:ascii="Arial" w:cs="Arial" w:eastAsia="Arial" w:hAnsi="Arial"/>
                <w:sz w:val="17"/>
                <w:szCs w:val="17"/>
                <w:color w:val="auto"/>
              </w:rPr>
              <w:t>147,926</w:t>
            </w:r>
          </w:p>
        </w:tc>
        <w:tc>
          <w:tcPr>
            <w:tcW w:w="26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1520" w:type="dxa"/>
            <w:vAlign w:val="bottom"/>
          </w:tcPr>
          <w:p>
            <w:pPr>
              <w:jc w:val="right"/>
              <w:ind w:right="37"/>
              <w:spacing w:after="0"/>
              <w:rPr>
                <w:sz w:val="20"/>
                <w:szCs w:val="20"/>
                <w:color w:val="auto"/>
              </w:rPr>
            </w:pPr>
            <w:r>
              <w:rPr>
                <w:rFonts w:ascii="Arial" w:cs="Arial" w:eastAsia="Arial" w:hAnsi="Arial"/>
                <w:sz w:val="17"/>
                <w:szCs w:val="17"/>
                <w:color w:val="auto"/>
              </w:rPr>
              <w:t>231,564</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188,250</w:t>
            </w:r>
          </w:p>
        </w:tc>
      </w:tr>
      <w:tr>
        <w:trPr>
          <w:trHeight w:val="218"/>
        </w:trPr>
        <w:tc>
          <w:tcPr>
            <w:tcW w:w="472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Receivables, net</w:t>
            </w:r>
          </w:p>
        </w:tc>
        <w:tc>
          <w:tcPr>
            <w:tcW w:w="14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390,677</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350,657</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332,713</w:t>
            </w:r>
          </w:p>
        </w:tc>
      </w:tr>
      <w:tr>
        <w:trPr>
          <w:trHeight w:val="214"/>
        </w:trPr>
        <w:tc>
          <w:tcPr>
            <w:tcW w:w="4720" w:type="dxa"/>
            <w:vAlign w:val="bottom"/>
            <w:gridSpan w:val="4"/>
          </w:tcPr>
          <w:p>
            <w:pPr>
              <w:ind w:left="20"/>
              <w:spacing w:after="0"/>
              <w:rPr>
                <w:sz w:val="20"/>
                <w:szCs w:val="20"/>
                <w:color w:val="auto"/>
              </w:rPr>
            </w:pPr>
            <w:r>
              <w:rPr>
                <w:rFonts w:ascii="Arial" w:cs="Arial" w:eastAsia="Arial" w:hAnsi="Arial"/>
                <w:sz w:val="17"/>
                <w:szCs w:val="17"/>
                <w:color w:val="auto"/>
              </w:rPr>
              <w:t>Inventories, net</w:t>
            </w:r>
          </w:p>
        </w:tc>
        <w:tc>
          <w:tcPr>
            <w:tcW w:w="1420" w:type="dxa"/>
            <w:vAlign w:val="bottom"/>
          </w:tcPr>
          <w:p>
            <w:pPr>
              <w:spacing w:after="0"/>
              <w:rPr>
                <w:sz w:val="18"/>
                <w:szCs w:val="18"/>
                <w:color w:val="auto"/>
              </w:rPr>
            </w:pPr>
          </w:p>
        </w:tc>
        <w:tc>
          <w:tcPr>
            <w:tcW w:w="1560" w:type="dxa"/>
            <w:vAlign w:val="bottom"/>
          </w:tcPr>
          <w:p>
            <w:pPr>
              <w:jc w:val="right"/>
              <w:ind w:right="57"/>
              <w:spacing w:after="0"/>
              <w:rPr>
                <w:sz w:val="20"/>
                <w:szCs w:val="20"/>
                <w:color w:val="auto"/>
              </w:rPr>
            </w:pPr>
            <w:r>
              <w:rPr>
                <w:rFonts w:ascii="Arial" w:cs="Arial" w:eastAsia="Arial" w:hAnsi="Arial"/>
                <w:sz w:val="17"/>
                <w:szCs w:val="17"/>
                <w:color w:val="auto"/>
              </w:rPr>
              <w:t>1,112,692</w:t>
            </w:r>
          </w:p>
        </w:tc>
        <w:tc>
          <w:tcPr>
            <w:tcW w:w="260" w:type="dxa"/>
            <w:vAlign w:val="bottom"/>
          </w:tcPr>
          <w:p>
            <w:pPr>
              <w:spacing w:after="0"/>
              <w:rPr>
                <w:sz w:val="18"/>
                <w:szCs w:val="18"/>
                <w:color w:val="auto"/>
              </w:rPr>
            </w:pPr>
          </w:p>
        </w:tc>
        <w:tc>
          <w:tcPr>
            <w:tcW w:w="1520" w:type="dxa"/>
            <w:vAlign w:val="bottom"/>
          </w:tcPr>
          <w:p>
            <w:pPr>
              <w:jc w:val="right"/>
              <w:ind w:right="37"/>
              <w:spacing w:after="0"/>
              <w:rPr>
                <w:sz w:val="20"/>
                <w:szCs w:val="20"/>
                <w:color w:val="auto"/>
              </w:rPr>
            </w:pPr>
            <w:r>
              <w:rPr>
                <w:rFonts w:ascii="Arial" w:cs="Arial" w:eastAsia="Arial" w:hAnsi="Arial"/>
                <w:sz w:val="17"/>
                <w:szCs w:val="17"/>
                <w:color w:val="auto"/>
              </w:rPr>
              <w:t>939,274</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1,051,109</w:t>
            </w:r>
          </w:p>
        </w:tc>
      </w:tr>
      <w:tr>
        <w:trPr>
          <w:trHeight w:val="216"/>
        </w:trPr>
        <w:tc>
          <w:tcPr>
            <w:tcW w:w="4720" w:type="dxa"/>
            <w:vAlign w:val="bottom"/>
            <w:tcBorders>
              <w:bottom w:val="single" w:sz="8" w:color="auto"/>
            </w:tcBorders>
            <w:gridSpan w:val="4"/>
            <w:shd w:val="clear" w:color="auto" w:fill="CCEEFF"/>
          </w:tcPr>
          <w:p>
            <w:pPr>
              <w:ind w:left="20"/>
              <w:spacing w:after="0"/>
              <w:rPr>
                <w:sz w:val="20"/>
                <w:szCs w:val="20"/>
                <w:color w:val="auto"/>
              </w:rPr>
            </w:pPr>
            <w:r>
              <w:rPr>
                <w:rFonts w:ascii="Arial" w:cs="Arial" w:eastAsia="Arial" w:hAnsi="Arial"/>
                <w:sz w:val="17"/>
                <w:szCs w:val="17"/>
                <w:color w:val="auto"/>
              </w:rPr>
              <w:t>Prepaid expenses and other current assets</w:t>
            </w:r>
          </w:p>
        </w:tc>
        <w:tc>
          <w:tcPr>
            <w:tcW w:w="14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80,493</w:t>
            </w:r>
          </w:p>
        </w:tc>
        <w:tc>
          <w:tcPr>
            <w:tcW w:w="2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82,861</w:t>
            </w: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103,279</w:t>
            </w:r>
          </w:p>
        </w:tc>
      </w:tr>
      <w:tr>
        <w:trPr>
          <w:trHeight w:val="209"/>
        </w:trPr>
        <w:tc>
          <w:tcPr>
            <w:tcW w:w="20" w:type="dxa"/>
            <w:vAlign w:val="bottom"/>
            <w:tcBorders>
              <w:bottom w:val="single" w:sz="8" w:color="auto"/>
            </w:tcBorders>
          </w:tcPr>
          <w:p>
            <w:pPr>
              <w:spacing w:after="0"/>
              <w:rPr>
                <w:sz w:val="18"/>
                <w:szCs w:val="18"/>
                <w:color w:val="auto"/>
              </w:rPr>
            </w:pPr>
          </w:p>
        </w:tc>
        <w:tc>
          <w:tcPr>
            <w:tcW w:w="4700" w:type="dxa"/>
            <w:vAlign w:val="bottom"/>
            <w:tcBorders>
              <w:bottom w:val="single" w:sz="8" w:color="auto"/>
            </w:tcBorders>
            <w:gridSpan w:val="3"/>
          </w:tcPr>
          <w:p>
            <w:pPr>
              <w:ind w:left="120"/>
              <w:spacing w:after="0"/>
              <w:rPr>
                <w:sz w:val="20"/>
                <w:szCs w:val="20"/>
                <w:color w:val="auto"/>
              </w:rPr>
            </w:pPr>
            <w:r>
              <w:rPr>
                <w:rFonts w:ascii="Arial" w:cs="Arial" w:eastAsia="Arial" w:hAnsi="Arial"/>
                <w:sz w:val="17"/>
                <w:szCs w:val="17"/>
                <w:color w:val="auto"/>
              </w:rPr>
              <w:t>Total current assets</w:t>
            </w:r>
          </w:p>
        </w:tc>
        <w:tc>
          <w:tcPr>
            <w:tcW w:w="14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1,731,788</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1,604,356</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1,675,351</w:t>
            </w:r>
          </w:p>
        </w:tc>
      </w:tr>
      <w:tr>
        <w:trPr>
          <w:trHeight w:val="90"/>
        </w:trPr>
        <w:tc>
          <w:tcPr>
            <w:tcW w:w="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78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15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r>
      <w:tr>
        <w:trPr>
          <w:trHeight w:val="214"/>
        </w:trPr>
        <w:tc>
          <w:tcPr>
            <w:tcW w:w="4720" w:type="dxa"/>
            <w:vAlign w:val="bottom"/>
            <w:gridSpan w:val="4"/>
          </w:tcPr>
          <w:p>
            <w:pPr>
              <w:ind w:left="20"/>
              <w:spacing w:after="0"/>
              <w:rPr>
                <w:sz w:val="20"/>
                <w:szCs w:val="20"/>
                <w:color w:val="auto"/>
              </w:rPr>
            </w:pPr>
            <w:r>
              <w:rPr>
                <w:rFonts w:ascii="Arial" w:cs="Arial" w:eastAsia="Arial" w:hAnsi="Arial"/>
                <w:sz w:val="17"/>
                <w:szCs w:val="17"/>
                <w:color w:val="auto"/>
              </w:rPr>
              <w:t>Property, plant, and equipment, net</w:t>
            </w:r>
          </w:p>
        </w:tc>
        <w:tc>
          <w:tcPr>
            <w:tcW w:w="1420" w:type="dxa"/>
            <w:vAlign w:val="bottom"/>
          </w:tcPr>
          <w:p>
            <w:pPr>
              <w:spacing w:after="0"/>
              <w:rPr>
                <w:sz w:val="18"/>
                <w:szCs w:val="18"/>
                <w:color w:val="auto"/>
              </w:rPr>
            </w:pPr>
          </w:p>
        </w:tc>
        <w:tc>
          <w:tcPr>
            <w:tcW w:w="1560" w:type="dxa"/>
            <w:vAlign w:val="bottom"/>
          </w:tcPr>
          <w:p>
            <w:pPr>
              <w:jc w:val="right"/>
              <w:ind w:right="57"/>
              <w:spacing w:after="0"/>
              <w:rPr>
                <w:sz w:val="20"/>
                <w:szCs w:val="20"/>
                <w:color w:val="auto"/>
              </w:rPr>
            </w:pPr>
            <w:r>
              <w:rPr>
                <w:rFonts w:ascii="Arial" w:cs="Arial" w:eastAsia="Arial" w:hAnsi="Arial"/>
                <w:sz w:val="17"/>
                <w:szCs w:val="17"/>
                <w:color w:val="auto"/>
              </w:rPr>
              <w:t>624,963</w:t>
            </w:r>
          </w:p>
        </w:tc>
        <w:tc>
          <w:tcPr>
            <w:tcW w:w="260" w:type="dxa"/>
            <w:vAlign w:val="bottom"/>
          </w:tcPr>
          <w:p>
            <w:pPr>
              <w:spacing w:after="0"/>
              <w:rPr>
                <w:sz w:val="18"/>
                <w:szCs w:val="18"/>
                <w:color w:val="auto"/>
              </w:rPr>
            </w:pPr>
          </w:p>
        </w:tc>
        <w:tc>
          <w:tcPr>
            <w:tcW w:w="1520" w:type="dxa"/>
            <w:vAlign w:val="bottom"/>
          </w:tcPr>
          <w:p>
            <w:pPr>
              <w:jc w:val="right"/>
              <w:ind w:right="37"/>
              <w:spacing w:after="0"/>
              <w:rPr>
                <w:sz w:val="20"/>
                <w:szCs w:val="20"/>
                <w:color w:val="auto"/>
              </w:rPr>
            </w:pPr>
            <w:r>
              <w:rPr>
                <w:rFonts w:ascii="Arial" w:cs="Arial" w:eastAsia="Arial" w:hAnsi="Arial"/>
                <w:sz w:val="17"/>
                <w:szCs w:val="17"/>
                <w:color w:val="auto"/>
              </w:rPr>
              <w:t>531,816</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571,661</w:t>
            </w:r>
          </w:p>
        </w:tc>
      </w:tr>
      <w:tr>
        <w:trPr>
          <w:trHeight w:val="218"/>
        </w:trPr>
        <w:tc>
          <w:tcPr>
            <w:tcW w:w="472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14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451,264</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583,803</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583,297</w:t>
            </w:r>
          </w:p>
        </w:tc>
      </w:tr>
      <w:tr>
        <w:trPr>
          <w:trHeight w:val="214"/>
        </w:trPr>
        <w:tc>
          <w:tcPr>
            <w:tcW w:w="4720" w:type="dxa"/>
            <w:vAlign w:val="bottom"/>
            <w:gridSpan w:val="4"/>
          </w:tcPr>
          <w:p>
            <w:pPr>
              <w:ind w:left="20"/>
              <w:spacing w:after="0"/>
              <w:rPr>
                <w:sz w:val="20"/>
                <w:szCs w:val="20"/>
                <w:color w:val="auto"/>
              </w:rPr>
            </w:pPr>
            <w:r>
              <w:rPr>
                <w:rFonts w:ascii="Arial" w:cs="Arial" w:eastAsia="Arial" w:hAnsi="Arial"/>
                <w:sz w:val="17"/>
                <w:szCs w:val="17"/>
                <w:color w:val="auto"/>
              </w:rPr>
              <w:t>Other intangible assets, net</w:t>
            </w:r>
          </w:p>
        </w:tc>
        <w:tc>
          <w:tcPr>
            <w:tcW w:w="1420" w:type="dxa"/>
            <w:vAlign w:val="bottom"/>
          </w:tcPr>
          <w:p>
            <w:pPr>
              <w:spacing w:after="0"/>
              <w:rPr>
                <w:sz w:val="18"/>
                <w:szCs w:val="18"/>
                <w:color w:val="auto"/>
              </w:rPr>
            </w:pPr>
          </w:p>
        </w:tc>
        <w:tc>
          <w:tcPr>
            <w:tcW w:w="1560" w:type="dxa"/>
            <w:vAlign w:val="bottom"/>
          </w:tcPr>
          <w:p>
            <w:pPr>
              <w:jc w:val="right"/>
              <w:ind w:right="57"/>
              <w:spacing w:after="0"/>
              <w:rPr>
                <w:sz w:val="20"/>
                <w:szCs w:val="20"/>
                <w:color w:val="auto"/>
              </w:rPr>
            </w:pPr>
            <w:r>
              <w:rPr>
                <w:rFonts w:ascii="Arial" w:cs="Arial" w:eastAsia="Arial" w:hAnsi="Arial"/>
                <w:sz w:val="17"/>
                <w:szCs w:val="17"/>
                <w:color w:val="auto"/>
              </w:rPr>
              <w:t>549,190</w:t>
            </w:r>
          </w:p>
        </w:tc>
        <w:tc>
          <w:tcPr>
            <w:tcW w:w="260" w:type="dxa"/>
            <w:vAlign w:val="bottom"/>
          </w:tcPr>
          <w:p>
            <w:pPr>
              <w:spacing w:after="0"/>
              <w:rPr>
                <w:sz w:val="18"/>
                <w:szCs w:val="18"/>
                <w:color w:val="auto"/>
              </w:rPr>
            </w:pPr>
          </w:p>
        </w:tc>
        <w:tc>
          <w:tcPr>
            <w:tcW w:w="1520" w:type="dxa"/>
            <w:vAlign w:val="bottom"/>
          </w:tcPr>
          <w:p>
            <w:pPr>
              <w:jc w:val="right"/>
              <w:ind w:right="37"/>
              <w:spacing w:after="0"/>
              <w:rPr>
                <w:sz w:val="20"/>
                <w:szCs w:val="20"/>
                <w:color w:val="auto"/>
              </w:rPr>
            </w:pPr>
            <w:r>
              <w:rPr>
                <w:rFonts w:ascii="Arial" w:cs="Arial" w:eastAsia="Arial" w:hAnsi="Arial"/>
                <w:sz w:val="17"/>
                <w:szCs w:val="17"/>
                <w:color w:val="auto"/>
              </w:rPr>
              <w:t>595,141</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585,832</w:t>
            </w:r>
          </w:p>
        </w:tc>
      </w:tr>
      <w:tr>
        <w:trPr>
          <w:trHeight w:val="218"/>
        </w:trPr>
        <w:tc>
          <w:tcPr>
            <w:tcW w:w="472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Right-of-use assets</w:t>
            </w:r>
          </w:p>
        </w:tc>
        <w:tc>
          <w:tcPr>
            <w:tcW w:w="14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116,623</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73,349</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76,121</w:t>
            </w:r>
          </w:p>
        </w:tc>
      </w:tr>
      <w:tr>
        <w:trPr>
          <w:trHeight w:val="214"/>
        </w:trPr>
        <w:tc>
          <w:tcPr>
            <w:tcW w:w="4720" w:type="dxa"/>
            <w:vAlign w:val="bottom"/>
            <w:gridSpan w:val="4"/>
          </w:tcPr>
          <w:p>
            <w:pPr>
              <w:ind w:left="20"/>
              <w:spacing w:after="0"/>
              <w:rPr>
                <w:sz w:val="20"/>
                <w:szCs w:val="20"/>
                <w:color w:val="auto"/>
              </w:rPr>
            </w:pPr>
            <w:r>
              <w:rPr>
                <w:rFonts w:ascii="Arial" w:cs="Arial" w:eastAsia="Arial" w:hAnsi="Arial"/>
                <w:sz w:val="17"/>
                <w:szCs w:val="17"/>
                <w:color w:val="auto"/>
              </w:rPr>
              <w:t>Investment in finance affiliate</w:t>
            </w:r>
          </w:p>
        </w:tc>
        <w:tc>
          <w:tcPr>
            <w:tcW w:w="1420" w:type="dxa"/>
            <w:vAlign w:val="bottom"/>
          </w:tcPr>
          <w:p>
            <w:pPr>
              <w:spacing w:after="0"/>
              <w:rPr>
                <w:sz w:val="18"/>
                <w:szCs w:val="18"/>
                <w:color w:val="auto"/>
              </w:rPr>
            </w:pPr>
          </w:p>
        </w:tc>
        <w:tc>
          <w:tcPr>
            <w:tcW w:w="1560" w:type="dxa"/>
            <w:vAlign w:val="bottom"/>
          </w:tcPr>
          <w:p>
            <w:pPr>
              <w:jc w:val="right"/>
              <w:ind w:right="57"/>
              <w:spacing w:after="0"/>
              <w:rPr>
                <w:sz w:val="20"/>
                <w:szCs w:val="20"/>
                <w:color w:val="auto"/>
              </w:rPr>
            </w:pPr>
            <w:r>
              <w:rPr>
                <w:rFonts w:ascii="Arial" w:cs="Arial" w:eastAsia="Arial" w:hAnsi="Arial"/>
                <w:sz w:val="17"/>
                <w:szCs w:val="17"/>
                <w:color w:val="auto"/>
              </w:rPr>
              <w:t>48,528</w:t>
            </w:r>
          </w:p>
        </w:tc>
        <w:tc>
          <w:tcPr>
            <w:tcW w:w="260" w:type="dxa"/>
            <w:vAlign w:val="bottom"/>
          </w:tcPr>
          <w:p>
            <w:pPr>
              <w:spacing w:after="0"/>
              <w:rPr>
                <w:sz w:val="18"/>
                <w:szCs w:val="18"/>
                <w:color w:val="auto"/>
              </w:rPr>
            </w:pPr>
          </w:p>
        </w:tc>
        <w:tc>
          <w:tcPr>
            <w:tcW w:w="1520" w:type="dxa"/>
            <w:vAlign w:val="bottom"/>
          </w:tcPr>
          <w:p>
            <w:pPr>
              <w:jc w:val="right"/>
              <w:ind w:right="37"/>
              <w:spacing w:after="0"/>
              <w:rPr>
                <w:sz w:val="20"/>
                <w:szCs w:val="20"/>
                <w:color w:val="auto"/>
              </w:rPr>
            </w:pPr>
            <w:r>
              <w:rPr>
                <w:rFonts w:ascii="Arial" w:cs="Arial" w:eastAsia="Arial" w:hAnsi="Arial"/>
                <w:sz w:val="17"/>
                <w:szCs w:val="17"/>
                <w:color w:val="auto"/>
              </w:rPr>
              <w:t>31,389</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39,349</w:t>
            </w:r>
          </w:p>
        </w:tc>
      </w:tr>
      <w:tr>
        <w:trPr>
          <w:trHeight w:val="218"/>
        </w:trPr>
        <w:tc>
          <w:tcPr>
            <w:tcW w:w="472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Deferred income taxes</w:t>
            </w:r>
          </w:p>
        </w:tc>
        <w:tc>
          <w:tcPr>
            <w:tcW w:w="14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41,711</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961</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5,310</w:t>
            </w:r>
          </w:p>
        </w:tc>
      </w:tr>
      <w:tr>
        <w:trPr>
          <w:trHeight w:val="214"/>
        </w:trPr>
        <w:tc>
          <w:tcPr>
            <w:tcW w:w="4720" w:type="dxa"/>
            <w:vAlign w:val="bottom"/>
            <w:tcBorders>
              <w:bottom w:val="single" w:sz="8" w:color="auto"/>
            </w:tcBorders>
            <w:gridSpan w:val="4"/>
          </w:tcPr>
          <w:p>
            <w:pPr>
              <w:ind w:left="20"/>
              <w:spacing w:after="0"/>
              <w:rPr>
                <w:sz w:val="20"/>
                <w:szCs w:val="20"/>
                <w:color w:val="auto"/>
              </w:rPr>
            </w:pPr>
            <w:r>
              <w:rPr>
                <w:rFonts w:ascii="Arial" w:cs="Arial" w:eastAsia="Arial" w:hAnsi="Arial"/>
                <w:sz w:val="17"/>
                <w:szCs w:val="17"/>
                <w:color w:val="auto"/>
              </w:rPr>
              <w:t>Other assets</w:t>
            </w:r>
          </w:p>
        </w:tc>
        <w:tc>
          <w:tcPr>
            <w:tcW w:w="14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21,823</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19,134</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19,077</w:t>
            </w:r>
          </w:p>
        </w:tc>
      </w:tr>
      <w:tr>
        <w:trPr>
          <w:trHeight w:val="234"/>
        </w:trPr>
        <w:tc>
          <w:tcPr>
            <w:tcW w:w="4720" w:type="dxa"/>
            <w:vAlign w:val="bottom"/>
            <w:tcBorders>
              <w:bottom w:val="single" w:sz="8" w:color="auto"/>
            </w:tcBorders>
            <w:gridSpan w:val="4"/>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3,585,890</w:t>
            </w:r>
          </w:p>
        </w:tc>
        <w:tc>
          <w:tcPr>
            <w:tcW w:w="2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3,439,949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3,555,998</w:t>
            </w: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7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57"/>
        </w:trPr>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7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176"/>
        </w:trPr>
        <w:tc>
          <w:tcPr>
            <w:tcW w:w="4720" w:type="dxa"/>
            <w:vAlign w:val="bottom"/>
            <w:gridSpan w:val="4"/>
            <w:shd w:val="clear" w:color="auto" w:fill="CCEEFF"/>
          </w:tcPr>
          <w:p>
            <w:pPr>
              <w:ind w:left="20"/>
              <w:spacing w:after="0" w:line="176" w:lineRule="exact"/>
              <w:rPr>
                <w:sz w:val="20"/>
                <w:szCs w:val="20"/>
                <w:color w:val="auto"/>
              </w:rPr>
            </w:pPr>
            <w:r>
              <w:rPr>
                <w:rFonts w:ascii="Arial" w:cs="Arial" w:eastAsia="Arial" w:hAnsi="Arial"/>
                <w:sz w:val="17"/>
                <w:szCs w:val="17"/>
                <w:color w:val="auto"/>
              </w:rPr>
              <w:t>LIABILITIES AND STOCKHOLDERS’ EQUITY</w:t>
            </w:r>
          </w:p>
        </w:tc>
        <w:tc>
          <w:tcPr>
            <w:tcW w:w="14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2780" w:type="dxa"/>
            <w:vAlign w:val="bottom"/>
            <w:tcBorders>
              <w:top w:val="single" w:sz="8" w:color="auto"/>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r>
      <w:tr>
        <w:trPr>
          <w:trHeight w:val="214"/>
        </w:trPr>
        <w:tc>
          <w:tcPr>
            <w:tcW w:w="4720" w:type="dxa"/>
            <w:vAlign w:val="bottom"/>
            <w:gridSpan w:val="4"/>
          </w:tcPr>
          <w:p>
            <w:pPr>
              <w:ind w:left="20"/>
              <w:spacing w:after="0"/>
              <w:rPr>
                <w:sz w:val="20"/>
                <w:szCs w:val="20"/>
                <w:color w:val="auto"/>
              </w:rPr>
            </w:pPr>
            <w:r>
              <w:rPr>
                <w:rFonts w:ascii="Arial" w:cs="Arial" w:eastAsia="Arial" w:hAnsi="Arial"/>
                <w:sz w:val="17"/>
                <w:szCs w:val="17"/>
                <w:color w:val="auto"/>
              </w:rPr>
              <w:t>Current portion of long-term debt</w:t>
            </w:r>
          </w:p>
        </w:tc>
        <w:tc>
          <w:tcPr>
            <w:tcW w:w="1420" w:type="dxa"/>
            <w:vAlign w:val="bottom"/>
          </w:tcPr>
          <w:p>
            <w:pPr>
              <w:jc w:val="right"/>
              <w:spacing w:after="0"/>
              <w:rPr>
                <w:sz w:val="20"/>
                <w:szCs w:val="20"/>
                <w:color w:val="auto"/>
              </w:rPr>
            </w:pPr>
            <w:r>
              <w:rPr>
                <w:rFonts w:ascii="Arial" w:cs="Arial" w:eastAsia="Arial" w:hAnsi="Arial"/>
                <w:sz w:val="17"/>
                <w:szCs w:val="17"/>
                <w:color w:val="auto"/>
              </w:rPr>
              <w:t>$</w:t>
            </w:r>
          </w:p>
        </w:tc>
        <w:tc>
          <w:tcPr>
            <w:tcW w:w="156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26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1520" w:type="dxa"/>
            <w:vAlign w:val="bottom"/>
          </w:tcPr>
          <w:p>
            <w:pPr>
              <w:jc w:val="right"/>
              <w:ind w:right="37"/>
              <w:spacing w:after="0"/>
              <w:rPr>
                <w:sz w:val="20"/>
                <w:szCs w:val="20"/>
                <w:color w:val="auto"/>
              </w:rPr>
            </w:pPr>
            <w:r>
              <w:rPr>
                <w:rFonts w:ascii="Arial" w:cs="Arial" w:eastAsia="Arial" w:hAnsi="Arial"/>
                <w:sz w:val="17"/>
                <w:szCs w:val="17"/>
                <w:color w:val="auto"/>
              </w:rPr>
              <w:t>65,000</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472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Accounts payable</w:t>
            </w:r>
          </w:p>
        </w:tc>
        <w:tc>
          <w:tcPr>
            <w:tcW w:w="14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407,366</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487,030</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578,624</w:t>
            </w:r>
          </w:p>
        </w:tc>
      </w:tr>
      <w:tr>
        <w:trPr>
          <w:trHeight w:val="214"/>
        </w:trPr>
        <w:tc>
          <w:tcPr>
            <w:tcW w:w="4720" w:type="dxa"/>
            <w:vAlign w:val="bottom"/>
            <w:gridSpan w:val="4"/>
          </w:tcPr>
          <w:p>
            <w:pPr>
              <w:ind w:left="20"/>
              <w:spacing w:after="0"/>
              <w:rPr>
                <w:sz w:val="20"/>
                <w:szCs w:val="20"/>
                <w:color w:val="auto"/>
              </w:rPr>
            </w:pPr>
            <w:r>
              <w:rPr>
                <w:rFonts w:ascii="Arial" w:cs="Arial" w:eastAsia="Arial" w:hAnsi="Arial"/>
                <w:sz w:val="17"/>
                <w:szCs w:val="17"/>
                <w:color w:val="auto"/>
              </w:rPr>
              <w:t>Accrued liabilities</w:t>
            </w:r>
          </w:p>
        </w:tc>
        <w:tc>
          <w:tcPr>
            <w:tcW w:w="1420" w:type="dxa"/>
            <w:vAlign w:val="bottom"/>
          </w:tcPr>
          <w:p>
            <w:pPr>
              <w:spacing w:after="0"/>
              <w:rPr>
                <w:sz w:val="18"/>
                <w:szCs w:val="18"/>
                <w:color w:val="auto"/>
              </w:rPr>
            </w:pPr>
          </w:p>
        </w:tc>
        <w:tc>
          <w:tcPr>
            <w:tcW w:w="1560" w:type="dxa"/>
            <w:vAlign w:val="bottom"/>
          </w:tcPr>
          <w:p>
            <w:pPr>
              <w:jc w:val="right"/>
              <w:ind w:right="57"/>
              <w:spacing w:after="0"/>
              <w:rPr>
                <w:sz w:val="20"/>
                <w:szCs w:val="20"/>
                <w:color w:val="auto"/>
              </w:rPr>
            </w:pPr>
            <w:r>
              <w:rPr>
                <w:rFonts w:ascii="Arial" w:cs="Arial" w:eastAsia="Arial" w:hAnsi="Arial"/>
                <w:sz w:val="17"/>
                <w:szCs w:val="17"/>
                <w:color w:val="auto"/>
              </w:rPr>
              <w:t>482,304</w:t>
            </w:r>
          </w:p>
        </w:tc>
        <w:tc>
          <w:tcPr>
            <w:tcW w:w="260" w:type="dxa"/>
            <w:vAlign w:val="bottom"/>
          </w:tcPr>
          <w:p>
            <w:pPr>
              <w:spacing w:after="0"/>
              <w:rPr>
                <w:sz w:val="18"/>
                <w:szCs w:val="18"/>
                <w:color w:val="auto"/>
              </w:rPr>
            </w:pPr>
          </w:p>
        </w:tc>
        <w:tc>
          <w:tcPr>
            <w:tcW w:w="1520" w:type="dxa"/>
            <w:vAlign w:val="bottom"/>
          </w:tcPr>
          <w:p>
            <w:pPr>
              <w:jc w:val="right"/>
              <w:ind w:right="37"/>
              <w:spacing w:after="0"/>
              <w:rPr>
                <w:sz w:val="20"/>
                <w:szCs w:val="20"/>
                <w:color w:val="auto"/>
              </w:rPr>
            </w:pPr>
            <w:r>
              <w:rPr>
                <w:rFonts w:ascii="Arial" w:cs="Arial" w:eastAsia="Arial" w:hAnsi="Arial"/>
                <w:sz w:val="17"/>
                <w:szCs w:val="17"/>
                <w:color w:val="auto"/>
              </w:rPr>
              <w:t>443,557</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469,242</w:t>
            </w: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470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7"/>
                <w:szCs w:val="17"/>
                <w:color w:val="auto"/>
              </w:rPr>
              <w:t>Short-term lease liabilities</w:t>
            </w:r>
          </w:p>
        </w:tc>
        <w:tc>
          <w:tcPr>
            <w:tcW w:w="14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17,828</w:t>
            </w:r>
          </w:p>
        </w:tc>
        <w:tc>
          <w:tcPr>
            <w:tcW w:w="2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15,675</w:t>
            </w: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15,747</w:t>
            </w:r>
          </w:p>
        </w:tc>
      </w:tr>
      <w:tr>
        <w:trPr>
          <w:trHeight w:val="210"/>
        </w:trPr>
        <w:tc>
          <w:tcPr>
            <w:tcW w:w="20" w:type="dxa"/>
            <w:vAlign w:val="bottom"/>
            <w:tcBorders>
              <w:bottom w:val="single" w:sz="8" w:color="auto"/>
            </w:tcBorders>
          </w:tcPr>
          <w:p>
            <w:pPr>
              <w:spacing w:after="0"/>
              <w:rPr>
                <w:sz w:val="18"/>
                <w:szCs w:val="18"/>
                <w:color w:val="auto"/>
              </w:rPr>
            </w:pPr>
          </w:p>
        </w:tc>
        <w:tc>
          <w:tcPr>
            <w:tcW w:w="4700" w:type="dxa"/>
            <w:vAlign w:val="bottom"/>
            <w:tcBorders>
              <w:bottom w:val="single" w:sz="8" w:color="auto"/>
            </w:tcBorders>
            <w:gridSpan w:val="3"/>
          </w:tcPr>
          <w:p>
            <w:pPr>
              <w:ind w:left="100"/>
              <w:spacing w:after="0"/>
              <w:rPr>
                <w:sz w:val="20"/>
                <w:szCs w:val="20"/>
                <w:color w:val="auto"/>
              </w:rPr>
            </w:pPr>
            <w:r>
              <w:rPr>
                <w:rFonts w:ascii="Arial" w:cs="Arial" w:eastAsia="Arial" w:hAnsi="Arial"/>
                <w:sz w:val="17"/>
                <w:szCs w:val="17"/>
                <w:color w:val="auto"/>
              </w:rPr>
              <w:t>Total current liabilities</w:t>
            </w:r>
          </w:p>
        </w:tc>
        <w:tc>
          <w:tcPr>
            <w:tcW w:w="14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907,498</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1,011,262</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1,063,613</w:t>
            </w:r>
          </w:p>
        </w:tc>
      </w:tr>
      <w:tr>
        <w:trPr>
          <w:trHeight w:val="90"/>
        </w:trPr>
        <w:tc>
          <w:tcPr>
            <w:tcW w:w="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78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15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r>
      <w:tr>
        <w:trPr>
          <w:trHeight w:val="214"/>
        </w:trPr>
        <w:tc>
          <w:tcPr>
            <w:tcW w:w="4720" w:type="dxa"/>
            <w:vAlign w:val="bottom"/>
            <w:gridSpan w:val="4"/>
          </w:tcPr>
          <w:p>
            <w:pPr>
              <w:ind w:left="20"/>
              <w:spacing w:after="0"/>
              <w:rPr>
                <w:sz w:val="20"/>
                <w:szCs w:val="20"/>
                <w:color w:val="auto"/>
              </w:rPr>
            </w:pPr>
            <w:r>
              <w:rPr>
                <w:rFonts w:ascii="Arial" w:cs="Arial" w:eastAsia="Arial" w:hAnsi="Arial"/>
                <w:sz w:val="17"/>
                <w:szCs w:val="17"/>
                <w:color w:val="auto"/>
              </w:rPr>
              <w:t>Long-term debt, less current portion</w:t>
            </w:r>
          </w:p>
        </w:tc>
        <w:tc>
          <w:tcPr>
            <w:tcW w:w="1420" w:type="dxa"/>
            <w:vAlign w:val="bottom"/>
          </w:tcPr>
          <w:p>
            <w:pPr>
              <w:spacing w:after="0"/>
              <w:rPr>
                <w:sz w:val="18"/>
                <w:szCs w:val="18"/>
                <w:color w:val="auto"/>
              </w:rPr>
            </w:pPr>
          </w:p>
        </w:tc>
        <w:tc>
          <w:tcPr>
            <w:tcW w:w="1560" w:type="dxa"/>
            <w:vAlign w:val="bottom"/>
          </w:tcPr>
          <w:p>
            <w:pPr>
              <w:jc w:val="right"/>
              <w:ind w:right="57"/>
              <w:spacing w:after="0"/>
              <w:rPr>
                <w:sz w:val="20"/>
                <w:szCs w:val="20"/>
                <w:color w:val="auto"/>
              </w:rPr>
            </w:pPr>
            <w:r>
              <w:rPr>
                <w:rFonts w:ascii="Arial" w:cs="Arial" w:eastAsia="Arial" w:hAnsi="Arial"/>
                <w:sz w:val="17"/>
                <w:szCs w:val="17"/>
                <w:color w:val="auto"/>
              </w:rPr>
              <w:t>1,061,309</w:t>
            </w:r>
          </w:p>
        </w:tc>
        <w:tc>
          <w:tcPr>
            <w:tcW w:w="260" w:type="dxa"/>
            <w:vAlign w:val="bottom"/>
          </w:tcPr>
          <w:p>
            <w:pPr>
              <w:spacing w:after="0"/>
              <w:rPr>
                <w:sz w:val="18"/>
                <w:szCs w:val="18"/>
                <w:color w:val="auto"/>
              </w:rPr>
            </w:pPr>
          </w:p>
        </w:tc>
        <w:tc>
          <w:tcPr>
            <w:tcW w:w="1520" w:type="dxa"/>
            <w:vAlign w:val="bottom"/>
          </w:tcPr>
          <w:p>
            <w:pPr>
              <w:jc w:val="right"/>
              <w:ind w:right="37"/>
              <w:spacing w:after="0"/>
              <w:rPr>
                <w:sz w:val="20"/>
                <w:szCs w:val="20"/>
                <w:color w:val="auto"/>
              </w:rPr>
            </w:pPr>
            <w:r>
              <w:rPr>
                <w:rFonts w:ascii="Arial" w:cs="Arial" w:eastAsia="Arial" w:hAnsi="Arial"/>
                <w:sz w:val="17"/>
                <w:szCs w:val="17"/>
                <w:color w:val="auto"/>
              </w:rPr>
              <w:t>990,616</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990,768</w:t>
            </w:r>
          </w:p>
        </w:tc>
      </w:tr>
      <w:tr>
        <w:trPr>
          <w:trHeight w:val="218"/>
        </w:trPr>
        <w:tc>
          <w:tcPr>
            <w:tcW w:w="472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Long-term lease liabilities</w:t>
            </w:r>
          </w:p>
        </w:tc>
        <w:tc>
          <w:tcPr>
            <w:tcW w:w="14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101,221</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60,921</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63,604</w:t>
            </w:r>
          </w:p>
        </w:tc>
      </w:tr>
      <w:tr>
        <w:trPr>
          <w:trHeight w:val="214"/>
        </w:trPr>
        <w:tc>
          <w:tcPr>
            <w:tcW w:w="4720" w:type="dxa"/>
            <w:vAlign w:val="bottom"/>
            <w:gridSpan w:val="4"/>
          </w:tcPr>
          <w:p>
            <w:pPr>
              <w:ind w:left="20"/>
              <w:spacing w:after="0"/>
              <w:rPr>
                <w:sz w:val="20"/>
                <w:szCs w:val="20"/>
                <w:color w:val="auto"/>
              </w:rPr>
            </w:pPr>
            <w:r>
              <w:rPr>
                <w:rFonts w:ascii="Arial" w:cs="Arial" w:eastAsia="Arial" w:hAnsi="Arial"/>
                <w:sz w:val="17"/>
                <w:szCs w:val="17"/>
                <w:color w:val="auto"/>
              </w:rPr>
              <w:t>Deferred income taxes</w:t>
            </w:r>
          </w:p>
        </w:tc>
        <w:tc>
          <w:tcPr>
            <w:tcW w:w="1420" w:type="dxa"/>
            <w:vAlign w:val="bottom"/>
          </w:tcPr>
          <w:p>
            <w:pPr>
              <w:spacing w:after="0"/>
              <w:rPr>
                <w:sz w:val="18"/>
                <w:szCs w:val="18"/>
                <w:color w:val="auto"/>
              </w:rPr>
            </w:pPr>
          </w:p>
        </w:tc>
        <w:tc>
          <w:tcPr>
            <w:tcW w:w="1560" w:type="dxa"/>
            <w:vAlign w:val="bottom"/>
          </w:tcPr>
          <w:p>
            <w:pPr>
              <w:jc w:val="right"/>
              <w:ind w:right="57"/>
              <w:spacing w:after="0"/>
              <w:rPr>
                <w:sz w:val="20"/>
                <w:szCs w:val="20"/>
                <w:color w:val="auto"/>
              </w:rPr>
            </w:pPr>
            <w:r>
              <w:rPr>
                <w:rFonts w:ascii="Arial" w:cs="Arial" w:eastAsia="Arial" w:hAnsi="Arial"/>
                <w:sz w:val="17"/>
                <w:szCs w:val="17"/>
                <w:color w:val="auto"/>
              </w:rPr>
              <w:t>109</w:t>
            </w:r>
          </w:p>
        </w:tc>
        <w:tc>
          <w:tcPr>
            <w:tcW w:w="260" w:type="dxa"/>
            <w:vAlign w:val="bottom"/>
          </w:tcPr>
          <w:p>
            <w:pPr>
              <w:spacing w:after="0"/>
              <w:rPr>
                <w:sz w:val="18"/>
                <w:szCs w:val="18"/>
                <w:color w:val="auto"/>
              </w:rPr>
            </w:pPr>
          </w:p>
        </w:tc>
        <w:tc>
          <w:tcPr>
            <w:tcW w:w="1520" w:type="dxa"/>
            <w:vAlign w:val="bottom"/>
          </w:tcPr>
          <w:p>
            <w:pPr>
              <w:jc w:val="right"/>
              <w:ind w:right="37"/>
              <w:spacing w:after="0"/>
              <w:rPr>
                <w:sz w:val="20"/>
                <w:szCs w:val="20"/>
                <w:color w:val="auto"/>
              </w:rPr>
            </w:pPr>
            <w:r>
              <w:rPr>
                <w:rFonts w:ascii="Arial" w:cs="Arial" w:eastAsia="Arial" w:hAnsi="Arial"/>
                <w:sz w:val="17"/>
                <w:szCs w:val="17"/>
                <w:color w:val="auto"/>
              </w:rPr>
              <w:t>50,332</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44,272</w:t>
            </w:r>
          </w:p>
        </w:tc>
      </w:tr>
      <w:tr>
        <w:trPr>
          <w:trHeight w:val="218"/>
        </w:trPr>
        <w:tc>
          <w:tcPr>
            <w:tcW w:w="472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Other long-term liabilities</w:t>
            </w:r>
          </w:p>
        </w:tc>
        <w:tc>
          <w:tcPr>
            <w:tcW w:w="14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38,670</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40,216</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42,040</w:t>
            </w:r>
          </w:p>
        </w:tc>
      </w:tr>
      <w:tr>
        <w:trPr>
          <w:trHeight w:val="108"/>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7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tcPr>
          <w:p>
            <w:pPr>
              <w:spacing w:after="0"/>
              <w:rPr>
                <w:sz w:val="9"/>
                <w:szCs w:val="9"/>
                <w:color w:val="auto"/>
              </w:rPr>
            </w:pPr>
          </w:p>
        </w:tc>
      </w:tr>
      <w:tr>
        <w:trPr>
          <w:trHeight w:val="216"/>
        </w:trPr>
        <w:tc>
          <w:tcPr>
            <w:tcW w:w="472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Stockholders’ equity:</w:t>
            </w:r>
          </w:p>
        </w:tc>
        <w:tc>
          <w:tcPr>
            <w:tcW w:w="14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700" w:type="dxa"/>
            <w:vAlign w:val="bottom"/>
            <w:gridSpan w:val="3"/>
          </w:tcPr>
          <w:p>
            <w:pPr>
              <w:ind w:left="120"/>
              <w:spacing w:after="0"/>
              <w:rPr>
                <w:sz w:val="20"/>
                <w:szCs w:val="20"/>
                <w:color w:val="auto"/>
              </w:rPr>
            </w:pPr>
            <w:r>
              <w:rPr>
                <w:rFonts w:ascii="Arial" w:cs="Arial" w:eastAsia="Arial" w:hAnsi="Arial"/>
                <w:sz w:val="17"/>
                <w:szCs w:val="17"/>
                <w:color w:val="auto"/>
              </w:rPr>
              <w:t>Preferred stock</w:t>
            </w:r>
          </w:p>
        </w:tc>
        <w:tc>
          <w:tcPr>
            <w:tcW w:w="1420" w:type="dxa"/>
            <w:vAlign w:val="bottom"/>
          </w:tcPr>
          <w:p>
            <w:pPr>
              <w:spacing w:after="0"/>
              <w:rPr>
                <w:sz w:val="18"/>
                <w:szCs w:val="18"/>
                <w:color w:val="auto"/>
              </w:rPr>
            </w:pPr>
          </w:p>
        </w:tc>
        <w:tc>
          <w:tcPr>
            <w:tcW w:w="156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52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20" w:type="dxa"/>
            <w:vAlign w:val="bottom"/>
            <w:shd w:val="clear" w:color="auto" w:fill="CCEEFF"/>
          </w:tcPr>
          <w:p>
            <w:pPr>
              <w:spacing w:after="0"/>
              <w:rPr>
                <w:sz w:val="18"/>
                <w:szCs w:val="18"/>
                <w:color w:val="auto"/>
              </w:rPr>
            </w:pPr>
          </w:p>
        </w:tc>
        <w:tc>
          <w:tcPr>
            <w:tcW w:w="470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Common stock</w:t>
            </w:r>
          </w:p>
        </w:tc>
        <w:tc>
          <w:tcPr>
            <w:tcW w:w="14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103,835</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104,194</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103,970</w:t>
            </w:r>
          </w:p>
        </w:tc>
      </w:tr>
      <w:tr>
        <w:trPr>
          <w:trHeight w:val="214"/>
        </w:trPr>
        <w:tc>
          <w:tcPr>
            <w:tcW w:w="20" w:type="dxa"/>
            <w:vAlign w:val="bottom"/>
          </w:tcPr>
          <w:p>
            <w:pPr>
              <w:spacing w:after="0"/>
              <w:rPr>
                <w:sz w:val="18"/>
                <w:szCs w:val="18"/>
                <w:color w:val="auto"/>
              </w:rPr>
            </w:pPr>
          </w:p>
        </w:tc>
        <w:tc>
          <w:tcPr>
            <w:tcW w:w="4700" w:type="dxa"/>
            <w:vAlign w:val="bottom"/>
            <w:gridSpan w:val="3"/>
          </w:tcPr>
          <w:p>
            <w:pPr>
              <w:ind w:left="120"/>
              <w:spacing w:after="0"/>
              <w:rPr>
                <w:sz w:val="20"/>
                <w:szCs w:val="20"/>
                <w:color w:val="auto"/>
              </w:rPr>
            </w:pPr>
            <w:r>
              <w:rPr>
                <w:rFonts w:ascii="Arial" w:cs="Arial" w:eastAsia="Arial" w:hAnsi="Arial"/>
                <w:sz w:val="17"/>
                <w:szCs w:val="17"/>
                <w:color w:val="auto"/>
              </w:rPr>
              <w:t>Retained earnings</w:t>
            </w:r>
          </w:p>
        </w:tc>
        <w:tc>
          <w:tcPr>
            <w:tcW w:w="1420" w:type="dxa"/>
            <w:vAlign w:val="bottom"/>
          </w:tcPr>
          <w:p>
            <w:pPr>
              <w:spacing w:after="0"/>
              <w:rPr>
                <w:sz w:val="18"/>
                <w:szCs w:val="18"/>
                <w:color w:val="auto"/>
              </w:rPr>
            </w:pPr>
          </w:p>
        </w:tc>
        <w:tc>
          <w:tcPr>
            <w:tcW w:w="1560" w:type="dxa"/>
            <w:vAlign w:val="bottom"/>
          </w:tcPr>
          <w:p>
            <w:pPr>
              <w:jc w:val="right"/>
              <w:ind w:right="57"/>
              <w:spacing w:after="0"/>
              <w:rPr>
                <w:sz w:val="20"/>
                <w:szCs w:val="20"/>
                <w:color w:val="auto"/>
              </w:rPr>
            </w:pPr>
            <w:r>
              <w:rPr>
                <w:rFonts w:ascii="Arial" w:cs="Arial" w:eastAsia="Arial" w:hAnsi="Arial"/>
                <w:sz w:val="17"/>
                <w:szCs w:val="17"/>
                <w:color w:val="auto"/>
              </w:rPr>
              <w:t>1,403,840</w:t>
            </w:r>
          </w:p>
        </w:tc>
        <w:tc>
          <w:tcPr>
            <w:tcW w:w="260" w:type="dxa"/>
            <w:vAlign w:val="bottom"/>
          </w:tcPr>
          <w:p>
            <w:pPr>
              <w:spacing w:after="0"/>
              <w:rPr>
                <w:sz w:val="18"/>
                <w:szCs w:val="18"/>
                <w:color w:val="auto"/>
              </w:rPr>
            </w:pPr>
          </w:p>
        </w:tc>
        <w:tc>
          <w:tcPr>
            <w:tcW w:w="1520" w:type="dxa"/>
            <w:vAlign w:val="bottom"/>
          </w:tcPr>
          <w:p>
            <w:pPr>
              <w:jc w:val="right"/>
              <w:ind w:right="37"/>
              <w:spacing w:after="0"/>
              <w:rPr>
                <w:sz w:val="20"/>
                <w:szCs w:val="20"/>
                <w:color w:val="auto"/>
              </w:rPr>
            </w:pPr>
            <w:r>
              <w:rPr>
                <w:rFonts w:ascii="Arial" w:cs="Arial" w:eastAsia="Arial" w:hAnsi="Arial"/>
                <w:sz w:val="17"/>
                <w:szCs w:val="17"/>
                <w:color w:val="auto"/>
              </w:rPr>
              <w:t>1,213,551</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1,280,856</w:t>
            </w: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4700" w:type="dxa"/>
            <w:vAlign w:val="bottom"/>
            <w:tcBorders>
              <w:bottom w:val="single" w:sz="8" w:color="auto"/>
            </w:tcBorders>
            <w:gridSpan w:val="3"/>
            <w:shd w:val="clear" w:color="auto" w:fill="CCEEFF"/>
          </w:tcPr>
          <w:p>
            <w:pPr>
              <w:ind w:left="120"/>
              <w:spacing w:after="0"/>
              <w:rPr>
                <w:sz w:val="20"/>
                <w:szCs w:val="20"/>
                <w:color w:val="auto"/>
              </w:rPr>
            </w:pPr>
            <w:r>
              <w:rPr>
                <w:rFonts w:ascii="Arial" w:cs="Arial" w:eastAsia="Arial" w:hAnsi="Arial"/>
                <w:sz w:val="17"/>
                <w:szCs w:val="17"/>
                <w:color w:val="auto"/>
              </w:rPr>
              <w:t>Accumulated other comprehensive loss</w:t>
            </w:r>
          </w:p>
        </w:tc>
        <w:tc>
          <w:tcPr>
            <w:tcW w:w="14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(30,592)</w:t>
            </w:r>
          </w:p>
        </w:tc>
        <w:tc>
          <w:tcPr>
            <w:tcW w:w="2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(31,143)</w:t>
            </w: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(33,125)</w:t>
            </w:r>
          </w:p>
        </w:tc>
      </w:tr>
      <w:tr>
        <w:trPr>
          <w:trHeight w:val="209"/>
        </w:trPr>
        <w:tc>
          <w:tcPr>
            <w:tcW w:w="20" w:type="dxa"/>
            <w:vAlign w:val="bottom"/>
            <w:tcBorders>
              <w:bottom w:val="single" w:sz="8" w:color="auto"/>
            </w:tcBorders>
          </w:tcPr>
          <w:p>
            <w:pPr>
              <w:spacing w:after="0"/>
              <w:rPr>
                <w:sz w:val="18"/>
                <w:szCs w:val="18"/>
                <w:color w:val="auto"/>
              </w:rPr>
            </w:pPr>
          </w:p>
        </w:tc>
        <w:tc>
          <w:tcPr>
            <w:tcW w:w="4700" w:type="dxa"/>
            <w:vAlign w:val="bottom"/>
            <w:tcBorders>
              <w:bottom w:val="single" w:sz="8" w:color="auto"/>
            </w:tcBorders>
            <w:gridSpan w:val="3"/>
          </w:tcPr>
          <w:p>
            <w:pPr>
              <w:ind w:left="220"/>
              <w:spacing w:after="0"/>
              <w:rPr>
                <w:sz w:val="20"/>
                <w:szCs w:val="20"/>
                <w:color w:val="auto"/>
              </w:rPr>
            </w:pPr>
            <w:r>
              <w:rPr>
                <w:rFonts w:ascii="Arial" w:cs="Arial" w:eastAsia="Arial" w:hAnsi="Arial"/>
                <w:sz w:val="17"/>
                <w:szCs w:val="17"/>
                <w:color w:val="auto"/>
              </w:rPr>
              <w:t>Total stockholders’ equity</w:t>
            </w:r>
          </w:p>
        </w:tc>
        <w:tc>
          <w:tcPr>
            <w:tcW w:w="14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1,477,083</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1,286,602</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1,351,701</w:t>
            </w:r>
          </w:p>
        </w:tc>
      </w:tr>
      <w:tr>
        <w:trPr>
          <w:trHeight w:val="235"/>
        </w:trPr>
        <w:tc>
          <w:tcPr>
            <w:tcW w:w="4720" w:type="dxa"/>
            <w:vAlign w:val="bottom"/>
            <w:tcBorders>
              <w:bottom w:val="single" w:sz="8" w:color="auto"/>
            </w:tcBorders>
            <w:gridSpan w:val="4"/>
            <w:shd w:val="clear" w:color="auto" w:fill="CCEEFF"/>
          </w:tcPr>
          <w:p>
            <w:pPr>
              <w:ind w:left="20"/>
              <w:spacing w:after="0"/>
              <w:rPr>
                <w:sz w:val="20"/>
                <w:szCs w:val="20"/>
                <w:color w:val="auto"/>
              </w:rPr>
            </w:pPr>
            <w:r>
              <w:rPr>
                <w:rFonts w:ascii="Arial" w:cs="Arial" w:eastAsia="Arial" w:hAnsi="Arial"/>
                <w:sz w:val="17"/>
                <w:szCs w:val="17"/>
                <w:color w:val="auto"/>
              </w:rPr>
              <w:t>Total liabilities and stockholders’ equity</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3,585,890</w:t>
            </w:r>
          </w:p>
        </w:tc>
        <w:tc>
          <w:tcPr>
            <w:tcW w:w="2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3,439,949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3,555,998</w:t>
            </w: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7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00"/>
          </w:cols>
          <w:pgMar w:left="340" w:top="760" w:right="359" w:bottom="1440" w:gutter="0" w:footer="0" w:header="0"/>
        </w:sectPr>
      </w:pPr>
    </w:p>
    <w:bookmarkStart w:id="10" w:name="page11"/>
    <w:bookmarkEnd w:id="10"/>
    <w:p>
      <w:pPr>
        <w:jc w:val="center"/>
        <w:ind w:left="360" w:right="2560"/>
        <w:spacing w:after="0" w:line="264" w:lineRule="auto"/>
        <w:rPr>
          <w:sz w:val="20"/>
          <w:szCs w:val="20"/>
          <w:color w:val="auto"/>
        </w:rPr>
      </w:pPr>
      <w:r>
        <w:rPr>
          <w:rFonts w:ascii="Arial" w:cs="Arial" w:eastAsia="Arial" w:hAnsi="Arial"/>
          <w:sz w:val="20"/>
          <w:szCs w:val="20"/>
          <w:b w:val="1"/>
          <w:bCs w:val="1"/>
          <w:color w:val="auto"/>
        </w:rPr>
        <w:t>THE TORO COMPANY AND SUBSIDIARIES Condensed Consolidated Statements of Cash Flows (Unaudited) (Dollars in thousands)</w:t>
      </w:r>
    </w:p>
    <w:p>
      <w:pPr>
        <w:spacing w:after="0" w:line="151" w:lineRule="exact"/>
        <w:rPr>
          <w:sz w:val="20"/>
          <w:szCs w:val="20"/>
          <w:color w:val="auto"/>
        </w:rPr>
      </w:pPr>
    </w:p>
    <w:p>
      <w:pPr>
        <w:ind w:left="8800"/>
        <w:spacing w:after="0"/>
        <w:rPr>
          <w:sz w:val="20"/>
          <w:szCs w:val="20"/>
          <w:color w:val="auto"/>
        </w:rPr>
      </w:pPr>
      <w:r>
        <w:rPr>
          <w:rFonts w:ascii="Arial" w:cs="Arial" w:eastAsia="Arial" w:hAnsi="Arial"/>
          <w:sz w:val="17"/>
          <w:szCs w:val="17"/>
          <w:b w:val="1"/>
          <w:bCs w:val="1"/>
          <w:color w:val="auto"/>
        </w:rPr>
        <w:t>Nine Months Ended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7"/>
                <w:szCs w:val="17"/>
                <w:b w:val="1"/>
                <w:bCs w:val="1"/>
                <w:color w:val="auto"/>
                <w:w w:val="99"/>
              </w:rPr>
              <w:t>August 4, 2023</w:t>
            </w:r>
          </w:p>
        </w:tc>
        <w:tc>
          <w:tcPr>
            <w:tcW w:w="2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7"/>
                <w:szCs w:val="17"/>
                <w:b w:val="1"/>
                <w:bCs w:val="1"/>
                <w:color w:val="auto"/>
              </w:rPr>
              <w:t>July 29, 2022</w:t>
            </w:r>
          </w:p>
        </w:tc>
      </w:tr>
      <w:tr>
        <w:trPr>
          <w:trHeight w:val="209"/>
        </w:trPr>
        <w:tc>
          <w:tcPr>
            <w:tcW w:w="7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operating activities:</w:t>
            </w:r>
          </w:p>
        </w:tc>
        <w:tc>
          <w:tcPr>
            <w:tcW w:w="1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4"/>
        </w:trPr>
        <w:tc>
          <w:tcPr>
            <w:tcW w:w="7000" w:type="dxa"/>
            <w:vAlign w:val="bottom"/>
          </w:tcPr>
          <w:p>
            <w:pPr>
              <w:ind w:left="20"/>
              <w:spacing w:after="0"/>
              <w:rPr>
                <w:sz w:val="20"/>
                <w:szCs w:val="20"/>
                <w:color w:val="auto"/>
              </w:rPr>
            </w:pPr>
            <w:r>
              <w:rPr>
                <w:rFonts w:ascii="Arial" w:cs="Arial" w:eastAsia="Arial" w:hAnsi="Arial"/>
                <w:sz w:val="17"/>
                <w:szCs w:val="17"/>
                <w:color w:val="auto"/>
              </w:rPr>
              <w:t>Net earnings</w:t>
            </w: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1460" w:type="dxa"/>
            <w:vAlign w:val="bottom"/>
          </w:tcPr>
          <w:p>
            <w:pPr>
              <w:jc w:val="right"/>
              <w:ind w:right="37"/>
              <w:spacing w:after="0"/>
              <w:rPr>
                <w:sz w:val="20"/>
                <w:szCs w:val="20"/>
                <w:color w:val="auto"/>
              </w:rPr>
            </w:pPr>
            <w:r>
              <w:rPr>
                <w:rFonts w:ascii="Arial" w:cs="Arial" w:eastAsia="Arial" w:hAnsi="Arial"/>
                <w:sz w:val="17"/>
                <w:szCs w:val="17"/>
                <w:color w:val="auto"/>
              </w:rPr>
              <w:t>259,362</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325,785</w:t>
            </w:r>
          </w:p>
        </w:tc>
      </w:tr>
      <w:tr>
        <w:trPr>
          <w:trHeight w:val="218"/>
        </w:trPr>
        <w:tc>
          <w:tcPr>
            <w:tcW w:w="7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 to reconcile net earnings to net cash provided by operating activities:</w:t>
            </w:r>
          </w:p>
        </w:tc>
        <w:tc>
          <w:tcPr>
            <w:tcW w:w="1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4"/>
        </w:trPr>
        <w:tc>
          <w:tcPr>
            <w:tcW w:w="7000" w:type="dxa"/>
            <w:vAlign w:val="bottom"/>
          </w:tcPr>
          <w:p>
            <w:pPr>
              <w:ind w:left="140"/>
              <w:spacing w:after="0"/>
              <w:rPr>
                <w:sz w:val="20"/>
                <w:szCs w:val="20"/>
                <w:color w:val="auto"/>
              </w:rPr>
            </w:pPr>
            <w:r>
              <w:rPr>
                <w:rFonts w:ascii="Arial" w:cs="Arial" w:eastAsia="Arial" w:hAnsi="Arial"/>
                <w:sz w:val="17"/>
                <w:szCs w:val="17"/>
                <w:color w:val="auto"/>
              </w:rPr>
              <w:t>Non-cash income from finance affiliate</w:t>
            </w:r>
          </w:p>
        </w:tc>
        <w:tc>
          <w:tcPr>
            <w:tcW w:w="1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(14,099)</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(5,814)</w:t>
            </w:r>
          </w:p>
        </w:tc>
      </w:tr>
      <w:tr>
        <w:trPr>
          <w:trHeight w:val="218"/>
        </w:trPr>
        <w:tc>
          <w:tcPr>
            <w:tcW w:w="70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Distributions from (Contributions to) finance affiliate, net</w:t>
            </w:r>
          </w:p>
        </w:tc>
        <w:tc>
          <w:tcPr>
            <w:tcW w:w="1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4,920</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(4,905)</w:t>
            </w:r>
          </w:p>
        </w:tc>
      </w:tr>
      <w:tr>
        <w:trPr>
          <w:trHeight w:val="214"/>
        </w:trPr>
        <w:tc>
          <w:tcPr>
            <w:tcW w:w="7000" w:type="dxa"/>
            <w:vAlign w:val="bottom"/>
          </w:tcPr>
          <w:p>
            <w:pPr>
              <w:ind w:left="140"/>
              <w:spacing w:after="0"/>
              <w:rPr>
                <w:sz w:val="20"/>
                <w:szCs w:val="20"/>
                <w:color w:val="auto"/>
              </w:rPr>
            </w:pPr>
            <w:r>
              <w:rPr>
                <w:rFonts w:ascii="Arial" w:cs="Arial" w:eastAsia="Arial" w:hAnsi="Arial"/>
                <w:sz w:val="17"/>
                <w:szCs w:val="17"/>
                <w:color w:val="auto"/>
              </w:rPr>
              <w:t>Depreciation of property, plant, and equipment</w:t>
            </w:r>
          </w:p>
        </w:tc>
        <w:tc>
          <w:tcPr>
            <w:tcW w:w="1100" w:type="dxa"/>
            <w:vAlign w:val="bottom"/>
          </w:tcPr>
          <w:p>
            <w:pPr>
              <w:spacing w:after="0"/>
              <w:rPr>
                <w:sz w:val="18"/>
                <w:szCs w:val="18"/>
                <w:color w:val="auto"/>
              </w:rPr>
            </w:pPr>
          </w:p>
        </w:tc>
        <w:tc>
          <w:tcPr>
            <w:tcW w:w="1460" w:type="dxa"/>
            <w:vAlign w:val="bottom"/>
          </w:tcPr>
          <w:p>
            <w:pPr>
              <w:jc w:val="right"/>
              <w:ind w:right="37"/>
              <w:spacing w:after="0"/>
              <w:rPr>
                <w:sz w:val="20"/>
                <w:szCs w:val="20"/>
                <w:color w:val="auto"/>
              </w:rPr>
            </w:pPr>
            <w:r>
              <w:rPr>
                <w:rFonts w:ascii="Arial" w:cs="Arial" w:eastAsia="Arial" w:hAnsi="Arial"/>
                <w:sz w:val="17"/>
                <w:szCs w:val="17"/>
                <w:color w:val="auto"/>
              </w:rPr>
              <w:t>56,551</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54,269</w:t>
            </w:r>
          </w:p>
        </w:tc>
      </w:tr>
      <w:tr>
        <w:trPr>
          <w:trHeight w:val="218"/>
        </w:trPr>
        <w:tc>
          <w:tcPr>
            <w:tcW w:w="70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Amortization of other intangible assets</w:t>
            </w:r>
          </w:p>
        </w:tc>
        <w:tc>
          <w:tcPr>
            <w:tcW w:w="1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26,828</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24,760</w:t>
            </w:r>
          </w:p>
        </w:tc>
      </w:tr>
      <w:tr>
        <w:trPr>
          <w:trHeight w:val="214"/>
        </w:trPr>
        <w:tc>
          <w:tcPr>
            <w:tcW w:w="7000" w:type="dxa"/>
            <w:vAlign w:val="bottom"/>
          </w:tcPr>
          <w:p>
            <w:pPr>
              <w:ind w:left="140"/>
              <w:spacing w:after="0"/>
              <w:rPr>
                <w:sz w:val="20"/>
                <w:szCs w:val="20"/>
                <w:color w:val="auto"/>
              </w:rPr>
            </w:pPr>
            <w:r>
              <w:rPr>
                <w:rFonts w:ascii="Arial" w:cs="Arial" w:eastAsia="Arial" w:hAnsi="Arial"/>
                <w:sz w:val="17"/>
                <w:szCs w:val="17"/>
                <w:color w:val="auto"/>
              </w:rPr>
              <w:t>Stock-based compensation expense</w:t>
            </w:r>
          </w:p>
        </w:tc>
        <w:tc>
          <w:tcPr>
            <w:tcW w:w="1100" w:type="dxa"/>
            <w:vAlign w:val="bottom"/>
          </w:tcPr>
          <w:p>
            <w:pPr>
              <w:spacing w:after="0"/>
              <w:rPr>
                <w:sz w:val="18"/>
                <w:szCs w:val="18"/>
                <w:color w:val="auto"/>
              </w:rPr>
            </w:pPr>
          </w:p>
        </w:tc>
        <w:tc>
          <w:tcPr>
            <w:tcW w:w="1460" w:type="dxa"/>
            <w:vAlign w:val="bottom"/>
          </w:tcPr>
          <w:p>
            <w:pPr>
              <w:jc w:val="right"/>
              <w:ind w:right="37"/>
              <w:spacing w:after="0"/>
              <w:rPr>
                <w:sz w:val="20"/>
                <w:szCs w:val="20"/>
                <w:color w:val="auto"/>
              </w:rPr>
            </w:pPr>
            <w:r>
              <w:rPr>
                <w:rFonts w:ascii="Arial" w:cs="Arial" w:eastAsia="Arial" w:hAnsi="Arial"/>
                <w:sz w:val="17"/>
                <w:szCs w:val="17"/>
                <w:color w:val="auto"/>
              </w:rPr>
              <w:t>14,382</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17,105</w:t>
            </w:r>
          </w:p>
        </w:tc>
      </w:tr>
      <w:tr>
        <w:trPr>
          <w:trHeight w:val="218"/>
        </w:trPr>
        <w:tc>
          <w:tcPr>
            <w:tcW w:w="70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Non-cash impairment charges</w:t>
            </w:r>
          </w:p>
        </w:tc>
        <w:tc>
          <w:tcPr>
            <w:tcW w:w="1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151,263</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4"/>
        </w:trPr>
        <w:tc>
          <w:tcPr>
            <w:tcW w:w="7000" w:type="dxa"/>
            <w:vAlign w:val="bottom"/>
          </w:tcPr>
          <w:p>
            <w:pPr>
              <w:ind w:left="140"/>
              <w:spacing w:after="0"/>
              <w:rPr>
                <w:sz w:val="20"/>
                <w:szCs w:val="20"/>
                <w:color w:val="auto"/>
              </w:rPr>
            </w:pPr>
            <w:r>
              <w:rPr>
                <w:rFonts w:ascii="Arial" w:cs="Arial" w:eastAsia="Arial" w:hAnsi="Arial"/>
                <w:sz w:val="17"/>
                <w:szCs w:val="17"/>
                <w:color w:val="auto"/>
              </w:rPr>
              <w:t>Other</w:t>
            </w:r>
          </w:p>
        </w:tc>
        <w:tc>
          <w:tcPr>
            <w:tcW w:w="1100" w:type="dxa"/>
            <w:vAlign w:val="bottom"/>
          </w:tcPr>
          <w:p>
            <w:pPr>
              <w:spacing w:after="0"/>
              <w:rPr>
                <w:sz w:val="18"/>
                <w:szCs w:val="18"/>
                <w:color w:val="auto"/>
              </w:rPr>
            </w:pPr>
          </w:p>
        </w:tc>
        <w:tc>
          <w:tcPr>
            <w:tcW w:w="1460" w:type="dxa"/>
            <w:vAlign w:val="bottom"/>
          </w:tcPr>
          <w:p>
            <w:pPr>
              <w:jc w:val="right"/>
              <w:ind w:right="37"/>
              <w:spacing w:after="0"/>
              <w:rPr>
                <w:sz w:val="20"/>
                <w:szCs w:val="20"/>
                <w:color w:val="auto"/>
              </w:rPr>
            </w:pPr>
            <w:r>
              <w:rPr>
                <w:rFonts w:ascii="Arial" w:cs="Arial" w:eastAsia="Arial" w:hAnsi="Arial"/>
                <w:sz w:val="17"/>
                <w:szCs w:val="17"/>
                <w:color w:val="auto"/>
              </w:rPr>
              <w:t>720</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3,893</w:t>
            </w:r>
          </w:p>
        </w:tc>
      </w:tr>
      <w:tr>
        <w:trPr>
          <w:trHeight w:val="218"/>
        </w:trPr>
        <w:tc>
          <w:tcPr>
            <w:tcW w:w="7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operating assets and liabilities, net of the effect of acquisitions:</w:t>
            </w:r>
          </w:p>
        </w:tc>
        <w:tc>
          <w:tcPr>
            <w:tcW w:w="1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4"/>
        </w:trPr>
        <w:tc>
          <w:tcPr>
            <w:tcW w:w="7000" w:type="dxa"/>
            <w:vAlign w:val="bottom"/>
          </w:tcPr>
          <w:p>
            <w:pPr>
              <w:ind w:left="140"/>
              <w:spacing w:after="0"/>
              <w:rPr>
                <w:sz w:val="20"/>
                <w:szCs w:val="20"/>
                <w:color w:val="auto"/>
              </w:rPr>
            </w:pPr>
            <w:r>
              <w:rPr>
                <w:rFonts w:ascii="Arial" w:cs="Arial" w:eastAsia="Arial" w:hAnsi="Arial"/>
                <w:sz w:val="17"/>
                <w:szCs w:val="17"/>
                <w:color w:val="auto"/>
              </w:rPr>
              <w:t>Receivables, net</w:t>
            </w:r>
          </w:p>
        </w:tc>
        <w:tc>
          <w:tcPr>
            <w:tcW w:w="1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(52,757)</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(38,118)</w:t>
            </w:r>
          </w:p>
        </w:tc>
      </w:tr>
      <w:tr>
        <w:trPr>
          <w:trHeight w:val="218"/>
        </w:trPr>
        <w:tc>
          <w:tcPr>
            <w:tcW w:w="70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Inventories, net</w:t>
            </w:r>
          </w:p>
        </w:tc>
        <w:tc>
          <w:tcPr>
            <w:tcW w:w="1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(46,580)</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(173,000)</w:t>
            </w:r>
          </w:p>
        </w:tc>
      </w:tr>
      <w:tr>
        <w:trPr>
          <w:trHeight w:val="214"/>
        </w:trPr>
        <w:tc>
          <w:tcPr>
            <w:tcW w:w="7000" w:type="dxa"/>
            <w:vAlign w:val="bottom"/>
          </w:tcPr>
          <w:p>
            <w:pPr>
              <w:ind w:left="140"/>
              <w:spacing w:after="0"/>
              <w:rPr>
                <w:sz w:val="20"/>
                <w:szCs w:val="20"/>
                <w:color w:val="auto"/>
              </w:rPr>
            </w:pPr>
            <w:r>
              <w:rPr>
                <w:rFonts w:ascii="Arial" w:cs="Arial" w:eastAsia="Arial" w:hAnsi="Arial"/>
                <w:sz w:val="17"/>
                <w:szCs w:val="17"/>
                <w:color w:val="auto"/>
              </w:rPr>
              <w:t>Other assets</w:t>
            </w:r>
          </w:p>
        </w:tc>
        <w:tc>
          <w:tcPr>
            <w:tcW w:w="1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(74,258)</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(32,483)</w:t>
            </w:r>
          </w:p>
        </w:tc>
      </w:tr>
      <w:tr>
        <w:trPr>
          <w:trHeight w:val="218"/>
        </w:trPr>
        <w:tc>
          <w:tcPr>
            <w:tcW w:w="70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Accounts payable</w:t>
            </w:r>
          </w:p>
        </w:tc>
        <w:tc>
          <w:tcPr>
            <w:tcW w:w="1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(174,743)</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(24,858)</w:t>
            </w:r>
          </w:p>
        </w:tc>
      </w:tr>
      <w:tr>
        <w:trPr>
          <w:trHeight w:val="214"/>
        </w:trPr>
        <w:tc>
          <w:tcPr>
            <w:tcW w:w="70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Other liabilities</w:t>
            </w:r>
          </w:p>
        </w:tc>
        <w:tc>
          <w:tcPr>
            <w:tcW w:w="1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3,076</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7,929</w:t>
            </w:r>
          </w:p>
        </w:tc>
      </w:tr>
      <w:tr>
        <w:trPr>
          <w:trHeight w:val="209"/>
        </w:trPr>
        <w:tc>
          <w:tcPr>
            <w:tcW w:w="70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7"/>
                <w:szCs w:val="17"/>
                <w:color w:val="auto"/>
              </w:rPr>
              <w:t>Net cash provided by operating activities</w:t>
            </w:r>
          </w:p>
        </w:tc>
        <w:tc>
          <w:tcPr>
            <w:tcW w:w="1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154,665</w:t>
            </w: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154,563</w:t>
            </w:r>
          </w:p>
        </w:tc>
      </w:tr>
      <w:tr>
        <w:trPr>
          <w:trHeight w:val="76"/>
        </w:trPr>
        <w:tc>
          <w:tcPr>
            <w:tcW w:w="7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80" w:type="dxa"/>
            <w:vAlign w:val="bottom"/>
          </w:tcPr>
          <w:p>
            <w:pPr>
              <w:spacing w:after="0"/>
              <w:rPr>
                <w:sz w:val="6"/>
                <w:szCs w:val="6"/>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investing activities:</w:t>
            </w:r>
          </w:p>
        </w:tc>
        <w:tc>
          <w:tcPr>
            <w:tcW w:w="1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4"/>
        </w:trPr>
        <w:tc>
          <w:tcPr>
            <w:tcW w:w="7000" w:type="dxa"/>
            <w:vAlign w:val="bottom"/>
          </w:tcPr>
          <w:p>
            <w:pPr>
              <w:ind w:left="140"/>
              <w:spacing w:after="0"/>
              <w:rPr>
                <w:sz w:val="20"/>
                <w:szCs w:val="20"/>
                <w:color w:val="auto"/>
              </w:rPr>
            </w:pPr>
            <w:r>
              <w:rPr>
                <w:rFonts w:ascii="Arial" w:cs="Arial" w:eastAsia="Arial" w:hAnsi="Arial"/>
                <w:sz w:val="17"/>
                <w:szCs w:val="17"/>
                <w:color w:val="auto"/>
              </w:rPr>
              <w:t>Purchases of property, plant, and equipment</w:t>
            </w:r>
          </w:p>
        </w:tc>
        <w:tc>
          <w:tcPr>
            <w:tcW w:w="1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(105,700)</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(75,772)</w:t>
            </w:r>
          </w:p>
        </w:tc>
      </w:tr>
      <w:tr>
        <w:trPr>
          <w:trHeight w:val="218"/>
        </w:trPr>
        <w:tc>
          <w:tcPr>
            <w:tcW w:w="70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insurance claim</w:t>
            </w:r>
          </w:p>
        </w:tc>
        <w:tc>
          <w:tcPr>
            <w:tcW w:w="1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7,114</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4"/>
        </w:trPr>
        <w:tc>
          <w:tcPr>
            <w:tcW w:w="7000" w:type="dxa"/>
            <w:vAlign w:val="bottom"/>
          </w:tcPr>
          <w:p>
            <w:pPr>
              <w:ind w:left="140"/>
              <w:spacing w:after="0"/>
              <w:rPr>
                <w:sz w:val="20"/>
                <w:szCs w:val="20"/>
                <w:color w:val="auto"/>
              </w:rPr>
            </w:pPr>
            <w:r>
              <w:rPr>
                <w:rFonts w:ascii="Arial" w:cs="Arial" w:eastAsia="Arial" w:hAnsi="Arial"/>
                <w:sz w:val="17"/>
                <w:szCs w:val="17"/>
                <w:color w:val="auto"/>
              </w:rPr>
              <w:t>Business combinations, net of cash acquired</w:t>
            </w:r>
          </w:p>
        </w:tc>
        <w:tc>
          <w:tcPr>
            <w:tcW w:w="1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(20,971)</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(402,386)</w:t>
            </w:r>
          </w:p>
        </w:tc>
      </w:tr>
      <w:tr>
        <w:trPr>
          <w:trHeight w:val="218"/>
        </w:trPr>
        <w:tc>
          <w:tcPr>
            <w:tcW w:w="70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Asset acquisitions, net of cash acquired</w:t>
            </w:r>
          </w:p>
        </w:tc>
        <w:tc>
          <w:tcPr>
            <w:tcW w:w="1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(7,225)</w:t>
            </w:r>
          </w:p>
        </w:tc>
      </w:tr>
      <w:tr>
        <w:trPr>
          <w:trHeight w:val="214"/>
        </w:trPr>
        <w:tc>
          <w:tcPr>
            <w:tcW w:w="7000" w:type="dxa"/>
            <w:vAlign w:val="bottom"/>
          </w:tcPr>
          <w:p>
            <w:pPr>
              <w:ind w:left="140"/>
              <w:spacing w:after="0"/>
              <w:rPr>
                <w:sz w:val="20"/>
                <w:szCs w:val="20"/>
                <w:color w:val="auto"/>
              </w:rPr>
            </w:pPr>
            <w:r>
              <w:rPr>
                <w:rFonts w:ascii="Arial" w:cs="Arial" w:eastAsia="Arial" w:hAnsi="Arial"/>
                <w:sz w:val="17"/>
                <w:szCs w:val="17"/>
                <w:color w:val="auto"/>
              </w:rPr>
              <w:t>Proceeds from asset disposals</w:t>
            </w:r>
          </w:p>
        </w:tc>
        <w:tc>
          <w:tcPr>
            <w:tcW w:w="1100" w:type="dxa"/>
            <w:vAlign w:val="bottom"/>
          </w:tcPr>
          <w:p>
            <w:pPr>
              <w:spacing w:after="0"/>
              <w:rPr>
                <w:sz w:val="18"/>
                <w:szCs w:val="18"/>
                <w:color w:val="auto"/>
              </w:rPr>
            </w:pPr>
          </w:p>
        </w:tc>
        <w:tc>
          <w:tcPr>
            <w:tcW w:w="1460" w:type="dxa"/>
            <w:vAlign w:val="bottom"/>
          </w:tcPr>
          <w:p>
            <w:pPr>
              <w:jc w:val="right"/>
              <w:ind w:right="37"/>
              <w:spacing w:after="0"/>
              <w:rPr>
                <w:sz w:val="20"/>
                <w:szCs w:val="20"/>
                <w:color w:val="auto"/>
              </w:rPr>
            </w:pPr>
            <w:r>
              <w:rPr>
                <w:rFonts w:ascii="Arial" w:cs="Arial" w:eastAsia="Arial" w:hAnsi="Arial"/>
                <w:sz w:val="17"/>
                <w:szCs w:val="17"/>
                <w:color w:val="auto"/>
              </w:rPr>
              <w:t>399</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197</w:t>
            </w:r>
          </w:p>
        </w:tc>
      </w:tr>
      <w:tr>
        <w:trPr>
          <w:trHeight w:val="216"/>
        </w:trPr>
        <w:tc>
          <w:tcPr>
            <w:tcW w:w="70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Proceeds from sale of a business</w:t>
            </w:r>
          </w:p>
        </w:tc>
        <w:tc>
          <w:tcPr>
            <w:tcW w:w="1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4,605</w:t>
            </w:r>
          </w:p>
        </w:tc>
      </w:tr>
      <w:tr>
        <w:trPr>
          <w:trHeight w:val="210"/>
        </w:trPr>
        <w:tc>
          <w:tcPr>
            <w:tcW w:w="700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Net cash used in investing activities</w:t>
            </w:r>
          </w:p>
        </w:tc>
        <w:tc>
          <w:tcPr>
            <w:tcW w:w="1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(119,158)</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(480,581)</w:t>
            </w:r>
          </w:p>
        </w:tc>
      </w:tr>
      <w:tr>
        <w:trPr>
          <w:trHeight w:val="76"/>
        </w:trPr>
        <w:tc>
          <w:tcPr>
            <w:tcW w:w="700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r>
      <w:tr>
        <w:trPr>
          <w:trHeight w:val="214"/>
        </w:trPr>
        <w:tc>
          <w:tcPr>
            <w:tcW w:w="7000" w:type="dxa"/>
            <w:vAlign w:val="bottom"/>
          </w:tcPr>
          <w:p>
            <w:pPr>
              <w:ind w:left="20"/>
              <w:spacing w:after="0"/>
              <w:rPr>
                <w:sz w:val="20"/>
                <w:szCs w:val="20"/>
                <w:color w:val="auto"/>
              </w:rPr>
            </w:pPr>
            <w:r>
              <w:rPr>
                <w:rFonts w:ascii="Arial" w:cs="Arial" w:eastAsia="Arial" w:hAnsi="Arial"/>
                <w:sz w:val="17"/>
                <w:szCs w:val="17"/>
                <w:color w:val="auto"/>
              </w:rPr>
              <w:t>Cash flows from financing activities:</w:t>
            </w:r>
          </w:p>
        </w:tc>
        <w:tc>
          <w:tcPr>
            <w:tcW w:w="1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8"/>
        </w:trPr>
        <w:tc>
          <w:tcPr>
            <w:tcW w:w="70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Borrowings under debt arrangements</w:t>
            </w:r>
          </w:p>
        </w:tc>
        <w:tc>
          <w:tcPr>
            <w:tcW w:w="1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515,000</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700,000</w:t>
            </w:r>
          </w:p>
        </w:tc>
      </w:tr>
      <w:tr>
        <w:trPr>
          <w:trHeight w:val="214"/>
        </w:trPr>
        <w:tc>
          <w:tcPr>
            <w:tcW w:w="7000" w:type="dxa"/>
            <w:vAlign w:val="bottom"/>
          </w:tcPr>
          <w:p>
            <w:pPr>
              <w:ind w:left="140"/>
              <w:spacing w:after="0"/>
              <w:rPr>
                <w:sz w:val="20"/>
                <w:szCs w:val="20"/>
                <w:color w:val="auto"/>
              </w:rPr>
            </w:pPr>
            <w:r>
              <w:rPr>
                <w:rFonts w:ascii="Arial" w:cs="Arial" w:eastAsia="Arial" w:hAnsi="Arial"/>
                <w:sz w:val="17"/>
                <w:szCs w:val="17"/>
                <w:color w:val="auto"/>
              </w:rPr>
              <w:t>Repayments under debt arrangements</w:t>
            </w:r>
          </w:p>
        </w:tc>
        <w:tc>
          <w:tcPr>
            <w:tcW w:w="1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(445,000)</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(335,000)</w:t>
            </w:r>
          </w:p>
        </w:tc>
      </w:tr>
      <w:tr>
        <w:trPr>
          <w:trHeight w:val="218"/>
        </w:trPr>
        <w:tc>
          <w:tcPr>
            <w:tcW w:w="70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exercise of stock options</w:t>
            </w:r>
          </w:p>
        </w:tc>
        <w:tc>
          <w:tcPr>
            <w:tcW w:w="1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19,398</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4,440</w:t>
            </w:r>
          </w:p>
        </w:tc>
      </w:tr>
      <w:tr>
        <w:trPr>
          <w:trHeight w:val="214"/>
        </w:trPr>
        <w:tc>
          <w:tcPr>
            <w:tcW w:w="7000" w:type="dxa"/>
            <w:vAlign w:val="bottom"/>
          </w:tcPr>
          <w:p>
            <w:pPr>
              <w:ind w:left="140"/>
              <w:spacing w:after="0"/>
              <w:rPr>
                <w:sz w:val="20"/>
                <w:szCs w:val="20"/>
                <w:color w:val="auto"/>
              </w:rPr>
            </w:pPr>
            <w:r>
              <w:rPr>
                <w:rFonts w:ascii="Arial" w:cs="Arial" w:eastAsia="Arial" w:hAnsi="Arial"/>
                <w:sz w:val="17"/>
                <w:szCs w:val="17"/>
                <w:color w:val="auto"/>
              </w:rPr>
              <w:t>Payments of withholding taxes for stock awards</w:t>
            </w:r>
          </w:p>
        </w:tc>
        <w:tc>
          <w:tcPr>
            <w:tcW w:w="1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(3,748)</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(2,308)</w:t>
            </w:r>
          </w:p>
        </w:tc>
      </w:tr>
      <w:tr>
        <w:trPr>
          <w:trHeight w:val="218"/>
        </w:trPr>
        <w:tc>
          <w:tcPr>
            <w:tcW w:w="70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Purchases of TTC common stock</w:t>
            </w:r>
          </w:p>
        </w:tc>
        <w:tc>
          <w:tcPr>
            <w:tcW w:w="1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(60,040)</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(110,004)</w:t>
            </w:r>
          </w:p>
        </w:tc>
      </w:tr>
      <w:tr>
        <w:trPr>
          <w:trHeight w:val="214"/>
        </w:trPr>
        <w:tc>
          <w:tcPr>
            <w:tcW w:w="7000" w:type="dxa"/>
            <w:vAlign w:val="bottom"/>
          </w:tcPr>
          <w:p>
            <w:pPr>
              <w:ind w:left="140"/>
              <w:spacing w:after="0"/>
              <w:rPr>
                <w:sz w:val="20"/>
                <w:szCs w:val="20"/>
                <w:color w:val="auto"/>
              </w:rPr>
            </w:pPr>
            <w:r>
              <w:rPr>
                <w:rFonts w:ascii="Arial" w:cs="Arial" w:eastAsia="Arial" w:hAnsi="Arial"/>
                <w:sz w:val="17"/>
                <w:szCs w:val="17"/>
                <w:color w:val="auto"/>
              </w:rPr>
              <w:t>Dividends paid on TTC common stock</w:t>
            </w:r>
          </w:p>
        </w:tc>
        <w:tc>
          <w:tcPr>
            <w:tcW w:w="1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(106,505)</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(94,401)</w:t>
            </w:r>
          </w:p>
        </w:tc>
      </w:tr>
      <w:tr>
        <w:trPr>
          <w:trHeight w:val="216"/>
        </w:trPr>
        <w:tc>
          <w:tcPr>
            <w:tcW w:w="70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Other</w:t>
            </w:r>
          </w:p>
        </w:tc>
        <w:tc>
          <w:tcPr>
            <w:tcW w:w="1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(1,525)</w:t>
            </w: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0"/>
        </w:trPr>
        <w:tc>
          <w:tcPr>
            <w:tcW w:w="700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Net cash (used in) provided by financing activities</w:t>
            </w:r>
          </w:p>
        </w:tc>
        <w:tc>
          <w:tcPr>
            <w:tcW w:w="1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(82,420)</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162,727</w:t>
            </w:r>
          </w:p>
        </w:tc>
      </w:tr>
      <w:tr>
        <w:trPr>
          <w:trHeight w:val="90"/>
        </w:trPr>
        <w:tc>
          <w:tcPr>
            <w:tcW w:w="700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380" w:type="dxa"/>
            <w:vAlign w:val="bottom"/>
            <w:shd w:val="clear" w:color="auto" w:fill="CCEEFF"/>
          </w:tcPr>
          <w:p>
            <w:pPr>
              <w:spacing w:after="0"/>
              <w:rPr>
                <w:sz w:val="7"/>
                <w:szCs w:val="7"/>
                <w:color w:val="auto"/>
              </w:rPr>
            </w:pPr>
          </w:p>
        </w:tc>
      </w:tr>
      <w:tr>
        <w:trPr>
          <w:trHeight w:val="214"/>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Effect of exchange rates on cash and cash equivalents</w:t>
            </w:r>
          </w:p>
        </w:tc>
        <w:tc>
          <w:tcPr>
            <w:tcW w:w="1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6,589</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(10,757)</w:t>
            </w:r>
          </w:p>
        </w:tc>
      </w:tr>
      <w:tr>
        <w:trPr>
          <w:trHeight w:val="90"/>
        </w:trPr>
        <w:tc>
          <w:tcPr>
            <w:tcW w:w="700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380" w:type="dxa"/>
            <w:vAlign w:val="bottom"/>
            <w:shd w:val="clear" w:color="auto" w:fill="CCEEFF"/>
          </w:tcPr>
          <w:p>
            <w:pPr>
              <w:spacing w:after="0"/>
              <w:rPr>
                <w:sz w:val="7"/>
                <w:szCs w:val="7"/>
                <w:color w:val="auto"/>
              </w:rPr>
            </w:pPr>
          </w:p>
        </w:tc>
      </w:tr>
      <w:tr>
        <w:trPr>
          <w:trHeight w:val="214"/>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Net decrease in cash and cash equivalents</w:t>
            </w:r>
          </w:p>
        </w:tc>
        <w:tc>
          <w:tcPr>
            <w:tcW w:w="1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(40,324)</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(174,048)</w:t>
            </w:r>
          </w:p>
        </w:tc>
      </w:tr>
      <w:tr>
        <w:trPr>
          <w:trHeight w:val="210"/>
        </w:trPr>
        <w:tc>
          <w:tcPr>
            <w:tcW w:w="7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 as of the beginning of the fiscal period</w:t>
            </w:r>
          </w:p>
        </w:tc>
        <w:tc>
          <w:tcPr>
            <w:tcW w:w="1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188,250</w:t>
            </w: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405,612</w:t>
            </w:r>
          </w:p>
        </w:tc>
      </w:tr>
      <w:tr>
        <w:trPr>
          <w:trHeight w:val="209"/>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Cash and cash equivalents as of the end of the fiscal period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147,926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231,564</w:t>
            </w:r>
          </w:p>
        </w:tc>
      </w:tr>
      <w:tr>
        <w:trPr>
          <w:trHeight w:val="22"/>
        </w:trPr>
        <w:tc>
          <w:tcPr>
            <w:tcW w:w="70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00"/>
          </w:cols>
          <w:pgMar w:left="340" w:top="760" w:right="359" w:bottom="1440" w:gutter="0" w:footer="0" w:header="0"/>
        </w:sectPr>
      </w:pPr>
    </w:p>
    <w:bookmarkStart w:id="11" w:name="page12"/>
    <w:bookmarkEnd w:id="11"/>
    <w:p>
      <w:pPr>
        <w:jc w:val="center"/>
        <w:ind w:left="340" w:right="2760"/>
        <w:spacing w:after="0" w:line="264" w:lineRule="auto"/>
        <w:rPr>
          <w:sz w:val="20"/>
          <w:szCs w:val="20"/>
          <w:color w:val="auto"/>
        </w:rPr>
      </w:pPr>
      <w:r>
        <w:rPr>
          <w:rFonts w:ascii="Arial" w:cs="Arial" w:eastAsia="Arial" w:hAnsi="Arial"/>
          <w:sz w:val="20"/>
          <w:szCs w:val="20"/>
          <w:b w:val="1"/>
          <w:bCs w:val="1"/>
          <w:color w:val="auto"/>
        </w:rPr>
        <w:t>THE TORO COMPANY AND SUBSIDIARIES Reconciliation of Non-GAAP Financial Measures (Unaudited) (Dollars in thousands, except per-share data)</w:t>
      </w:r>
    </w:p>
    <w:p>
      <w:pPr>
        <w:spacing w:after="0" w:line="1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table provides a reconciliation of the non-GAAP financial performance measures used in this press release and our related earnings call to the most directly comparable measures calculated and reported in accordance with U.S. GAAP for the nine month periods ended August 4, 2023 and July 29, 2022:</w:t>
      </w:r>
    </w:p>
    <w:p>
      <w:pPr>
        <w:spacing w:after="0" w:line="195"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39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3"/>
          </w:tcPr>
          <w:p>
            <w:pPr>
              <w:jc w:val="right"/>
              <w:ind w:right="777"/>
              <w:spacing w:after="0"/>
              <w:rPr>
                <w:sz w:val="20"/>
                <w:szCs w:val="20"/>
                <w:color w:val="auto"/>
              </w:rPr>
            </w:pPr>
            <w:r>
              <w:rPr>
                <w:rFonts w:ascii="Arial" w:cs="Arial" w:eastAsia="Arial" w:hAnsi="Arial"/>
                <w:sz w:val="17"/>
                <w:szCs w:val="17"/>
                <w:b w:val="1"/>
                <w:bCs w:val="1"/>
                <w:color w:val="auto"/>
              </w:rPr>
              <w:t>Three Months Ended</w:t>
            </w:r>
          </w:p>
        </w:tc>
        <w:tc>
          <w:tcPr>
            <w:tcW w:w="22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gridSpan w:val="3"/>
          </w:tcPr>
          <w:p>
            <w:pPr>
              <w:jc w:val="right"/>
              <w:ind w:right="777"/>
              <w:spacing w:after="0"/>
              <w:rPr>
                <w:sz w:val="20"/>
                <w:szCs w:val="20"/>
                <w:color w:val="auto"/>
              </w:rPr>
            </w:pPr>
            <w:r>
              <w:rPr>
                <w:rFonts w:ascii="Arial" w:cs="Arial" w:eastAsia="Arial" w:hAnsi="Arial"/>
                <w:sz w:val="17"/>
                <w:szCs w:val="17"/>
                <w:b w:val="1"/>
                <w:bCs w:val="1"/>
                <w:color w:val="auto"/>
              </w:rPr>
              <w:t>Nine Months Ended</w:t>
            </w:r>
          </w:p>
        </w:tc>
      </w:tr>
      <w:tr>
        <w:trPr>
          <w:trHeight w:val="210"/>
        </w:trPr>
        <w:tc>
          <w:tcPr>
            <w:tcW w:w="39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b w:val="1"/>
                <w:bCs w:val="1"/>
                <w:color w:val="auto"/>
                <w:w w:val="99"/>
              </w:rPr>
              <w:t>August 4, 2023</w:t>
            </w: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57"/>
              <w:spacing w:after="0"/>
              <w:rPr>
                <w:sz w:val="20"/>
                <w:szCs w:val="20"/>
                <w:color w:val="auto"/>
              </w:rPr>
            </w:pPr>
            <w:r>
              <w:rPr>
                <w:rFonts w:ascii="Arial" w:cs="Arial" w:eastAsia="Arial" w:hAnsi="Arial"/>
                <w:sz w:val="17"/>
                <w:szCs w:val="17"/>
                <w:b w:val="1"/>
                <w:bCs w:val="1"/>
                <w:color w:val="auto"/>
              </w:rPr>
              <w:t>July 29, 2022</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b w:val="1"/>
                <w:bCs w:val="1"/>
                <w:color w:val="auto"/>
                <w:w w:val="99"/>
              </w:rPr>
              <w:t>August 4, 2023</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b w:val="1"/>
                <w:bCs w:val="1"/>
                <w:color w:val="auto"/>
              </w:rPr>
              <w:t>July 29, 2022</w:t>
            </w:r>
          </w:p>
        </w:tc>
      </w:tr>
      <w:tr>
        <w:trPr>
          <w:trHeight w:val="209"/>
        </w:trPr>
        <w:tc>
          <w:tcPr>
            <w:tcW w:w="3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372,354</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399,906</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1,247,999</w:t>
            </w:r>
          </w:p>
        </w:tc>
        <w:tc>
          <w:tcPr>
            <w:tcW w:w="2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1,105,751</w:t>
            </w:r>
          </w:p>
        </w:tc>
      </w:tr>
      <w:tr>
        <w:trPr>
          <w:trHeight w:val="216"/>
        </w:trPr>
        <w:tc>
          <w:tcPr>
            <w:tcW w:w="3900" w:type="dxa"/>
            <w:vAlign w:val="bottom"/>
            <w:tcBorders>
              <w:bottom w:val="single" w:sz="8" w:color="auto"/>
            </w:tcBorders>
          </w:tcPr>
          <w:p>
            <w:pPr>
              <w:ind w:left="140"/>
              <w:spacing w:after="0" w:line="216"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1"/>
                <w:szCs w:val="21"/>
                <w:color w:val="auto"/>
                <w:vertAlign w:val="superscript"/>
              </w:rPr>
              <w:t>1</w:t>
            </w:r>
          </w:p>
        </w:tc>
        <w:tc>
          <w:tcPr>
            <w:tcW w:w="8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401</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225</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1,425</w:t>
            </w:r>
          </w:p>
        </w:tc>
      </w:tr>
      <w:tr>
        <w:trPr>
          <w:trHeight w:val="208"/>
        </w:trPr>
        <w:tc>
          <w:tcPr>
            <w:tcW w:w="3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Adjusted gross profit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rPr>
              <w:t>372,354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rPr>
              <w:t>400,307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rPr>
              <w:t>1,248,224</w:t>
            </w:r>
          </w:p>
        </w:tc>
        <w:tc>
          <w:tcPr>
            <w:tcW w:w="2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1,107,176</w:t>
            </w:r>
          </w:p>
        </w:tc>
      </w:tr>
      <w:tr>
        <w:trPr>
          <w:trHeight w:val="90"/>
        </w:trPr>
        <w:tc>
          <w:tcPr>
            <w:tcW w:w="39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r>
      <w:tr>
        <w:trPr>
          <w:trHeight w:val="210"/>
        </w:trPr>
        <w:tc>
          <w:tcPr>
            <w:tcW w:w="3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(loss) earnings</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(19,072)</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163,048</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336,151</w:t>
            </w:r>
          </w:p>
        </w:tc>
        <w:tc>
          <w:tcPr>
            <w:tcW w:w="2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425,251</w:t>
            </w:r>
          </w:p>
        </w:tc>
      </w:tr>
      <w:tr>
        <w:trPr>
          <w:trHeight w:val="216"/>
        </w:trPr>
        <w:tc>
          <w:tcPr>
            <w:tcW w:w="3900" w:type="dxa"/>
            <w:vAlign w:val="bottom"/>
          </w:tcPr>
          <w:p>
            <w:pPr>
              <w:ind w:left="140"/>
              <w:spacing w:after="0" w:line="216"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1"/>
                <w:szCs w:val="21"/>
                <w:color w:val="auto"/>
                <w:vertAlign w:val="superscript"/>
              </w:rPr>
              <w:t>1</w:t>
            </w:r>
          </w:p>
        </w:tc>
        <w:tc>
          <w:tcPr>
            <w:tcW w:w="800" w:type="dxa"/>
            <w:vAlign w:val="bottom"/>
          </w:tcPr>
          <w:p>
            <w:pPr>
              <w:spacing w:after="0"/>
              <w:rPr>
                <w:sz w:val="18"/>
                <w:szCs w:val="18"/>
                <w:color w:val="auto"/>
              </w:rPr>
            </w:pPr>
          </w:p>
        </w:tc>
        <w:tc>
          <w:tcPr>
            <w:tcW w:w="1480" w:type="dxa"/>
            <w:vAlign w:val="bottom"/>
          </w:tcPr>
          <w:p>
            <w:pPr>
              <w:jc w:val="right"/>
              <w:ind w:right="197"/>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440" w:type="dxa"/>
            <w:vAlign w:val="bottom"/>
          </w:tcPr>
          <w:p>
            <w:pPr>
              <w:jc w:val="right"/>
              <w:ind w:right="197"/>
              <w:spacing w:after="0"/>
              <w:rPr>
                <w:sz w:val="20"/>
                <w:szCs w:val="20"/>
                <w:color w:val="auto"/>
              </w:rPr>
            </w:pPr>
            <w:r>
              <w:rPr>
                <w:rFonts w:ascii="Arial" w:cs="Arial" w:eastAsia="Arial" w:hAnsi="Arial"/>
                <w:sz w:val="17"/>
                <w:szCs w:val="17"/>
                <w:color w:val="auto"/>
              </w:rPr>
              <w:t>704</w:t>
            </w:r>
          </w:p>
        </w:tc>
        <w:tc>
          <w:tcPr>
            <w:tcW w:w="220" w:type="dxa"/>
            <w:vAlign w:val="bottom"/>
          </w:tcPr>
          <w:p>
            <w:pPr>
              <w:spacing w:after="0"/>
              <w:rPr>
                <w:sz w:val="18"/>
                <w:szCs w:val="18"/>
                <w:color w:val="auto"/>
              </w:rPr>
            </w:pPr>
          </w:p>
        </w:tc>
        <w:tc>
          <w:tcPr>
            <w:tcW w:w="1480" w:type="dxa"/>
            <w:vAlign w:val="bottom"/>
          </w:tcPr>
          <w:p>
            <w:pPr>
              <w:jc w:val="right"/>
              <w:ind w:right="197"/>
              <w:spacing w:after="0"/>
              <w:rPr>
                <w:sz w:val="20"/>
                <w:szCs w:val="20"/>
                <w:color w:val="auto"/>
              </w:rPr>
            </w:pPr>
            <w:r>
              <w:rPr>
                <w:rFonts w:ascii="Arial" w:cs="Arial" w:eastAsia="Arial" w:hAnsi="Arial"/>
                <w:sz w:val="17"/>
                <w:szCs w:val="17"/>
                <w:color w:val="auto"/>
              </w:rPr>
              <w:t>447</w:t>
            </w:r>
          </w:p>
        </w:tc>
        <w:tc>
          <w:tcPr>
            <w:tcW w:w="260" w:type="dxa"/>
            <w:vAlign w:val="bottom"/>
          </w:tcPr>
          <w:p>
            <w:pPr>
              <w:spacing w:after="0"/>
              <w:rPr>
                <w:sz w:val="18"/>
                <w:szCs w:val="18"/>
                <w:color w:val="auto"/>
              </w:rPr>
            </w:pPr>
          </w:p>
        </w:tc>
        <w:tc>
          <w:tcPr>
            <w:tcW w:w="1380" w:type="dxa"/>
            <w:vAlign w:val="bottom"/>
          </w:tcPr>
          <w:p>
            <w:pPr>
              <w:jc w:val="right"/>
              <w:ind w:right="137"/>
              <w:spacing w:after="0"/>
              <w:rPr>
                <w:sz w:val="20"/>
                <w:szCs w:val="20"/>
                <w:color w:val="auto"/>
              </w:rPr>
            </w:pPr>
            <w:r>
              <w:rPr>
                <w:rFonts w:ascii="Arial" w:cs="Arial" w:eastAsia="Arial" w:hAnsi="Arial"/>
                <w:sz w:val="17"/>
                <w:szCs w:val="17"/>
                <w:color w:val="auto"/>
              </w:rPr>
              <w:t>3,456</w:t>
            </w:r>
          </w:p>
        </w:tc>
      </w:tr>
      <w:tr>
        <w:trPr>
          <w:trHeight w:val="216"/>
        </w:trPr>
        <w:tc>
          <w:tcPr>
            <w:tcW w:w="3900" w:type="dxa"/>
            <w:vAlign w:val="bottom"/>
            <w:tcBorders>
              <w:bottom w:val="single" w:sz="8" w:color="auto"/>
            </w:tcBorders>
            <w:shd w:val="clear" w:color="auto" w:fill="CCEEFF"/>
          </w:tcPr>
          <w:p>
            <w:pPr>
              <w:ind w:left="140"/>
              <w:spacing w:after="0" w:line="216" w:lineRule="exact"/>
              <w:rPr>
                <w:sz w:val="20"/>
                <w:szCs w:val="20"/>
                <w:color w:val="auto"/>
              </w:rPr>
            </w:pPr>
            <w:r>
              <w:rPr>
                <w:rFonts w:ascii="Arial" w:cs="Arial" w:eastAsia="Arial" w:hAnsi="Arial"/>
                <w:sz w:val="17"/>
                <w:szCs w:val="17"/>
                <w:color w:val="auto"/>
              </w:rPr>
              <w:t>Non-cash impairment charges</w:t>
            </w:r>
            <w:r>
              <w:rPr>
                <w:rFonts w:ascii="Arial" w:cs="Arial" w:eastAsia="Arial" w:hAnsi="Arial"/>
                <w:sz w:val="21"/>
                <w:szCs w:val="21"/>
                <w:color w:val="auto"/>
                <w:vertAlign w:val="superscript"/>
              </w:rPr>
              <w:t>2</w:t>
            </w:r>
          </w:p>
        </w:tc>
        <w:tc>
          <w:tcPr>
            <w:tcW w:w="8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rPr>
              <w:t>151,263</w:t>
            </w:r>
          </w:p>
        </w:tc>
        <w:tc>
          <w:tcPr>
            <w:tcW w:w="2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rPr>
              <w:t>151,263</w:t>
            </w: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r>
      <w:tr>
        <w:trPr>
          <w:trHeight w:val="208"/>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Adjusted operating earnings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132,191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163,752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487,861</w:t>
            </w:r>
          </w:p>
        </w:tc>
        <w:tc>
          <w:tcPr>
            <w:tcW w:w="2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428,707</w:t>
            </w:r>
          </w:p>
        </w:tc>
      </w:tr>
      <w:tr>
        <w:trPr>
          <w:trHeight w:val="90"/>
        </w:trPr>
        <w:tc>
          <w:tcPr>
            <w:tcW w:w="3900" w:type="dxa"/>
            <w:vAlign w:val="bottom"/>
            <w:tcBorders>
              <w:bottom w:val="single" w:sz="8" w:color="auto"/>
            </w:tcBorders>
            <w:shd w:val="clear" w:color="auto" w:fill="CCEEFF"/>
          </w:tcPr>
          <w:p>
            <w:pPr>
              <w:spacing w:after="0"/>
              <w:rPr>
                <w:sz w:val="7"/>
                <w:szCs w:val="7"/>
                <w:color w:val="auto"/>
              </w:rPr>
            </w:pPr>
          </w:p>
        </w:tc>
        <w:tc>
          <w:tcPr>
            <w:tcW w:w="800" w:type="dxa"/>
            <w:vAlign w:val="bottom"/>
            <w:tcBorders>
              <w:bottom w:val="single" w:sz="8" w:color="auto"/>
            </w:tcBorders>
            <w:shd w:val="clear" w:color="auto" w:fill="CCEEFF"/>
          </w:tcPr>
          <w:p>
            <w:pPr>
              <w:spacing w:after="0"/>
              <w:rPr>
                <w:sz w:val="7"/>
                <w:szCs w:val="7"/>
                <w:color w:val="auto"/>
              </w:rPr>
            </w:pPr>
          </w:p>
        </w:tc>
        <w:tc>
          <w:tcPr>
            <w:tcW w:w="1480" w:type="dxa"/>
            <w:vAlign w:val="bottom"/>
            <w:tcBorders>
              <w:bottom w:val="single" w:sz="8" w:color="auto"/>
            </w:tcBorders>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1440" w:type="dxa"/>
            <w:vAlign w:val="bottom"/>
            <w:tcBorders>
              <w:bottom w:val="single" w:sz="8" w:color="auto"/>
            </w:tcBorders>
            <w:shd w:val="clear" w:color="auto" w:fill="CCEEFF"/>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1480" w:type="dxa"/>
            <w:vAlign w:val="bottom"/>
            <w:tcBorders>
              <w:bottom w:val="single" w:sz="8" w:color="auto"/>
            </w:tcBorders>
            <w:shd w:val="clear" w:color="auto" w:fill="CCEEFF"/>
          </w:tcPr>
          <w:p>
            <w:pPr>
              <w:spacing w:after="0"/>
              <w:rPr>
                <w:sz w:val="7"/>
                <w:szCs w:val="7"/>
                <w:color w:val="auto"/>
              </w:rPr>
            </w:pPr>
          </w:p>
        </w:tc>
        <w:tc>
          <w:tcPr>
            <w:tcW w:w="260" w:type="dxa"/>
            <w:vAlign w:val="bottom"/>
            <w:tcBorders>
              <w:bottom w:val="single" w:sz="8" w:color="auto"/>
            </w:tcBorders>
            <w:shd w:val="clear" w:color="auto" w:fill="CCEEFF"/>
          </w:tcPr>
          <w:p>
            <w:pPr>
              <w:spacing w:after="0"/>
              <w:rPr>
                <w:sz w:val="7"/>
                <w:szCs w:val="7"/>
                <w:color w:val="auto"/>
              </w:rPr>
            </w:pPr>
          </w:p>
        </w:tc>
        <w:tc>
          <w:tcPr>
            <w:tcW w:w="1380" w:type="dxa"/>
            <w:vAlign w:val="bottom"/>
            <w:tcBorders>
              <w:bottom w:val="single" w:sz="8" w:color="auto"/>
            </w:tcBorders>
            <w:shd w:val="clear" w:color="auto" w:fill="CCEEFF"/>
          </w:tcPr>
          <w:p>
            <w:pPr>
              <w:spacing w:after="0"/>
              <w:rPr>
                <w:sz w:val="7"/>
                <w:szCs w:val="7"/>
                <w:color w:val="auto"/>
              </w:rPr>
            </w:pPr>
          </w:p>
        </w:tc>
      </w:tr>
      <w:tr>
        <w:trPr>
          <w:trHeight w:val="208"/>
        </w:trPr>
        <w:tc>
          <w:tcPr>
            <w:tcW w:w="3900" w:type="dxa"/>
            <w:vAlign w:val="bottom"/>
          </w:tcPr>
          <w:p>
            <w:pPr>
              <w:ind w:left="20"/>
              <w:spacing w:after="0"/>
              <w:rPr>
                <w:sz w:val="20"/>
                <w:szCs w:val="20"/>
                <w:color w:val="auto"/>
              </w:rPr>
            </w:pPr>
            <w:r>
              <w:rPr>
                <w:rFonts w:ascii="Arial" w:cs="Arial" w:eastAsia="Arial" w:hAnsi="Arial"/>
                <w:sz w:val="17"/>
                <w:szCs w:val="17"/>
                <w:color w:val="auto"/>
              </w:rPr>
              <w:t>Operating (loss) earnings margin</w:t>
            </w:r>
          </w:p>
        </w:tc>
        <w:tc>
          <w:tcPr>
            <w:tcW w:w="8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(1.8)%</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14.0 %</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9.4 %</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12.7 %</w:t>
            </w:r>
          </w:p>
        </w:tc>
      </w:tr>
      <w:tr>
        <w:trPr>
          <w:trHeight w:val="218"/>
        </w:trPr>
        <w:tc>
          <w:tcPr>
            <w:tcW w:w="3900" w:type="dxa"/>
            <w:vAlign w:val="bottom"/>
            <w:shd w:val="clear" w:color="auto" w:fill="CCEEFF"/>
          </w:tcPr>
          <w:p>
            <w:pPr>
              <w:ind w:left="140"/>
              <w:spacing w:after="0" w:line="218"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1"/>
                <w:szCs w:val="21"/>
                <w:color w:val="auto"/>
                <w:vertAlign w:val="superscript"/>
              </w:rPr>
              <w:t>1</w:t>
            </w:r>
          </w:p>
        </w:tc>
        <w:tc>
          <w:tcPr>
            <w:tcW w:w="8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0.1 %</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0.1 %</w:t>
            </w:r>
          </w:p>
        </w:tc>
      </w:tr>
      <w:tr>
        <w:trPr>
          <w:trHeight w:val="216"/>
        </w:trPr>
        <w:tc>
          <w:tcPr>
            <w:tcW w:w="3900" w:type="dxa"/>
            <w:vAlign w:val="bottom"/>
            <w:tcBorders>
              <w:bottom w:val="single" w:sz="8" w:color="auto"/>
            </w:tcBorders>
          </w:tcPr>
          <w:p>
            <w:pPr>
              <w:ind w:left="140"/>
              <w:spacing w:after="0" w:line="216" w:lineRule="exact"/>
              <w:rPr>
                <w:sz w:val="20"/>
                <w:szCs w:val="20"/>
                <w:color w:val="auto"/>
              </w:rPr>
            </w:pPr>
            <w:r>
              <w:rPr>
                <w:rFonts w:ascii="Arial" w:cs="Arial" w:eastAsia="Arial" w:hAnsi="Arial"/>
                <w:sz w:val="17"/>
                <w:szCs w:val="17"/>
                <w:color w:val="auto"/>
              </w:rPr>
              <w:t>Non-cash impairment charges</w:t>
            </w:r>
            <w:r>
              <w:rPr>
                <w:rFonts w:ascii="Arial" w:cs="Arial" w:eastAsia="Arial" w:hAnsi="Arial"/>
                <w:sz w:val="21"/>
                <w:szCs w:val="21"/>
                <w:color w:val="auto"/>
                <w:vertAlign w:val="superscript"/>
              </w:rPr>
              <w:t>2</w:t>
            </w:r>
          </w:p>
        </w:tc>
        <w:tc>
          <w:tcPr>
            <w:tcW w:w="8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14.0 %</w:t>
            </w: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 %</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4.3 %</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 %</w:t>
            </w:r>
          </w:p>
        </w:tc>
      </w:tr>
      <w:tr>
        <w:trPr>
          <w:trHeight w:val="208"/>
        </w:trPr>
        <w:tc>
          <w:tcPr>
            <w:tcW w:w="39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Adjusted operating earnings margin</w:t>
            </w:r>
          </w:p>
        </w:tc>
        <w:tc>
          <w:tcPr>
            <w:tcW w:w="8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12.2 %</w:t>
            </w:r>
          </w:p>
        </w:tc>
        <w:tc>
          <w:tcPr>
            <w:tcW w:w="2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14.1 %</w:t>
            </w: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13.7 %</w:t>
            </w: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12.8 %</w:t>
            </w:r>
          </w:p>
        </w:tc>
      </w:tr>
      <w:tr>
        <w:trPr>
          <w:trHeight w:val="90"/>
        </w:trPr>
        <w:tc>
          <w:tcPr>
            <w:tcW w:w="39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r>
      <w:tr>
        <w:trPr>
          <w:trHeight w:val="209"/>
        </w:trPr>
        <w:tc>
          <w:tcPr>
            <w:tcW w:w="3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earnings before income taxes</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(28,563)</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157,091</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313,570</w:t>
            </w:r>
          </w:p>
        </w:tc>
        <w:tc>
          <w:tcPr>
            <w:tcW w:w="2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409,294</w:t>
            </w:r>
          </w:p>
        </w:tc>
      </w:tr>
      <w:tr>
        <w:trPr>
          <w:trHeight w:val="216"/>
        </w:trPr>
        <w:tc>
          <w:tcPr>
            <w:tcW w:w="3900" w:type="dxa"/>
            <w:vAlign w:val="bottom"/>
          </w:tcPr>
          <w:p>
            <w:pPr>
              <w:ind w:left="140"/>
              <w:spacing w:after="0" w:line="216"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1"/>
                <w:szCs w:val="21"/>
                <w:color w:val="auto"/>
                <w:vertAlign w:val="superscript"/>
              </w:rPr>
              <w:t>1</w:t>
            </w:r>
          </w:p>
        </w:tc>
        <w:tc>
          <w:tcPr>
            <w:tcW w:w="800" w:type="dxa"/>
            <w:vAlign w:val="bottom"/>
          </w:tcPr>
          <w:p>
            <w:pPr>
              <w:spacing w:after="0"/>
              <w:rPr>
                <w:sz w:val="18"/>
                <w:szCs w:val="18"/>
                <w:color w:val="auto"/>
              </w:rPr>
            </w:pPr>
          </w:p>
        </w:tc>
        <w:tc>
          <w:tcPr>
            <w:tcW w:w="1480" w:type="dxa"/>
            <w:vAlign w:val="bottom"/>
          </w:tcPr>
          <w:p>
            <w:pPr>
              <w:jc w:val="right"/>
              <w:ind w:right="197"/>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440" w:type="dxa"/>
            <w:vAlign w:val="bottom"/>
          </w:tcPr>
          <w:p>
            <w:pPr>
              <w:jc w:val="right"/>
              <w:ind w:right="197"/>
              <w:spacing w:after="0"/>
              <w:rPr>
                <w:sz w:val="20"/>
                <w:szCs w:val="20"/>
                <w:color w:val="auto"/>
              </w:rPr>
            </w:pPr>
            <w:r>
              <w:rPr>
                <w:rFonts w:ascii="Arial" w:cs="Arial" w:eastAsia="Arial" w:hAnsi="Arial"/>
                <w:sz w:val="17"/>
                <w:szCs w:val="17"/>
                <w:color w:val="auto"/>
              </w:rPr>
              <w:t>704</w:t>
            </w:r>
          </w:p>
        </w:tc>
        <w:tc>
          <w:tcPr>
            <w:tcW w:w="220" w:type="dxa"/>
            <w:vAlign w:val="bottom"/>
          </w:tcPr>
          <w:p>
            <w:pPr>
              <w:spacing w:after="0"/>
              <w:rPr>
                <w:sz w:val="18"/>
                <w:szCs w:val="18"/>
                <w:color w:val="auto"/>
              </w:rPr>
            </w:pPr>
          </w:p>
        </w:tc>
        <w:tc>
          <w:tcPr>
            <w:tcW w:w="1480" w:type="dxa"/>
            <w:vAlign w:val="bottom"/>
          </w:tcPr>
          <w:p>
            <w:pPr>
              <w:jc w:val="right"/>
              <w:ind w:right="197"/>
              <w:spacing w:after="0"/>
              <w:rPr>
                <w:sz w:val="20"/>
                <w:szCs w:val="20"/>
                <w:color w:val="auto"/>
              </w:rPr>
            </w:pPr>
            <w:r>
              <w:rPr>
                <w:rFonts w:ascii="Arial" w:cs="Arial" w:eastAsia="Arial" w:hAnsi="Arial"/>
                <w:sz w:val="17"/>
                <w:szCs w:val="17"/>
                <w:color w:val="auto"/>
              </w:rPr>
              <w:t>447</w:t>
            </w:r>
          </w:p>
        </w:tc>
        <w:tc>
          <w:tcPr>
            <w:tcW w:w="260" w:type="dxa"/>
            <w:vAlign w:val="bottom"/>
          </w:tcPr>
          <w:p>
            <w:pPr>
              <w:spacing w:after="0"/>
              <w:rPr>
                <w:sz w:val="18"/>
                <w:szCs w:val="18"/>
                <w:color w:val="auto"/>
              </w:rPr>
            </w:pPr>
          </w:p>
        </w:tc>
        <w:tc>
          <w:tcPr>
            <w:tcW w:w="1380" w:type="dxa"/>
            <w:vAlign w:val="bottom"/>
          </w:tcPr>
          <w:p>
            <w:pPr>
              <w:jc w:val="right"/>
              <w:ind w:right="137"/>
              <w:spacing w:after="0"/>
              <w:rPr>
                <w:sz w:val="20"/>
                <w:szCs w:val="20"/>
                <w:color w:val="auto"/>
              </w:rPr>
            </w:pPr>
            <w:r>
              <w:rPr>
                <w:rFonts w:ascii="Arial" w:cs="Arial" w:eastAsia="Arial" w:hAnsi="Arial"/>
                <w:sz w:val="17"/>
                <w:szCs w:val="17"/>
                <w:color w:val="auto"/>
              </w:rPr>
              <w:t>3,456</w:t>
            </w:r>
          </w:p>
        </w:tc>
      </w:tr>
      <w:tr>
        <w:trPr>
          <w:trHeight w:val="216"/>
        </w:trPr>
        <w:tc>
          <w:tcPr>
            <w:tcW w:w="3900" w:type="dxa"/>
            <w:vAlign w:val="bottom"/>
            <w:tcBorders>
              <w:bottom w:val="single" w:sz="8" w:color="auto"/>
            </w:tcBorders>
            <w:shd w:val="clear" w:color="auto" w:fill="CCEEFF"/>
          </w:tcPr>
          <w:p>
            <w:pPr>
              <w:ind w:left="140"/>
              <w:spacing w:after="0" w:line="216" w:lineRule="exact"/>
              <w:rPr>
                <w:sz w:val="20"/>
                <w:szCs w:val="20"/>
                <w:color w:val="auto"/>
              </w:rPr>
            </w:pPr>
            <w:r>
              <w:rPr>
                <w:rFonts w:ascii="Arial" w:cs="Arial" w:eastAsia="Arial" w:hAnsi="Arial"/>
                <w:sz w:val="17"/>
                <w:szCs w:val="17"/>
                <w:color w:val="auto"/>
              </w:rPr>
              <w:t>Non-cash impairment charges</w:t>
            </w:r>
            <w:r>
              <w:rPr>
                <w:rFonts w:ascii="Arial" w:cs="Arial" w:eastAsia="Arial" w:hAnsi="Arial"/>
                <w:sz w:val="21"/>
                <w:szCs w:val="21"/>
                <w:color w:val="auto"/>
                <w:vertAlign w:val="superscript"/>
              </w:rPr>
              <w:t>2</w:t>
            </w:r>
          </w:p>
        </w:tc>
        <w:tc>
          <w:tcPr>
            <w:tcW w:w="8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rPr>
              <w:t>151,263</w:t>
            </w:r>
          </w:p>
        </w:tc>
        <w:tc>
          <w:tcPr>
            <w:tcW w:w="2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rPr>
              <w:t>151,263</w:t>
            </w: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r>
      <w:tr>
        <w:trPr>
          <w:trHeight w:val="208"/>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Adjusted earnings before income taxes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122,700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157,795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465,280</w:t>
            </w:r>
          </w:p>
        </w:tc>
        <w:tc>
          <w:tcPr>
            <w:tcW w:w="2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412,750</w:t>
            </w:r>
          </w:p>
        </w:tc>
      </w:tr>
      <w:tr>
        <w:trPr>
          <w:trHeight w:val="90"/>
        </w:trPr>
        <w:tc>
          <w:tcPr>
            <w:tcW w:w="3900" w:type="dxa"/>
            <w:vAlign w:val="bottom"/>
            <w:tcBorders>
              <w:bottom w:val="single" w:sz="8" w:color="auto"/>
            </w:tcBorders>
            <w:shd w:val="clear" w:color="auto" w:fill="CCEEFF"/>
          </w:tcPr>
          <w:p>
            <w:pPr>
              <w:spacing w:after="0"/>
              <w:rPr>
                <w:sz w:val="7"/>
                <w:szCs w:val="7"/>
                <w:color w:val="auto"/>
              </w:rPr>
            </w:pPr>
          </w:p>
        </w:tc>
        <w:tc>
          <w:tcPr>
            <w:tcW w:w="800" w:type="dxa"/>
            <w:vAlign w:val="bottom"/>
            <w:tcBorders>
              <w:bottom w:val="single" w:sz="8" w:color="auto"/>
            </w:tcBorders>
            <w:shd w:val="clear" w:color="auto" w:fill="CCEEFF"/>
          </w:tcPr>
          <w:p>
            <w:pPr>
              <w:spacing w:after="0"/>
              <w:rPr>
                <w:sz w:val="7"/>
                <w:szCs w:val="7"/>
                <w:color w:val="auto"/>
              </w:rPr>
            </w:pPr>
          </w:p>
        </w:tc>
        <w:tc>
          <w:tcPr>
            <w:tcW w:w="1480" w:type="dxa"/>
            <w:vAlign w:val="bottom"/>
            <w:tcBorders>
              <w:bottom w:val="single" w:sz="8" w:color="auto"/>
            </w:tcBorders>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1440" w:type="dxa"/>
            <w:vAlign w:val="bottom"/>
            <w:tcBorders>
              <w:bottom w:val="single" w:sz="8" w:color="auto"/>
            </w:tcBorders>
            <w:shd w:val="clear" w:color="auto" w:fill="CCEEFF"/>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1480" w:type="dxa"/>
            <w:vAlign w:val="bottom"/>
            <w:tcBorders>
              <w:bottom w:val="single" w:sz="8" w:color="auto"/>
            </w:tcBorders>
            <w:shd w:val="clear" w:color="auto" w:fill="CCEEFF"/>
          </w:tcPr>
          <w:p>
            <w:pPr>
              <w:spacing w:after="0"/>
              <w:rPr>
                <w:sz w:val="7"/>
                <w:szCs w:val="7"/>
                <w:color w:val="auto"/>
              </w:rPr>
            </w:pPr>
          </w:p>
        </w:tc>
        <w:tc>
          <w:tcPr>
            <w:tcW w:w="260" w:type="dxa"/>
            <w:vAlign w:val="bottom"/>
            <w:tcBorders>
              <w:bottom w:val="single" w:sz="8" w:color="auto"/>
            </w:tcBorders>
            <w:shd w:val="clear" w:color="auto" w:fill="CCEEFF"/>
          </w:tcPr>
          <w:p>
            <w:pPr>
              <w:spacing w:after="0"/>
              <w:rPr>
                <w:sz w:val="7"/>
                <w:szCs w:val="7"/>
                <w:color w:val="auto"/>
              </w:rPr>
            </w:pPr>
          </w:p>
        </w:tc>
        <w:tc>
          <w:tcPr>
            <w:tcW w:w="1380" w:type="dxa"/>
            <w:vAlign w:val="bottom"/>
            <w:tcBorders>
              <w:bottom w:val="single" w:sz="8" w:color="auto"/>
            </w:tcBorders>
            <w:shd w:val="clear" w:color="auto" w:fill="CCEEFF"/>
          </w:tcPr>
          <w:p>
            <w:pPr>
              <w:spacing w:after="0"/>
              <w:rPr>
                <w:sz w:val="7"/>
                <w:szCs w:val="7"/>
                <w:color w:val="auto"/>
              </w:rPr>
            </w:pPr>
          </w:p>
        </w:tc>
      </w:tr>
      <w:tr>
        <w:trPr>
          <w:trHeight w:val="208"/>
        </w:trPr>
        <w:tc>
          <w:tcPr>
            <w:tcW w:w="3900" w:type="dxa"/>
            <w:vAlign w:val="bottom"/>
          </w:tcPr>
          <w:p>
            <w:pPr>
              <w:ind w:left="20"/>
              <w:spacing w:after="0"/>
              <w:rPr>
                <w:sz w:val="20"/>
                <w:szCs w:val="20"/>
                <w:color w:val="auto"/>
              </w:rPr>
            </w:pPr>
            <w:r>
              <w:rPr>
                <w:rFonts w:ascii="Arial" w:cs="Arial" w:eastAsia="Arial" w:hAnsi="Arial"/>
                <w:sz w:val="17"/>
                <w:szCs w:val="17"/>
                <w:color w:val="auto"/>
              </w:rPr>
              <w:t>Income tax (benefit) provision</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480" w:type="dxa"/>
            <w:vAlign w:val="bottom"/>
          </w:tcPr>
          <w:p>
            <w:pPr>
              <w:jc w:val="right"/>
              <w:ind w:right="157"/>
              <w:spacing w:after="0"/>
              <w:rPr>
                <w:sz w:val="20"/>
                <w:szCs w:val="20"/>
                <w:color w:val="auto"/>
              </w:rPr>
            </w:pPr>
            <w:r>
              <w:rPr>
                <w:rFonts w:ascii="Arial" w:cs="Arial" w:eastAsia="Arial" w:hAnsi="Arial"/>
                <w:sz w:val="17"/>
                <w:szCs w:val="17"/>
                <w:color w:val="auto"/>
              </w:rPr>
              <w:t>(13,600)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197"/>
              <w:spacing w:after="0"/>
              <w:rPr>
                <w:sz w:val="20"/>
                <w:szCs w:val="20"/>
                <w:color w:val="auto"/>
              </w:rPr>
            </w:pPr>
            <w:r>
              <w:rPr>
                <w:rFonts w:ascii="Arial" w:cs="Arial" w:eastAsia="Arial" w:hAnsi="Arial"/>
                <w:sz w:val="17"/>
                <w:szCs w:val="17"/>
                <w:color w:val="auto"/>
              </w:rPr>
              <w:t>31,941</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480" w:type="dxa"/>
            <w:vAlign w:val="bottom"/>
          </w:tcPr>
          <w:p>
            <w:pPr>
              <w:jc w:val="right"/>
              <w:ind w:right="197"/>
              <w:spacing w:after="0"/>
              <w:rPr>
                <w:sz w:val="20"/>
                <w:szCs w:val="20"/>
                <w:color w:val="auto"/>
              </w:rPr>
            </w:pPr>
            <w:r>
              <w:rPr>
                <w:rFonts w:ascii="Arial" w:cs="Arial" w:eastAsia="Arial" w:hAnsi="Arial"/>
                <w:sz w:val="17"/>
                <w:szCs w:val="17"/>
                <w:color w:val="auto"/>
              </w:rPr>
              <w:t>54,208</w:t>
            </w:r>
          </w:p>
        </w:tc>
        <w:tc>
          <w:tcPr>
            <w:tcW w:w="26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137"/>
              <w:spacing w:after="0"/>
              <w:rPr>
                <w:sz w:val="20"/>
                <w:szCs w:val="20"/>
                <w:color w:val="auto"/>
              </w:rPr>
            </w:pPr>
            <w:r>
              <w:rPr>
                <w:rFonts w:ascii="Arial" w:cs="Arial" w:eastAsia="Arial" w:hAnsi="Arial"/>
                <w:sz w:val="17"/>
                <w:szCs w:val="17"/>
                <w:color w:val="auto"/>
              </w:rPr>
              <w:t>83,509</w:t>
            </w:r>
          </w:p>
        </w:tc>
      </w:tr>
      <w:tr>
        <w:trPr>
          <w:trHeight w:val="218"/>
        </w:trPr>
        <w:tc>
          <w:tcPr>
            <w:tcW w:w="3900" w:type="dxa"/>
            <w:vAlign w:val="bottom"/>
            <w:shd w:val="clear" w:color="auto" w:fill="CCEEFF"/>
          </w:tcPr>
          <w:p>
            <w:pPr>
              <w:ind w:left="140"/>
              <w:spacing w:after="0" w:line="218"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1"/>
                <w:szCs w:val="21"/>
                <w:color w:val="auto"/>
                <w:vertAlign w:val="superscript"/>
              </w:rPr>
              <w:t>1</w:t>
            </w:r>
          </w:p>
        </w:tc>
        <w:tc>
          <w:tcPr>
            <w:tcW w:w="8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143</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96</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716</w:t>
            </w:r>
          </w:p>
        </w:tc>
      </w:tr>
      <w:tr>
        <w:trPr>
          <w:trHeight w:val="216"/>
        </w:trPr>
        <w:tc>
          <w:tcPr>
            <w:tcW w:w="3900" w:type="dxa"/>
            <w:vAlign w:val="bottom"/>
          </w:tcPr>
          <w:p>
            <w:pPr>
              <w:ind w:left="140"/>
              <w:spacing w:after="0" w:line="216" w:lineRule="exact"/>
              <w:rPr>
                <w:sz w:val="20"/>
                <w:szCs w:val="20"/>
                <w:color w:val="auto"/>
              </w:rPr>
            </w:pPr>
            <w:r>
              <w:rPr>
                <w:rFonts w:ascii="Arial" w:cs="Arial" w:eastAsia="Arial" w:hAnsi="Arial"/>
                <w:sz w:val="17"/>
                <w:szCs w:val="17"/>
                <w:color w:val="auto"/>
              </w:rPr>
              <w:t>Non-cash impairment charges</w:t>
            </w:r>
            <w:r>
              <w:rPr>
                <w:rFonts w:ascii="Arial" w:cs="Arial" w:eastAsia="Arial" w:hAnsi="Arial"/>
                <w:sz w:val="21"/>
                <w:szCs w:val="21"/>
                <w:color w:val="auto"/>
                <w:vertAlign w:val="superscript"/>
              </w:rPr>
              <w:t>2</w:t>
            </w:r>
          </w:p>
        </w:tc>
        <w:tc>
          <w:tcPr>
            <w:tcW w:w="800" w:type="dxa"/>
            <w:vAlign w:val="bottom"/>
          </w:tcPr>
          <w:p>
            <w:pPr>
              <w:spacing w:after="0"/>
              <w:rPr>
                <w:sz w:val="18"/>
                <w:szCs w:val="18"/>
                <w:color w:val="auto"/>
              </w:rPr>
            </w:pPr>
          </w:p>
        </w:tc>
        <w:tc>
          <w:tcPr>
            <w:tcW w:w="1480" w:type="dxa"/>
            <w:vAlign w:val="bottom"/>
          </w:tcPr>
          <w:p>
            <w:pPr>
              <w:jc w:val="right"/>
              <w:ind w:right="197"/>
              <w:spacing w:after="0"/>
              <w:rPr>
                <w:sz w:val="20"/>
                <w:szCs w:val="20"/>
                <w:color w:val="auto"/>
              </w:rPr>
            </w:pPr>
            <w:r>
              <w:rPr>
                <w:rFonts w:ascii="Arial" w:cs="Arial" w:eastAsia="Arial" w:hAnsi="Arial"/>
                <w:sz w:val="17"/>
                <w:szCs w:val="17"/>
                <w:color w:val="auto"/>
              </w:rPr>
              <w:t>36,621</w:t>
            </w:r>
          </w:p>
        </w:tc>
        <w:tc>
          <w:tcPr>
            <w:tcW w:w="240" w:type="dxa"/>
            <w:vAlign w:val="bottom"/>
          </w:tcPr>
          <w:p>
            <w:pPr>
              <w:spacing w:after="0"/>
              <w:rPr>
                <w:sz w:val="18"/>
                <w:szCs w:val="18"/>
                <w:color w:val="auto"/>
              </w:rPr>
            </w:pPr>
          </w:p>
        </w:tc>
        <w:tc>
          <w:tcPr>
            <w:tcW w:w="1440" w:type="dxa"/>
            <w:vAlign w:val="bottom"/>
          </w:tcPr>
          <w:p>
            <w:pPr>
              <w:jc w:val="right"/>
              <w:ind w:right="197"/>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480" w:type="dxa"/>
            <w:vAlign w:val="bottom"/>
          </w:tcPr>
          <w:p>
            <w:pPr>
              <w:jc w:val="right"/>
              <w:ind w:right="197"/>
              <w:spacing w:after="0"/>
              <w:rPr>
                <w:sz w:val="20"/>
                <w:szCs w:val="20"/>
                <w:color w:val="auto"/>
              </w:rPr>
            </w:pPr>
            <w:r>
              <w:rPr>
                <w:rFonts w:ascii="Arial" w:cs="Arial" w:eastAsia="Arial" w:hAnsi="Arial"/>
                <w:sz w:val="17"/>
                <w:szCs w:val="17"/>
                <w:color w:val="auto"/>
              </w:rPr>
              <w:t>36,621</w:t>
            </w:r>
          </w:p>
        </w:tc>
        <w:tc>
          <w:tcPr>
            <w:tcW w:w="260" w:type="dxa"/>
            <w:vAlign w:val="bottom"/>
          </w:tcPr>
          <w:p>
            <w:pPr>
              <w:spacing w:after="0"/>
              <w:rPr>
                <w:sz w:val="18"/>
                <w:szCs w:val="18"/>
                <w:color w:val="auto"/>
              </w:rPr>
            </w:pPr>
          </w:p>
        </w:tc>
        <w:tc>
          <w:tcPr>
            <w:tcW w:w="1380" w:type="dxa"/>
            <w:vAlign w:val="bottom"/>
          </w:tcPr>
          <w:p>
            <w:pPr>
              <w:jc w:val="right"/>
              <w:ind w:right="137"/>
              <w:spacing w:after="0"/>
              <w:rPr>
                <w:sz w:val="20"/>
                <w:szCs w:val="20"/>
                <w:color w:val="auto"/>
              </w:rPr>
            </w:pPr>
            <w:r>
              <w:rPr>
                <w:rFonts w:ascii="Arial" w:cs="Arial" w:eastAsia="Arial" w:hAnsi="Arial"/>
                <w:sz w:val="17"/>
                <w:szCs w:val="17"/>
                <w:color w:val="auto"/>
              </w:rPr>
              <w:t>—</w:t>
            </w:r>
          </w:p>
        </w:tc>
      </w:tr>
      <w:tr>
        <w:trPr>
          <w:trHeight w:val="216"/>
        </w:trPr>
        <w:tc>
          <w:tcPr>
            <w:tcW w:w="3900" w:type="dxa"/>
            <w:vAlign w:val="bottom"/>
            <w:tcBorders>
              <w:bottom w:val="single" w:sz="8" w:color="auto"/>
            </w:tcBorders>
            <w:shd w:val="clear" w:color="auto" w:fill="CCEEFF"/>
          </w:tcPr>
          <w:p>
            <w:pPr>
              <w:ind w:left="140"/>
              <w:spacing w:after="0" w:line="216" w:lineRule="exact"/>
              <w:rPr>
                <w:sz w:val="20"/>
                <w:szCs w:val="20"/>
                <w:color w:val="auto"/>
              </w:rPr>
            </w:pPr>
            <w:r>
              <w:rPr>
                <w:rFonts w:ascii="Arial" w:cs="Arial" w:eastAsia="Arial" w:hAnsi="Arial"/>
                <w:sz w:val="17"/>
                <w:szCs w:val="17"/>
                <w:color w:val="auto"/>
              </w:rPr>
              <w:t>Tax impact of share-based compensation</w:t>
            </w:r>
            <w:r>
              <w:rPr>
                <w:rFonts w:ascii="Arial" w:cs="Arial" w:eastAsia="Arial" w:hAnsi="Arial"/>
                <w:sz w:val="21"/>
                <w:szCs w:val="21"/>
                <w:color w:val="auto"/>
                <w:vertAlign w:val="superscript"/>
              </w:rPr>
              <w:t>3</w:t>
            </w:r>
          </w:p>
        </w:tc>
        <w:tc>
          <w:tcPr>
            <w:tcW w:w="8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rPr>
              <w:t>324</w:t>
            </w:r>
          </w:p>
        </w:tc>
        <w:tc>
          <w:tcPr>
            <w:tcW w:w="2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rPr>
              <w:t>581</w:t>
            </w: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rPr>
              <w:t>5,004</w:t>
            </w: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1,568</w:t>
            </w:r>
          </w:p>
        </w:tc>
      </w:tr>
      <w:tr>
        <w:trPr>
          <w:trHeight w:val="208"/>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Adjusted income tax provision</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23,345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32,665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95,929</w:t>
            </w:r>
          </w:p>
        </w:tc>
        <w:tc>
          <w:tcPr>
            <w:tcW w:w="2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85,793</w:t>
            </w:r>
          </w:p>
        </w:tc>
      </w:tr>
      <w:tr>
        <w:trPr>
          <w:trHeight w:val="90"/>
        </w:trPr>
        <w:tc>
          <w:tcPr>
            <w:tcW w:w="3900" w:type="dxa"/>
            <w:vAlign w:val="bottom"/>
            <w:tcBorders>
              <w:bottom w:val="single" w:sz="8" w:color="auto"/>
            </w:tcBorders>
            <w:shd w:val="clear" w:color="auto" w:fill="CCEEFF"/>
          </w:tcPr>
          <w:p>
            <w:pPr>
              <w:spacing w:after="0"/>
              <w:rPr>
                <w:sz w:val="7"/>
                <w:szCs w:val="7"/>
                <w:color w:val="auto"/>
              </w:rPr>
            </w:pPr>
          </w:p>
        </w:tc>
        <w:tc>
          <w:tcPr>
            <w:tcW w:w="800" w:type="dxa"/>
            <w:vAlign w:val="bottom"/>
            <w:tcBorders>
              <w:bottom w:val="single" w:sz="8" w:color="auto"/>
            </w:tcBorders>
            <w:shd w:val="clear" w:color="auto" w:fill="CCEEFF"/>
          </w:tcPr>
          <w:p>
            <w:pPr>
              <w:spacing w:after="0"/>
              <w:rPr>
                <w:sz w:val="7"/>
                <w:szCs w:val="7"/>
                <w:color w:val="auto"/>
              </w:rPr>
            </w:pPr>
          </w:p>
        </w:tc>
        <w:tc>
          <w:tcPr>
            <w:tcW w:w="1480" w:type="dxa"/>
            <w:vAlign w:val="bottom"/>
            <w:tcBorders>
              <w:bottom w:val="single" w:sz="8" w:color="auto"/>
            </w:tcBorders>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1440" w:type="dxa"/>
            <w:vAlign w:val="bottom"/>
            <w:tcBorders>
              <w:bottom w:val="single" w:sz="8" w:color="auto"/>
            </w:tcBorders>
            <w:shd w:val="clear" w:color="auto" w:fill="CCEEFF"/>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1480" w:type="dxa"/>
            <w:vAlign w:val="bottom"/>
            <w:tcBorders>
              <w:bottom w:val="single" w:sz="8" w:color="auto"/>
            </w:tcBorders>
            <w:shd w:val="clear" w:color="auto" w:fill="CCEEFF"/>
          </w:tcPr>
          <w:p>
            <w:pPr>
              <w:spacing w:after="0"/>
              <w:rPr>
                <w:sz w:val="7"/>
                <w:szCs w:val="7"/>
                <w:color w:val="auto"/>
              </w:rPr>
            </w:pPr>
          </w:p>
        </w:tc>
        <w:tc>
          <w:tcPr>
            <w:tcW w:w="260" w:type="dxa"/>
            <w:vAlign w:val="bottom"/>
            <w:tcBorders>
              <w:bottom w:val="single" w:sz="8" w:color="auto"/>
            </w:tcBorders>
            <w:shd w:val="clear" w:color="auto" w:fill="CCEEFF"/>
          </w:tcPr>
          <w:p>
            <w:pPr>
              <w:spacing w:after="0"/>
              <w:rPr>
                <w:sz w:val="7"/>
                <w:szCs w:val="7"/>
                <w:color w:val="auto"/>
              </w:rPr>
            </w:pPr>
          </w:p>
        </w:tc>
        <w:tc>
          <w:tcPr>
            <w:tcW w:w="1380" w:type="dxa"/>
            <w:vAlign w:val="bottom"/>
            <w:tcBorders>
              <w:bottom w:val="single" w:sz="8" w:color="auto"/>
            </w:tcBorders>
            <w:shd w:val="clear" w:color="auto" w:fill="CCEEFF"/>
          </w:tcPr>
          <w:p>
            <w:pPr>
              <w:spacing w:after="0"/>
              <w:rPr>
                <w:sz w:val="7"/>
                <w:szCs w:val="7"/>
                <w:color w:val="auto"/>
              </w:rPr>
            </w:pPr>
          </w:p>
        </w:tc>
      </w:tr>
      <w:tr>
        <w:trPr>
          <w:trHeight w:val="208"/>
        </w:trPr>
        <w:tc>
          <w:tcPr>
            <w:tcW w:w="3900" w:type="dxa"/>
            <w:vAlign w:val="bottom"/>
          </w:tcPr>
          <w:p>
            <w:pPr>
              <w:ind w:left="20"/>
              <w:spacing w:after="0"/>
              <w:rPr>
                <w:sz w:val="20"/>
                <w:szCs w:val="20"/>
                <w:color w:val="auto"/>
              </w:rPr>
            </w:pPr>
            <w:r>
              <w:rPr>
                <w:rFonts w:ascii="Arial" w:cs="Arial" w:eastAsia="Arial" w:hAnsi="Arial"/>
                <w:sz w:val="17"/>
                <w:szCs w:val="17"/>
                <w:color w:val="auto"/>
              </w:rPr>
              <w:t>Net (loss) earnings</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480" w:type="dxa"/>
            <w:vAlign w:val="bottom"/>
          </w:tcPr>
          <w:p>
            <w:pPr>
              <w:jc w:val="right"/>
              <w:ind w:right="157"/>
              <w:spacing w:after="0"/>
              <w:rPr>
                <w:sz w:val="20"/>
                <w:szCs w:val="20"/>
                <w:color w:val="auto"/>
              </w:rPr>
            </w:pPr>
            <w:r>
              <w:rPr>
                <w:rFonts w:ascii="Arial" w:cs="Arial" w:eastAsia="Arial" w:hAnsi="Arial"/>
                <w:sz w:val="17"/>
                <w:szCs w:val="17"/>
                <w:color w:val="auto"/>
              </w:rPr>
              <w:t>(14,963)</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197"/>
              <w:spacing w:after="0"/>
              <w:rPr>
                <w:sz w:val="20"/>
                <w:szCs w:val="20"/>
                <w:color w:val="auto"/>
              </w:rPr>
            </w:pPr>
            <w:r>
              <w:rPr>
                <w:rFonts w:ascii="Arial" w:cs="Arial" w:eastAsia="Arial" w:hAnsi="Arial"/>
                <w:sz w:val="17"/>
                <w:szCs w:val="17"/>
                <w:color w:val="auto"/>
              </w:rPr>
              <w:t>125,150</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480" w:type="dxa"/>
            <w:vAlign w:val="bottom"/>
          </w:tcPr>
          <w:p>
            <w:pPr>
              <w:jc w:val="right"/>
              <w:ind w:right="197"/>
              <w:spacing w:after="0"/>
              <w:rPr>
                <w:sz w:val="20"/>
                <w:szCs w:val="20"/>
                <w:color w:val="auto"/>
              </w:rPr>
            </w:pPr>
            <w:r>
              <w:rPr>
                <w:rFonts w:ascii="Arial" w:cs="Arial" w:eastAsia="Arial" w:hAnsi="Arial"/>
                <w:sz w:val="17"/>
                <w:szCs w:val="17"/>
                <w:color w:val="auto"/>
              </w:rPr>
              <w:t>259,362</w:t>
            </w:r>
          </w:p>
        </w:tc>
        <w:tc>
          <w:tcPr>
            <w:tcW w:w="26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137"/>
              <w:spacing w:after="0"/>
              <w:rPr>
                <w:sz w:val="20"/>
                <w:szCs w:val="20"/>
                <w:color w:val="auto"/>
              </w:rPr>
            </w:pPr>
            <w:r>
              <w:rPr>
                <w:rFonts w:ascii="Arial" w:cs="Arial" w:eastAsia="Arial" w:hAnsi="Arial"/>
                <w:sz w:val="17"/>
                <w:szCs w:val="17"/>
                <w:color w:val="auto"/>
              </w:rPr>
              <w:t>325,785</w:t>
            </w:r>
          </w:p>
        </w:tc>
      </w:tr>
      <w:tr>
        <w:trPr>
          <w:trHeight w:val="218"/>
        </w:trPr>
        <w:tc>
          <w:tcPr>
            <w:tcW w:w="3900" w:type="dxa"/>
            <w:vAlign w:val="bottom"/>
            <w:shd w:val="clear" w:color="auto" w:fill="CCEEFF"/>
          </w:tcPr>
          <w:p>
            <w:pPr>
              <w:ind w:left="140"/>
              <w:spacing w:after="0" w:line="218" w:lineRule="exact"/>
              <w:rPr>
                <w:sz w:val="20"/>
                <w:szCs w:val="20"/>
                <w:color w:val="auto"/>
              </w:rPr>
            </w:pPr>
            <w:r>
              <w:rPr>
                <w:rFonts w:ascii="Arial" w:cs="Arial" w:eastAsia="Arial" w:hAnsi="Arial"/>
                <w:sz w:val="17"/>
                <w:szCs w:val="17"/>
                <w:color w:val="auto"/>
              </w:rPr>
              <w:t>Acquisition-related costs, net of tax</w:t>
            </w:r>
            <w:r>
              <w:rPr>
                <w:rFonts w:ascii="Arial" w:cs="Arial" w:eastAsia="Arial" w:hAnsi="Arial"/>
                <w:sz w:val="21"/>
                <w:szCs w:val="21"/>
                <w:color w:val="auto"/>
                <w:vertAlign w:val="superscript"/>
              </w:rPr>
              <w:t>1</w:t>
            </w:r>
          </w:p>
        </w:tc>
        <w:tc>
          <w:tcPr>
            <w:tcW w:w="8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561</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351</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2,740</w:t>
            </w:r>
          </w:p>
        </w:tc>
      </w:tr>
      <w:tr>
        <w:trPr>
          <w:trHeight w:val="216"/>
        </w:trPr>
        <w:tc>
          <w:tcPr>
            <w:tcW w:w="3900" w:type="dxa"/>
            <w:vAlign w:val="bottom"/>
          </w:tcPr>
          <w:p>
            <w:pPr>
              <w:ind w:left="140"/>
              <w:spacing w:after="0" w:line="216" w:lineRule="exact"/>
              <w:rPr>
                <w:sz w:val="20"/>
                <w:szCs w:val="20"/>
                <w:color w:val="auto"/>
              </w:rPr>
            </w:pPr>
            <w:r>
              <w:rPr>
                <w:rFonts w:ascii="Arial" w:cs="Arial" w:eastAsia="Arial" w:hAnsi="Arial"/>
                <w:sz w:val="17"/>
                <w:szCs w:val="17"/>
                <w:color w:val="auto"/>
              </w:rPr>
              <w:t>Non-cash impairment charges, net of tax</w:t>
            </w:r>
            <w:r>
              <w:rPr>
                <w:rFonts w:ascii="Arial" w:cs="Arial" w:eastAsia="Arial" w:hAnsi="Arial"/>
                <w:sz w:val="21"/>
                <w:szCs w:val="21"/>
                <w:color w:val="auto"/>
                <w:vertAlign w:val="superscript"/>
              </w:rPr>
              <w:t>2</w:t>
            </w:r>
          </w:p>
        </w:tc>
        <w:tc>
          <w:tcPr>
            <w:tcW w:w="800" w:type="dxa"/>
            <w:vAlign w:val="bottom"/>
          </w:tcPr>
          <w:p>
            <w:pPr>
              <w:spacing w:after="0"/>
              <w:rPr>
                <w:sz w:val="18"/>
                <w:szCs w:val="18"/>
                <w:color w:val="auto"/>
              </w:rPr>
            </w:pPr>
          </w:p>
        </w:tc>
        <w:tc>
          <w:tcPr>
            <w:tcW w:w="1480" w:type="dxa"/>
            <w:vAlign w:val="bottom"/>
          </w:tcPr>
          <w:p>
            <w:pPr>
              <w:jc w:val="right"/>
              <w:ind w:right="197"/>
              <w:spacing w:after="0"/>
              <w:rPr>
                <w:sz w:val="20"/>
                <w:szCs w:val="20"/>
                <w:color w:val="auto"/>
              </w:rPr>
            </w:pPr>
            <w:r>
              <w:rPr>
                <w:rFonts w:ascii="Arial" w:cs="Arial" w:eastAsia="Arial" w:hAnsi="Arial"/>
                <w:sz w:val="17"/>
                <w:szCs w:val="17"/>
                <w:color w:val="auto"/>
              </w:rPr>
              <w:t>114,642</w:t>
            </w:r>
          </w:p>
        </w:tc>
        <w:tc>
          <w:tcPr>
            <w:tcW w:w="240" w:type="dxa"/>
            <w:vAlign w:val="bottom"/>
          </w:tcPr>
          <w:p>
            <w:pPr>
              <w:spacing w:after="0"/>
              <w:rPr>
                <w:sz w:val="18"/>
                <w:szCs w:val="18"/>
                <w:color w:val="auto"/>
              </w:rPr>
            </w:pPr>
          </w:p>
        </w:tc>
        <w:tc>
          <w:tcPr>
            <w:tcW w:w="1440" w:type="dxa"/>
            <w:vAlign w:val="bottom"/>
          </w:tcPr>
          <w:p>
            <w:pPr>
              <w:jc w:val="right"/>
              <w:ind w:right="197"/>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480" w:type="dxa"/>
            <w:vAlign w:val="bottom"/>
          </w:tcPr>
          <w:p>
            <w:pPr>
              <w:jc w:val="right"/>
              <w:ind w:right="197"/>
              <w:spacing w:after="0"/>
              <w:rPr>
                <w:sz w:val="20"/>
                <w:szCs w:val="20"/>
                <w:color w:val="auto"/>
              </w:rPr>
            </w:pPr>
            <w:r>
              <w:rPr>
                <w:rFonts w:ascii="Arial" w:cs="Arial" w:eastAsia="Arial" w:hAnsi="Arial"/>
                <w:sz w:val="17"/>
                <w:szCs w:val="17"/>
                <w:color w:val="auto"/>
              </w:rPr>
              <w:t>114,642</w:t>
            </w:r>
          </w:p>
        </w:tc>
        <w:tc>
          <w:tcPr>
            <w:tcW w:w="260" w:type="dxa"/>
            <w:vAlign w:val="bottom"/>
          </w:tcPr>
          <w:p>
            <w:pPr>
              <w:spacing w:after="0"/>
              <w:rPr>
                <w:sz w:val="18"/>
                <w:szCs w:val="18"/>
                <w:color w:val="auto"/>
              </w:rPr>
            </w:pPr>
          </w:p>
        </w:tc>
        <w:tc>
          <w:tcPr>
            <w:tcW w:w="1380" w:type="dxa"/>
            <w:vAlign w:val="bottom"/>
          </w:tcPr>
          <w:p>
            <w:pPr>
              <w:jc w:val="right"/>
              <w:ind w:right="137"/>
              <w:spacing w:after="0"/>
              <w:rPr>
                <w:sz w:val="20"/>
                <w:szCs w:val="20"/>
                <w:color w:val="auto"/>
              </w:rPr>
            </w:pPr>
            <w:r>
              <w:rPr>
                <w:rFonts w:ascii="Arial" w:cs="Arial" w:eastAsia="Arial" w:hAnsi="Arial"/>
                <w:sz w:val="17"/>
                <w:szCs w:val="17"/>
                <w:color w:val="auto"/>
              </w:rPr>
              <w:t>—</w:t>
            </w:r>
          </w:p>
        </w:tc>
      </w:tr>
      <w:tr>
        <w:trPr>
          <w:trHeight w:val="216"/>
        </w:trPr>
        <w:tc>
          <w:tcPr>
            <w:tcW w:w="3900" w:type="dxa"/>
            <w:vAlign w:val="bottom"/>
            <w:tcBorders>
              <w:bottom w:val="single" w:sz="8" w:color="auto"/>
            </w:tcBorders>
            <w:shd w:val="clear" w:color="auto" w:fill="CCEEFF"/>
          </w:tcPr>
          <w:p>
            <w:pPr>
              <w:ind w:left="140"/>
              <w:spacing w:after="0" w:line="216" w:lineRule="exact"/>
              <w:rPr>
                <w:sz w:val="20"/>
                <w:szCs w:val="20"/>
                <w:color w:val="auto"/>
              </w:rPr>
            </w:pPr>
            <w:r>
              <w:rPr>
                <w:rFonts w:ascii="Arial" w:cs="Arial" w:eastAsia="Arial" w:hAnsi="Arial"/>
                <w:sz w:val="17"/>
                <w:szCs w:val="17"/>
                <w:color w:val="auto"/>
              </w:rPr>
              <w:t>Tax impact of stock-based compensation</w:t>
            </w:r>
            <w:r>
              <w:rPr>
                <w:rFonts w:ascii="Arial" w:cs="Arial" w:eastAsia="Arial" w:hAnsi="Arial"/>
                <w:sz w:val="21"/>
                <w:szCs w:val="21"/>
                <w:color w:val="auto"/>
                <w:vertAlign w:val="superscript"/>
              </w:rPr>
              <w:t>3</w:t>
            </w:r>
          </w:p>
        </w:tc>
        <w:tc>
          <w:tcPr>
            <w:tcW w:w="8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rPr>
              <w:t>(324)</w:t>
            </w:r>
          </w:p>
        </w:tc>
        <w:tc>
          <w:tcPr>
            <w:tcW w:w="2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rPr>
              <w:t>(581)</w:t>
            </w: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(5,004)</w:t>
            </w: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rPr>
              <w:t>(1,568)</w:t>
            </w:r>
          </w:p>
        </w:tc>
      </w:tr>
      <w:tr>
        <w:trPr>
          <w:trHeight w:val="208"/>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Adjusted net earnings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99,355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125,130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369,351</w:t>
            </w:r>
          </w:p>
        </w:tc>
        <w:tc>
          <w:tcPr>
            <w:tcW w:w="2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326,957</w:t>
            </w:r>
          </w:p>
        </w:tc>
      </w:tr>
      <w:tr>
        <w:trPr>
          <w:trHeight w:val="90"/>
        </w:trPr>
        <w:tc>
          <w:tcPr>
            <w:tcW w:w="3900" w:type="dxa"/>
            <w:vAlign w:val="bottom"/>
            <w:tcBorders>
              <w:bottom w:val="single" w:sz="8" w:color="auto"/>
            </w:tcBorders>
            <w:shd w:val="clear" w:color="auto" w:fill="CCEEFF"/>
          </w:tcPr>
          <w:p>
            <w:pPr>
              <w:spacing w:after="0"/>
              <w:rPr>
                <w:sz w:val="7"/>
                <w:szCs w:val="7"/>
                <w:color w:val="auto"/>
              </w:rPr>
            </w:pPr>
          </w:p>
        </w:tc>
        <w:tc>
          <w:tcPr>
            <w:tcW w:w="800" w:type="dxa"/>
            <w:vAlign w:val="bottom"/>
            <w:tcBorders>
              <w:bottom w:val="single" w:sz="8" w:color="auto"/>
            </w:tcBorders>
            <w:shd w:val="clear" w:color="auto" w:fill="CCEEFF"/>
          </w:tcPr>
          <w:p>
            <w:pPr>
              <w:spacing w:after="0"/>
              <w:rPr>
                <w:sz w:val="7"/>
                <w:szCs w:val="7"/>
                <w:color w:val="auto"/>
              </w:rPr>
            </w:pPr>
          </w:p>
        </w:tc>
        <w:tc>
          <w:tcPr>
            <w:tcW w:w="1480" w:type="dxa"/>
            <w:vAlign w:val="bottom"/>
            <w:tcBorders>
              <w:bottom w:val="single" w:sz="8" w:color="auto"/>
            </w:tcBorders>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1440" w:type="dxa"/>
            <w:vAlign w:val="bottom"/>
            <w:tcBorders>
              <w:bottom w:val="single" w:sz="8" w:color="auto"/>
            </w:tcBorders>
            <w:shd w:val="clear" w:color="auto" w:fill="CCEEFF"/>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1480" w:type="dxa"/>
            <w:vAlign w:val="bottom"/>
            <w:tcBorders>
              <w:bottom w:val="single" w:sz="8" w:color="auto"/>
            </w:tcBorders>
            <w:shd w:val="clear" w:color="auto" w:fill="CCEEFF"/>
          </w:tcPr>
          <w:p>
            <w:pPr>
              <w:spacing w:after="0"/>
              <w:rPr>
                <w:sz w:val="7"/>
                <w:szCs w:val="7"/>
                <w:color w:val="auto"/>
              </w:rPr>
            </w:pPr>
          </w:p>
        </w:tc>
        <w:tc>
          <w:tcPr>
            <w:tcW w:w="260" w:type="dxa"/>
            <w:vAlign w:val="bottom"/>
            <w:tcBorders>
              <w:bottom w:val="single" w:sz="8" w:color="auto"/>
            </w:tcBorders>
            <w:shd w:val="clear" w:color="auto" w:fill="CCEEFF"/>
          </w:tcPr>
          <w:p>
            <w:pPr>
              <w:spacing w:after="0"/>
              <w:rPr>
                <w:sz w:val="7"/>
                <w:szCs w:val="7"/>
                <w:color w:val="auto"/>
              </w:rPr>
            </w:pPr>
          </w:p>
        </w:tc>
        <w:tc>
          <w:tcPr>
            <w:tcW w:w="1380" w:type="dxa"/>
            <w:vAlign w:val="bottom"/>
            <w:tcBorders>
              <w:bottom w:val="single" w:sz="8" w:color="auto"/>
            </w:tcBorders>
            <w:shd w:val="clear" w:color="auto" w:fill="CCEEFF"/>
          </w:tcPr>
          <w:p>
            <w:pPr>
              <w:spacing w:after="0"/>
              <w:rPr>
                <w:sz w:val="7"/>
                <w:szCs w:val="7"/>
                <w:color w:val="auto"/>
              </w:rPr>
            </w:pPr>
          </w:p>
        </w:tc>
      </w:tr>
      <w:tr>
        <w:trPr>
          <w:trHeight w:val="208"/>
        </w:trPr>
        <w:tc>
          <w:tcPr>
            <w:tcW w:w="3900" w:type="dxa"/>
            <w:vAlign w:val="bottom"/>
          </w:tcPr>
          <w:p>
            <w:pPr>
              <w:ind w:left="20"/>
              <w:spacing w:after="0"/>
              <w:rPr>
                <w:sz w:val="20"/>
                <w:szCs w:val="20"/>
                <w:color w:val="auto"/>
              </w:rPr>
            </w:pPr>
            <w:r>
              <w:rPr>
                <w:rFonts w:ascii="Arial" w:cs="Arial" w:eastAsia="Arial" w:hAnsi="Arial"/>
                <w:sz w:val="17"/>
                <w:szCs w:val="17"/>
                <w:color w:val="auto"/>
              </w:rPr>
              <w:t>Net (loss) earnings per diluted share</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480" w:type="dxa"/>
            <w:vAlign w:val="bottom"/>
          </w:tcPr>
          <w:p>
            <w:pPr>
              <w:jc w:val="right"/>
              <w:ind w:right="157"/>
              <w:spacing w:after="0"/>
              <w:rPr>
                <w:sz w:val="20"/>
                <w:szCs w:val="20"/>
                <w:color w:val="auto"/>
              </w:rPr>
            </w:pPr>
            <w:r>
              <w:rPr>
                <w:rFonts w:ascii="Arial" w:cs="Arial" w:eastAsia="Arial" w:hAnsi="Arial"/>
                <w:sz w:val="17"/>
                <w:szCs w:val="17"/>
                <w:color w:val="auto"/>
              </w:rPr>
              <w:t>(0.14)</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197"/>
              <w:spacing w:after="0"/>
              <w:rPr>
                <w:sz w:val="20"/>
                <w:szCs w:val="20"/>
                <w:color w:val="auto"/>
              </w:rPr>
            </w:pPr>
            <w:r>
              <w:rPr>
                <w:rFonts w:ascii="Arial" w:cs="Arial" w:eastAsia="Arial" w:hAnsi="Arial"/>
                <w:sz w:val="17"/>
                <w:szCs w:val="17"/>
                <w:color w:val="auto"/>
              </w:rPr>
              <w:t>1.19</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480" w:type="dxa"/>
            <w:vAlign w:val="bottom"/>
          </w:tcPr>
          <w:p>
            <w:pPr>
              <w:jc w:val="right"/>
              <w:ind w:right="197"/>
              <w:spacing w:after="0"/>
              <w:rPr>
                <w:sz w:val="20"/>
                <w:szCs w:val="20"/>
                <w:color w:val="auto"/>
              </w:rPr>
            </w:pPr>
            <w:r>
              <w:rPr>
                <w:rFonts w:ascii="Arial" w:cs="Arial" w:eastAsia="Arial" w:hAnsi="Arial"/>
                <w:sz w:val="17"/>
                <w:szCs w:val="17"/>
                <w:color w:val="auto"/>
              </w:rPr>
              <w:t>2.46</w:t>
            </w:r>
          </w:p>
        </w:tc>
        <w:tc>
          <w:tcPr>
            <w:tcW w:w="26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137"/>
              <w:spacing w:after="0"/>
              <w:rPr>
                <w:sz w:val="20"/>
                <w:szCs w:val="20"/>
                <w:color w:val="auto"/>
              </w:rPr>
            </w:pPr>
            <w:r>
              <w:rPr>
                <w:rFonts w:ascii="Arial" w:cs="Arial" w:eastAsia="Arial" w:hAnsi="Arial"/>
                <w:sz w:val="17"/>
                <w:szCs w:val="17"/>
                <w:color w:val="auto"/>
              </w:rPr>
              <w:t>3.08</w:t>
            </w:r>
          </w:p>
        </w:tc>
      </w:tr>
      <w:tr>
        <w:trPr>
          <w:trHeight w:val="218"/>
        </w:trPr>
        <w:tc>
          <w:tcPr>
            <w:tcW w:w="3900" w:type="dxa"/>
            <w:vAlign w:val="bottom"/>
            <w:shd w:val="clear" w:color="auto" w:fill="CCEEFF"/>
          </w:tcPr>
          <w:p>
            <w:pPr>
              <w:ind w:left="140"/>
              <w:spacing w:after="0" w:line="218" w:lineRule="exact"/>
              <w:rPr>
                <w:sz w:val="20"/>
                <w:szCs w:val="20"/>
                <w:color w:val="auto"/>
              </w:rPr>
            </w:pPr>
            <w:r>
              <w:rPr>
                <w:rFonts w:ascii="Arial" w:cs="Arial" w:eastAsia="Arial" w:hAnsi="Arial"/>
                <w:sz w:val="17"/>
                <w:szCs w:val="17"/>
                <w:color w:val="auto"/>
              </w:rPr>
              <w:t>Acquisition-related costs, net of tax</w:t>
            </w:r>
            <w:r>
              <w:rPr>
                <w:rFonts w:ascii="Arial" w:cs="Arial" w:eastAsia="Arial" w:hAnsi="Arial"/>
                <w:sz w:val="21"/>
                <w:szCs w:val="21"/>
                <w:color w:val="auto"/>
                <w:vertAlign w:val="superscript"/>
              </w:rPr>
              <w:t>1</w:t>
            </w:r>
          </w:p>
        </w:tc>
        <w:tc>
          <w:tcPr>
            <w:tcW w:w="8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0.01</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0.03</w:t>
            </w:r>
          </w:p>
        </w:tc>
      </w:tr>
      <w:tr>
        <w:trPr>
          <w:trHeight w:val="216"/>
        </w:trPr>
        <w:tc>
          <w:tcPr>
            <w:tcW w:w="3900" w:type="dxa"/>
            <w:vAlign w:val="bottom"/>
          </w:tcPr>
          <w:p>
            <w:pPr>
              <w:ind w:left="140"/>
              <w:spacing w:after="0" w:line="216" w:lineRule="exact"/>
              <w:rPr>
                <w:sz w:val="20"/>
                <w:szCs w:val="20"/>
                <w:color w:val="auto"/>
              </w:rPr>
            </w:pPr>
            <w:r>
              <w:rPr>
                <w:rFonts w:ascii="Arial" w:cs="Arial" w:eastAsia="Arial" w:hAnsi="Arial"/>
                <w:sz w:val="17"/>
                <w:szCs w:val="17"/>
                <w:color w:val="auto"/>
              </w:rPr>
              <w:t>Non-cash impairment charges, net of tax</w:t>
            </w:r>
            <w:r>
              <w:rPr>
                <w:rFonts w:ascii="Arial" w:cs="Arial" w:eastAsia="Arial" w:hAnsi="Arial"/>
                <w:sz w:val="21"/>
                <w:szCs w:val="21"/>
                <w:color w:val="auto"/>
                <w:vertAlign w:val="superscript"/>
              </w:rPr>
              <w:t>2</w:t>
            </w:r>
          </w:p>
        </w:tc>
        <w:tc>
          <w:tcPr>
            <w:tcW w:w="800" w:type="dxa"/>
            <w:vAlign w:val="bottom"/>
          </w:tcPr>
          <w:p>
            <w:pPr>
              <w:spacing w:after="0"/>
              <w:rPr>
                <w:sz w:val="18"/>
                <w:szCs w:val="18"/>
                <w:color w:val="auto"/>
              </w:rPr>
            </w:pPr>
          </w:p>
        </w:tc>
        <w:tc>
          <w:tcPr>
            <w:tcW w:w="1480" w:type="dxa"/>
            <w:vAlign w:val="bottom"/>
          </w:tcPr>
          <w:p>
            <w:pPr>
              <w:jc w:val="right"/>
              <w:ind w:right="197"/>
              <w:spacing w:after="0"/>
              <w:rPr>
                <w:sz w:val="20"/>
                <w:szCs w:val="20"/>
                <w:color w:val="auto"/>
              </w:rPr>
            </w:pPr>
            <w:r>
              <w:rPr>
                <w:rFonts w:ascii="Arial" w:cs="Arial" w:eastAsia="Arial" w:hAnsi="Arial"/>
                <w:sz w:val="17"/>
                <w:szCs w:val="17"/>
                <w:color w:val="auto"/>
              </w:rPr>
              <w:t>1.09</w:t>
            </w:r>
          </w:p>
        </w:tc>
        <w:tc>
          <w:tcPr>
            <w:tcW w:w="240" w:type="dxa"/>
            <w:vAlign w:val="bottom"/>
          </w:tcPr>
          <w:p>
            <w:pPr>
              <w:spacing w:after="0"/>
              <w:rPr>
                <w:sz w:val="18"/>
                <w:szCs w:val="18"/>
                <w:color w:val="auto"/>
              </w:rPr>
            </w:pPr>
          </w:p>
        </w:tc>
        <w:tc>
          <w:tcPr>
            <w:tcW w:w="1440" w:type="dxa"/>
            <w:vAlign w:val="bottom"/>
          </w:tcPr>
          <w:p>
            <w:pPr>
              <w:jc w:val="right"/>
              <w:ind w:right="197"/>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480" w:type="dxa"/>
            <w:vAlign w:val="bottom"/>
          </w:tcPr>
          <w:p>
            <w:pPr>
              <w:jc w:val="right"/>
              <w:ind w:right="197"/>
              <w:spacing w:after="0"/>
              <w:rPr>
                <w:sz w:val="20"/>
                <w:szCs w:val="20"/>
                <w:color w:val="auto"/>
              </w:rPr>
            </w:pPr>
            <w:r>
              <w:rPr>
                <w:rFonts w:ascii="Arial" w:cs="Arial" w:eastAsia="Arial" w:hAnsi="Arial"/>
                <w:sz w:val="17"/>
                <w:szCs w:val="17"/>
                <w:color w:val="auto"/>
              </w:rPr>
              <w:t>1.09</w:t>
            </w:r>
          </w:p>
        </w:tc>
        <w:tc>
          <w:tcPr>
            <w:tcW w:w="260" w:type="dxa"/>
            <w:vAlign w:val="bottom"/>
          </w:tcPr>
          <w:p>
            <w:pPr>
              <w:spacing w:after="0"/>
              <w:rPr>
                <w:sz w:val="18"/>
                <w:szCs w:val="18"/>
                <w:color w:val="auto"/>
              </w:rPr>
            </w:pPr>
          </w:p>
        </w:tc>
        <w:tc>
          <w:tcPr>
            <w:tcW w:w="1380" w:type="dxa"/>
            <w:vAlign w:val="bottom"/>
          </w:tcPr>
          <w:p>
            <w:pPr>
              <w:jc w:val="right"/>
              <w:ind w:right="137"/>
              <w:spacing w:after="0"/>
              <w:rPr>
                <w:sz w:val="20"/>
                <w:szCs w:val="20"/>
                <w:color w:val="auto"/>
              </w:rPr>
            </w:pPr>
            <w:r>
              <w:rPr>
                <w:rFonts w:ascii="Arial" w:cs="Arial" w:eastAsia="Arial" w:hAnsi="Arial"/>
                <w:sz w:val="17"/>
                <w:szCs w:val="17"/>
                <w:color w:val="auto"/>
              </w:rPr>
              <w:t>—</w:t>
            </w:r>
          </w:p>
        </w:tc>
      </w:tr>
      <w:tr>
        <w:trPr>
          <w:trHeight w:val="216"/>
        </w:trPr>
        <w:tc>
          <w:tcPr>
            <w:tcW w:w="3900" w:type="dxa"/>
            <w:vAlign w:val="bottom"/>
            <w:tcBorders>
              <w:bottom w:val="single" w:sz="8" w:color="auto"/>
            </w:tcBorders>
            <w:shd w:val="clear" w:color="auto" w:fill="CCEEFF"/>
          </w:tcPr>
          <w:p>
            <w:pPr>
              <w:ind w:left="140"/>
              <w:spacing w:after="0" w:line="216" w:lineRule="exact"/>
              <w:rPr>
                <w:sz w:val="20"/>
                <w:szCs w:val="20"/>
                <w:color w:val="auto"/>
              </w:rPr>
            </w:pPr>
            <w:r>
              <w:rPr>
                <w:rFonts w:ascii="Arial" w:cs="Arial" w:eastAsia="Arial" w:hAnsi="Arial"/>
                <w:sz w:val="17"/>
                <w:szCs w:val="17"/>
                <w:color w:val="auto"/>
              </w:rPr>
              <w:t>Tax impact of stock-based compensation</w:t>
            </w:r>
            <w:r>
              <w:rPr>
                <w:rFonts w:ascii="Arial" w:cs="Arial" w:eastAsia="Arial" w:hAnsi="Arial"/>
                <w:sz w:val="21"/>
                <w:szCs w:val="21"/>
                <w:color w:val="auto"/>
                <w:vertAlign w:val="superscript"/>
              </w:rPr>
              <w:t>3</w:t>
            </w:r>
          </w:p>
        </w:tc>
        <w:tc>
          <w:tcPr>
            <w:tcW w:w="8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rPr>
              <w:t>(0.01)</w:t>
            </w: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(0.05)</w:t>
            </w: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rPr>
              <w:t>(0.02)</w:t>
            </w:r>
          </w:p>
        </w:tc>
      </w:tr>
      <w:tr>
        <w:trPr>
          <w:trHeight w:val="208"/>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Adjusted net earnings per diluted share</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0.95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1.19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3.50</w:t>
            </w:r>
          </w:p>
        </w:tc>
        <w:tc>
          <w:tcPr>
            <w:tcW w:w="2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3.09</w:t>
            </w:r>
          </w:p>
        </w:tc>
      </w:tr>
      <w:tr>
        <w:trPr>
          <w:trHeight w:val="20"/>
        </w:trPr>
        <w:tc>
          <w:tcPr>
            <w:tcW w:w="39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77"/>
        </w:trPr>
        <w:tc>
          <w:tcPr>
            <w:tcW w:w="390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shd w:val="clear" w:color="auto" w:fill="CCEEFF"/>
          </w:tcPr>
          <w:p>
            <w:pPr>
              <w:spacing w:after="0"/>
              <w:rPr>
                <w:sz w:val="6"/>
                <w:szCs w:val="6"/>
                <w:color w:val="auto"/>
              </w:rPr>
            </w:pPr>
          </w:p>
        </w:tc>
        <w:tc>
          <w:tcPr>
            <w:tcW w:w="1480" w:type="dxa"/>
            <w:vAlign w:val="bottom"/>
            <w:tcBorders>
              <w:bottom w:val="single" w:sz="8" w:color="auto"/>
            </w:tcBorders>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44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480" w:type="dxa"/>
            <w:vAlign w:val="bottom"/>
            <w:tcBorders>
              <w:bottom w:val="single" w:sz="8" w:color="auto"/>
            </w:tcBorders>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380" w:type="dxa"/>
            <w:vAlign w:val="bottom"/>
            <w:tcBorders>
              <w:bottom w:val="single" w:sz="8" w:color="auto"/>
            </w:tcBorders>
            <w:shd w:val="clear" w:color="auto" w:fill="CCEEFF"/>
          </w:tcPr>
          <w:p>
            <w:pPr>
              <w:spacing w:after="0"/>
              <w:rPr>
                <w:sz w:val="6"/>
                <w:szCs w:val="6"/>
                <w:color w:val="auto"/>
              </w:rPr>
            </w:pPr>
          </w:p>
        </w:tc>
      </w:tr>
      <w:tr>
        <w:trPr>
          <w:trHeight w:val="208"/>
        </w:trPr>
        <w:tc>
          <w:tcPr>
            <w:tcW w:w="3900" w:type="dxa"/>
            <w:vAlign w:val="bottom"/>
          </w:tcPr>
          <w:p>
            <w:pPr>
              <w:ind w:left="20"/>
              <w:spacing w:after="0"/>
              <w:rPr>
                <w:sz w:val="20"/>
                <w:szCs w:val="20"/>
                <w:color w:val="auto"/>
              </w:rPr>
            </w:pPr>
            <w:r>
              <w:rPr>
                <w:rFonts w:ascii="Arial" w:cs="Arial" w:eastAsia="Arial" w:hAnsi="Arial"/>
                <w:sz w:val="17"/>
                <w:szCs w:val="17"/>
                <w:color w:val="auto"/>
              </w:rPr>
              <w:t>Effective tax rate</w:t>
            </w:r>
          </w:p>
        </w:tc>
        <w:tc>
          <w:tcPr>
            <w:tcW w:w="8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47.6 %</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20.3 %</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17.3 %</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20.4 %</w:t>
            </w:r>
          </w:p>
        </w:tc>
      </w:tr>
      <w:tr>
        <w:trPr>
          <w:trHeight w:val="218"/>
        </w:trPr>
        <w:tc>
          <w:tcPr>
            <w:tcW w:w="3900" w:type="dxa"/>
            <w:vAlign w:val="bottom"/>
            <w:shd w:val="clear" w:color="auto" w:fill="CCEEFF"/>
          </w:tcPr>
          <w:p>
            <w:pPr>
              <w:ind w:left="140"/>
              <w:spacing w:after="0" w:line="218" w:lineRule="exact"/>
              <w:rPr>
                <w:sz w:val="20"/>
                <w:szCs w:val="20"/>
                <w:color w:val="auto"/>
              </w:rPr>
            </w:pPr>
            <w:r>
              <w:rPr>
                <w:rFonts w:ascii="Arial" w:cs="Arial" w:eastAsia="Arial" w:hAnsi="Arial"/>
                <w:sz w:val="17"/>
                <w:szCs w:val="17"/>
                <w:color w:val="auto"/>
              </w:rPr>
              <w:t>Non-cash impairment charges</w:t>
            </w:r>
            <w:r>
              <w:rPr>
                <w:rFonts w:ascii="Arial" w:cs="Arial" w:eastAsia="Arial" w:hAnsi="Arial"/>
                <w:sz w:val="21"/>
                <w:szCs w:val="21"/>
                <w:color w:val="auto"/>
                <w:vertAlign w:val="superscript"/>
              </w:rPr>
              <w:t>2</w:t>
            </w:r>
          </w:p>
        </w:tc>
        <w:tc>
          <w:tcPr>
            <w:tcW w:w="8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1.7 %</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r>
      <w:tr>
        <w:trPr>
          <w:trHeight w:val="216"/>
        </w:trPr>
        <w:tc>
          <w:tcPr>
            <w:tcW w:w="3900" w:type="dxa"/>
            <w:vAlign w:val="bottom"/>
            <w:tcBorders>
              <w:bottom w:val="single" w:sz="8" w:color="auto"/>
            </w:tcBorders>
          </w:tcPr>
          <w:p>
            <w:pPr>
              <w:ind w:left="140"/>
              <w:spacing w:after="0" w:line="216" w:lineRule="exact"/>
              <w:rPr>
                <w:sz w:val="20"/>
                <w:szCs w:val="20"/>
                <w:color w:val="auto"/>
              </w:rPr>
            </w:pPr>
            <w:r>
              <w:rPr>
                <w:rFonts w:ascii="Arial" w:cs="Arial" w:eastAsia="Arial" w:hAnsi="Arial"/>
                <w:sz w:val="17"/>
                <w:szCs w:val="17"/>
                <w:color w:val="auto"/>
              </w:rPr>
              <w:t>Tax impact of stock-based compensation</w:t>
            </w:r>
            <w:r>
              <w:rPr>
                <w:rFonts w:ascii="Arial" w:cs="Arial" w:eastAsia="Arial" w:hAnsi="Arial"/>
                <w:sz w:val="21"/>
                <w:szCs w:val="21"/>
                <w:color w:val="auto"/>
                <w:vertAlign w:val="superscript"/>
              </w:rPr>
              <w:t>3</w:t>
            </w:r>
          </w:p>
        </w:tc>
        <w:tc>
          <w:tcPr>
            <w:tcW w:w="8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0.4 %</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1.6 %</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0.4 %</w:t>
            </w:r>
          </w:p>
        </w:tc>
      </w:tr>
      <w:tr>
        <w:trPr>
          <w:trHeight w:val="233"/>
        </w:trPr>
        <w:tc>
          <w:tcPr>
            <w:tcW w:w="3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Adjusted effective tax rate</w:t>
            </w:r>
          </w:p>
        </w:tc>
        <w:tc>
          <w:tcPr>
            <w:tcW w:w="8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19.0 %</w:t>
            </w: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20.7 %</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20.6 %</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20.8 %</w:t>
            </w:r>
          </w:p>
        </w:tc>
      </w:tr>
      <w:tr>
        <w:trPr>
          <w:trHeight w:val="20"/>
        </w:trPr>
        <w:tc>
          <w:tcPr>
            <w:tcW w:w="39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260" w:hanging="171"/>
        <w:spacing w:after="0" w:line="217" w:lineRule="auto"/>
        <w:tabs>
          <w:tab w:leader="none" w:pos="267"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On January 13, 2022, the company completed the acquisition of Intimidator. Acquisition-related costs for the nine month period ended August 4, 2023 represent integration costs. Acquisition-related costs for the three and nine month periods ended July 29, 2022 represent transaction and integration costs.</w:t>
      </w:r>
    </w:p>
    <w:p>
      <w:pPr>
        <w:spacing w:after="0" w:line="102" w:lineRule="exact"/>
        <w:rPr>
          <w:sz w:val="20"/>
          <w:szCs w:val="20"/>
          <w:color w:val="auto"/>
        </w:rPr>
      </w:pPr>
    </w:p>
    <w:p>
      <w:pPr>
        <w:ind w:left="260" w:hanging="171"/>
        <w:spacing w:after="0" w:line="217" w:lineRule="auto"/>
        <w:tabs>
          <w:tab w:leader="none" w:pos="308"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At the end of the third quarter of fiscal 2023, the company recorded non-cash impairment charges within our Professional reportable segment related to the Intimidator Group operating segment.</w:t>
      </w:r>
    </w:p>
    <w:p>
      <w:pPr>
        <w:spacing w:after="0" w:line="89" w:lineRule="exact"/>
        <w:rPr>
          <w:sz w:val="20"/>
          <w:szCs w:val="20"/>
          <w:color w:val="auto"/>
        </w:rPr>
      </w:pPr>
    </w:p>
    <w:p>
      <w:pPr>
        <w:jc w:val="both"/>
        <w:ind w:left="260" w:hanging="171"/>
        <w:spacing w:after="0" w:line="258" w:lineRule="auto"/>
        <w:tabs>
          <w:tab w:leader="none" w:pos="281" w:val="left"/>
        </w:tabs>
        <w:numPr>
          <w:ilvl w:val="0"/>
          <w:numId w:val="9"/>
        </w:numPr>
        <w:rPr>
          <w:rFonts w:ascii="Arial" w:cs="Arial" w:eastAsia="Arial" w:hAnsi="Arial"/>
          <w:sz w:val="9"/>
          <w:szCs w:val="9"/>
          <w:color w:val="auto"/>
        </w:rPr>
      </w:pPr>
      <w:r>
        <w:rPr>
          <w:rFonts w:ascii="Arial" w:cs="Arial" w:eastAsia="Arial" w:hAnsi="Arial"/>
          <w:sz w:val="14"/>
          <w:szCs w:val="14"/>
          <w:color w:val="auto"/>
        </w:rPr>
        <w:t>The accounting standards codification guidance governing employee stock-based compensation requires that any excess tax deduction for stock-based compensation be immediately recorded within income tax expense. Employee stock-based compensation activity, including the exercise of stock options, can be unpredictable and can significantly impact our net earnings, net earnings per diluted share, and effective tax rate. These amounts represent the discrete tax benefits recorded as excess tax deductions for stock-based compensation during the three and nine month periods ended August 4, 2023 and July 29, 2022.</w:t>
      </w:r>
    </w:p>
    <w:p>
      <w:pPr>
        <w:sectPr>
          <w:pgSz w:w="11900" w:h="16838" w:orient="portrait"/>
          <w:cols w:equalWidth="0" w:num="1">
            <w:col w:w="11240"/>
          </w:cols>
          <w:pgMar w:left="320" w:top="760"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Reconciliation of Non-GAAP Liquidity Measures</w:t>
      </w:r>
    </w:p>
    <w:p>
      <w:pPr>
        <w:spacing w:after="0" w:line="19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company defines free cash flow as net cash provided by operating activities less purchases of property, plant and equipment, net of proceeds from insurance claim. Free cash flow conversion percentage represents free cash flow as a percentage of net earnings. The company considers free cash flow and free cash flow conversion percentage to be non-GAAP liquidity measures that provide useful information to management and investors about the company's ability to convert net earnings into cash resources that can be used to pursue opportunities to enhance shareholder value, fund ongoing and prospective business initiatives, and strengthen the company's Consolidated Balance Sheets, after reinvesting in necessary capital expenditures required to maintain and grow the company's business.</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following table provides a reconciliation of non-GAAP free cash flow and free cash flow conversion percentage to net cash provided by operating activities, which is the most directly comparable financial measure calculated and reported in accordance with U.S. GAAP, for the </w:t>
      </w:r>
      <w:r>
        <w:rPr>
          <w:rFonts w:ascii="Arial" w:cs="Arial" w:eastAsia="Arial" w:hAnsi="Arial"/>
          <w:sz w:val="16"/>
          <w:szCs w:val="16"/>
          <w:color w:val="auto"/>
        </w:rPr>
        <w:t xml:space="preserve">nine </w:t>
      </w:r>
      <w:r>
        <w:rPr>
          <w:rFonts w:ascii="Arial" w:cs="Arial" w:eastAsia="Arial" w:hAnsi="Arial"/>
          <w:sz w:val="17"/>
          <w:szCs w:val="17"/>
          <w:color w:val="auto"/>
        </w:rPr>
        <w:t>month periods ended August 4, 2023 and July 29, 2022:</w:t>
      </w:r>
    </w:p>
    <w:p>
      <w:pPr>
        <w:spacing w:after="0" w:line="181" w:lineRule="exact"/>
        <w:rPr>
          <w:sz w:val="20"/>
          <w:szCs w:val="20"/>
          <w:color w:val="auto"/>
        </w:rPr>
      </w:pPr>
    </w:p>
    <w:p>
      <w:pPr>
        <w:ind w:left="8580"/>
        <w:spacing w:after="0"/>
        <w:rPr>
          <w:sz w:val="20"/>
          <w:szCs w:val="20"/>
          <w:color w:val="auto"/>
        </w:rPr>
      </w:pPr>
      <w:r>
        <w:rPr>
          <w:rFonts w:ascii="Arial" w:cs="Arial" w:eastAsia="Arial" w:hAnsi="Arial"/>
          <w:sz w:val="17"/>
          <w:szCs w:val="17"/>
          <w:b w:val="1"/>
          <w:bCs w:val="1"/>
          <w:color w:val="auto"/>
        </w:rPr>
        <w:t>Nine Months Ended</w:t>
      </w:r>
    </w:p>
    <w:p>
      <w:pPr>
        <w:spacing w:after="0" w:line="29" w:lineRule="exact"/>
        <w:rPr>
          <w:sz w:val="20"/>
          <w:szCs w:val="20"/>
          <w:color w:val="auto"/>
        </w:rPr>
      </w:pPr>
    </w:p>
    <w:tbl>
      <w:tblPr>
        <w:tblLayout w:type="fixed"/>
        <w:tblInd w:w="180" w:type="dxa"/>
        <w:tblCellMar>
          <w:top w:w="0" w:type="dxa"/>
          <w:left w:w="0" w:type="dxa"/>
          <w:bottom w:w="0" w:type="dxa"/>
          <w:right w:w="0" w:type="dxa"/>
        </w:tblCellMar>
      </w:tblPr>
      <w:tr>
        <w:trPr>
          <w:trHeight w:val="209"/>
        </w:trPr>
        <w:tc>
          <w:tcPr>
            <w:tcW w:w="70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(Dollars in thousands)</w:t>
            </w:r>
          </w:p>
        </w:tc>
        <w:tc>
          <w:tcPr>
            <w:tcW w:w="58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7"/>
                <w:szCs w:val="17"/>
                <w:b w:val="1"/>
                <w:bCs w:val="1"/>
                <w:color w:val="auto"/>
              </w:rPr>
              <w:t>August 4, 2023</w:t>
            </w:r>
          </w:p>
        </w:tc>
        <w:tc>
          <w:tcPr>
            <w:tcW w:w="26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7"/>
                <w:szCs w:val="17"/>
                <w:b w:val="1"/>
                <w:bCs w:val="1"/>
                <w:color w:val="auto"/>
              </w:rPr>
              <w:t>July 29, 2022</w:t>
            </w:r>
          </w:p>
        </w:tc>
      </w:tr>
      <w:tr>
        <w:trPr>
          <w:trHeight w:val="210"/>
        </w:trPr>
        <w:tc>
          <w:tcPr>
            <w:tcW w:w="7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154,665</w:t>
            </w:r>
          </w:p>
        </w:tc>
        <w:tc>
          <w:tcPr>
            <w:tcW w:w="2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154,563</w:t>
            </w:r>
          </w:p>
        </w:tc>
      </w:tr>
      <w:tr>
        <w:trPr>
          <w:trHeight w:val="214"/>
        </w:trPr>
        <w:tc>
          <w:tcPr>
            <w:tcW w:w="706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Less: Purchases of property, plant and equipment, net of proceeds from insurance claim</w:t>
            </w:r>
          </w:p>
        </w:tc>
        <w:tc>
          <w:tcPr>
            <w:tcW w:w="5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98,586</w:t>
            </w: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75,772</w:t>
            </w:r>
          </w:p>
        </w:tc>
      </w:tr>
      <w:tr>
        <w:trPr>
          <w:trHeight w:val="211"/>
        </w:trPr>
        <w:tc>
          <w:tcPr>
            <w:tcW w:w="7060" w:type="dxa"/>
            <w:vAlign w:val="bottom"/>
            <w:shd w:val="clear" w:color="auto" w:fill="CCEEFF"/>
          </w:tcPr>
          <w:p>
            <w:pPr>
              <w:ind w:left="40"/>
              <w:spacing w:after="0"/>
              <w:rPr>
                <w:sz w:val="20"/>
                <w:szCs w:val="20"/>
                <w:color w:val="auto"/>
              </w:rPr>
            </w:pPr>
            <w:r>
              <w:rPr>
                <w:rFonts w:ascii="Arial" w:cs="Arial" w:eastAsia="Arial" w:hAnsi="Arial"/>
                <w:sz w:val="17"/>
                <w:szCs w:val="17"/>
                <w:color w:val="auto"/>
              </w:rPr>
              <w:t>Free cash flow</w:t>
            </w:r>
          </w:p>
        </w:tc>
        <w:tc>
          <w:tcPr>
            <w:tcW w:w="5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56,079</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78,791</w:t>
            </w:r>
          </w:p>
        </w:tc>
      </w:tr>
      <w:tr>
        <w:trPr>
          <w:trHeight w:val="214"/>
        </w:trPr>
        <w:tc>
          <w:tcPr>
            <w:tcW w:w="706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Net earnings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259,362</w:t>
            </w:r>
          </w:p>
        </w:tc>
        <w:tc>
          <w:tcPr>
            <w:tcW w:w="2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325,785</w:t>
            </w:r>
          </w:p>
        </w:tc>
      </w:tr>
      <w:tr>
        <w:trPr>
          <w:trHeight w:val="234"/>
        </w:trPr>
        <w:tc>
          <w:tcPr>
            <w:tcW w:w="70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Free cash flow conversion percentage</w:t>
            </w:r>
          </w:p>
        </w:tc>
        <w:tc>
          <w:tcPr>
            <w:tcW w:w="5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21.6 %</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24.2 %</w:t>
            </w:r>
          </w:p>
        </w:tc>
      </w:tr>
      <w:tr>
        <w:trPr>
          <w:trHeight w:val="20"/>
        </w:trPr>
        <w:tc>
          <w:tcPr>
            <w:tcW w:w="7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jc w:val="center"/>
        <w:ind w:right="160"/>
        <w:spacing w:after="0"/>
        <w:rPr>
          <w:sz w:val="20"/>
          <w:szCs w:val="20"/>
          <w:color w:val="auto"/>
        </w:rPr>
      </w:pPr>
      <w:r>
        <w:rPr>
          <w:rFonts w:ascii="Arial" w:cs="Arial" w:eastAsia="Arial" w:hAnsi="Arial"/>
          <w:sz w:val="14"/>
          <w:szCs w:val="14"/>
          <w:b w:val="1"/>
          <w:bCs w:val="1"/>
          <w:color w:val="auto"/>
        </w:rPr>
        <w:t>###</w:t>
      </w: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952"/>
    </w:lvl>
  </w:abstractNum>
  <w:abstractNum w:abstractNumId="2">
    <w:nsid w:val="507ED7AB"/>
    <w:multiLevelType w:val="hybridMultilevel"/>
    <w:lvl w:ilvl="0">
      <w:lvlJc w:val="left"/>
      <w:lvlText w:val="(%1)"/>
      <w:numFmt w:val="decimal"/>
      <w:start w:val="952"/>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bullet"/>
      <w:start w:val="1"/>
    </w:lvl>
  </w:abstractNum>
  <w:abstractNum w:abstractNumId="7">
    <w:nsid w:val="515F007C"/>
    <w:multiLevelType w:val="hybridMultilevel"/>
    <w:lvl w:ilvl="0">
      <w:lvlJc w:val="left"/>
      <w:lvlText w:val="2"/>
      <w:numFmt w:val="bullet"/>
      <w:start w:val="1"/>
    </w:lvl>
  </w:abstractNum>
  <w:abstractNum w:abstractNumId="8">
    <w:nsid w:val="5BD062C2"/>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2023-09-07T08:08:34Z</dcterms:created>
  <dcterms:modified xsi:type="dcterms:W3CDTF">2023-09-07T08:08:34Z</dcterms:modified>
</cp:coreProperties>
</file>