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-248920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322820" cy="66116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6611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0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2"/>
          <w:szCs w:val="22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MCINTYRE J LAWRENCE</w:t>
        </w:r>
      </w:hyperlink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2"/>
          <w:szCs w:val="22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Times New Roman" w:cs="Times New Roman" w:eastAsia="Times New Roman" w:hAnsi="Times New Roman"/>
            <w:sz w:val="22"/>
            <w:szCs w:val="22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[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TTC</w:t>
      </w:r>
      <w:r>
        <w:rPr>
          <w:rFonts w:ascii="Times New Roman" w:cs="Times New Roman" w:eastAsia="Times New Roman" w:hAnsi="Times New Roman"/>
          <w:sz w:val="22"/>
          <w:szCs w:val="22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2"/>
          <w:szCs w:val="22"/>
          <w:color w:val="000000"/>
        </w:rPr>
        <w:t>]</w:t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08/26/2004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20" w:hanging="3"/>
        <w:spacing w:after="0" w:line="250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54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Vice President, Secretary &amp; Ge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0" w:right="13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0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15.813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6,028.866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08/26/2004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</w:t>
            </w: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62.4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1,028.866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 w:line="21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3"/>
              </w:rPr>
              <w:t>10,531.062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0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9"/>
              </w:rPr>
              <w:t>I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10,261.541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7"/>
              </w:rPr>
              <w:t>5,130.756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28,042.281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jc w:val="center"/>
              <w:ind w:right="3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80" w:type="dxa"/>
            <w:vAlign w:val="bottom"/>
            <w:gridSpan w:val="8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15.813</w:t>
            </w:r>
          </w:p>
        </w:tc>
        <w:tc>
          <w:tcPr>
            <w:tcW w:w="108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08/26/2004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12/15/2003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12/31/2006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  <w:w w:val="95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5,000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15.8125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5,000</w:t>
            </w:r>
          </w:p>
        </w:tc>
        <w:tc>
          <w:tcPr>
            <w:tcW w:w="6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Option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Ongoing acquisition on account under Investment, Savings and Employee Stock Ownership Plan, exempt from Section 16(a) under Rule 16a-3(f)(1)(i)(B) and from Section 16(b) under Rule 16b-3(c).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N. Jeanne Ryan, Atty-In-Fact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08/30/2004</w:t>
            </w:r>
          </w:p>
        </w:tc>
      </w:tr>
      <w:tr>
        <w:trPr>
          <w:trHeight w:val="20"/>
        </w:trPr>
        <w:tc>
          <w:tcPr>
            <w:tcW w:w="20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0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67150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2019-12-16T04:20:47Z</dcterms:created>
  <dcterms:modified xsi:type="dcterms:W3CDTF">2019-12-16T04:20:47Z</dcterms:modified>
</cp:coreProperties>
</file>