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80" w:hanging="441"/>
        <w:spacing w:after="0"/>
        <w:tabs>
          <w:tab w:leader="none" w:pos="7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2, 2014</w:t>
      </w:r>
    </w:p>
    <w:p>
      <w:pPr>
        <w:spacing w:after="0" w:line="216" w:lineRule="exact"/>
        <w:rPr>
          <w:sz w:val="24"/>
          <w:szCs w:val="24"/>
          <w:color w:val="auto"/>
        </w:rPr>
      </w:pPr>
    </w:p>
    <w:p>
      <w:pPr>
        <w:ind w:left="780" w:hanging="441"/>
        <w:spacing w:after="0"/>
        <w:tabs>
          <w:tab w:leader="none" w:pos="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233" w:right="239" w:bottom="0" w:gutter="0" w:footer="0" w:header="0"/>
        </w:sectPr>
      </w:pPr>
    </w:p>
    <w:p>
      <w:pPr>
        <w:spacing w:after="0" w:line="250" w:lineRule="exact"/>
        <w:rPr>
          <w:sz w:val="24"/>
          <w:szCs w:val="24"/>
          <w:color w:val="auto"/>
        </w:rPr>
      </w:pPr>
    </w:p>
    <w:p>
      <w:pPr>
        <w:ind w:left="40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360"/>
            <w:col w:w="4580"/>
          </w:cols>
          <w:pgMar w:left="240" w:top="233" w:right="239" w:bottom="0" w:gutter="0" w:footer="0" w:header="0"/>
          <w:type w:val="continuous"/>
        </w:sectPr>
      </w:pP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33" w:right="239" w:bottom="0" w:gutter="0" w:footer="0" w:header="0"/>
          <w:type w:val="continuous"/>
        </w:sectPr>
      </w:pPr>
    </w:p>
    <w:p>
      <w:pPr>
        <w:spacing w:after="0" w:line="22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37"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May 27, 2014 was 55,670,673.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Page</w:t>
            </w: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Number</w:t>
            </w: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4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900" w:type="dxa"/>
            <w:vAlign w:val="bottom"/>
          </w:tcPr>
          <w:p>
            <w:pPr>
              <w:spacing w:after="0"/>
              <w:rPr>
                <w:sz w:val="24"/>
                <w:szCs w:val="24"/>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440" w:type="dxa"/>
            <w:vAlign w:val="bottom"/>
          </w:tcPr>
          <w:p>
            <w:pPr>
              <w:spacing w:after="0"/>
              <w:rPr>
                <w:sz w:val="24"/>
                <w:szCs w:val="24"/>
                <w:color w:val="auto"/>
              </w:rPr>
            </w:pPr>
          </w:p>
        </w:tc>
        <w:tc>
          <w:tcPr>
            <w:tcW w:w="2440" w:type="dxa"/>
            <w:vAlign w:val="bottom"/>
            <w:tcBorders>
              <w:top w:val="single" w:sz="8" w:color="0000EE"/>
            </w:tcBorders>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00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80" w:type="dxa"/>
            <w:vAlign w:val="bottom"/>
            <w:gridSpan w:val="10"/>
          </w:tcPr>
          <w:p>
            <w:pPr>
              <w:spacing w:after="0" w:line="196" w:lineRule="exact"/>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Earnings (Unaudited) — Three and Six Months Ended May 2, 2014 and May 3, 2013</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Statements of Comprehensive Income (Unaudited) — Three and Six Months Ended May 2, 2014</w:t>
              </w:r>
            </w:hyperlink>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and May 3, 2013</w:t>
              </w:r>
            </w:hyperlink>
          </w:p>
        </w:tc>
        <w:tc>
          <w:tcPr>
            <w:tcW w:w="7680" w:type="dxa"/>
            <w:vAlign w:val="bottom"/>
            <w:gridSpan w:val="7"/>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 — May 2, 2014, May 3, 2013, and October 31, 2013</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00" w:type="dxa"/>
            <w:vAlign w:val="bottom"/>
            <w:gridSpan w:val="5"/>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(Unaudited) — Six Months Ended May 2, 2014 and May 3, 2013</w:t>
              </w:r>
            </w:hyperlink>
          </w:p>
        </w:tc>
        <w:tc>
          <w:tcPr>
            <w:tcW w:w="6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8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4"/>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360" w:type="dxa"/>
            <w:vAlign w:val="bottom"/>
          </w:tcPr>
          <w:p>
            <w:pPr>
              <w:spacing w:after="0"/>
              <w:rPr>
                <w:sz w:val="17"/>
                <w:szCs w:val="17"/>
                <w:color w:val="auto"/>
              </w:rPr>
            </w:pPr>
          </w:p>
        </w:tc>
        <w:tc>
          <w:tcPr>
            <w:tcW w:w="6460" w:type="dxa"/>
            <w:vAlign w:val="bottom"/>
            <w:gridSpan w:val="8"/>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16-25</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3.</w:t>
              </w:r>
            </w:hyperlink>
          </w:p>
        </w:tc>
        <w:tc>
          <w:tcPr>
            <w:tcW w:w="360" w:type="dxa"/>
            <w:vAlign w:val="bottom"/>
          </w:tcPr>
          <w:p>
            <w:pPr>
              <w:spacing w:after="0"/>
              <w:rPr>
                <w:sz w:val="24"/>
                <w:szCs w:val="24"/>
                <w:color w:val="auto"/>
              </w:rPr>
            </w:pPr>
          </w:p>
        </w:tc>
        <w:tc>
          <w:tcPr>
            <w:tcW w:w="646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420" w:type="dxa"/>
            <w:vAlign w:val="bottom"/>
            <w:tcBorders>
              <w:bottom w:val="single" w:sz="8" w:color="0000EE"/>
            </w:tcBorders>
            <w:shd w:val="clear" w:color="auto" w:fill="0000EE"/>
          </w:tcPr>
          <w:p>
            <w:pPr>
              <w:spacing w:after="0" w:line="20" w:lineRule="exact"/>
              <w:rPr>
                <w:sz w:val="1"/>
                <w:szCs w:val="1"/>
                <w:color w:val="auto"/>
              </w:rPr>
            </w:pPr>
          </w:p>
        </w:tc>
        <w:tc>
          <w:tcPr>
            <w:tcW w:w="44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254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392"/>
        </w:trPr>
        <w:tc>
          <w:tcPr>
            <w:tcW w:w="108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360" w:type="dxa"/>
            <w:vAlign w:val="bottom"/>
          </w:tcPr>
          <w:p>
            <w:pPr>
              <w:spacing w:after="0"/>
              <w:rPr>
                <w:sz w:val="24"/>
                <w:szCs w:val="24"/>
                <w:color w:val="auto"/>
              </w:rPr>
            </w:pPr>
          </w:p>
        </w:tc>
        <w:tc>
          <w:tcPr>
            <w:tcW w:w="6460" w:type="dxa"/>
            <w:vAlign w:val="bottom"/>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820" w:type="dxa"/>
            <w:vAlign w:val="bottom"/>
            <w:gridSpan w:val="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3560" w:type="dxa"/>
            <w:vAlign w:val="bottom"/>
          </w:tcPr>
          <w:p>
            <w:pPr>
              <w:spacing w:after="0"/>
              <w:rPr>
                <w:sz w:val="24"/>
                <w:szCs w:val="24"/>
                <w:color w:val="auto"/>
              </w:rPr>
            </w:pPr>
          </w:p>
        </w:tc>
      </w:tr>
      <w:tr>
        <w:trPr>
          <w:trHeight w:val="412"/>
        </w:trPr>
        <w:tc>
          <w:tcPr>
            <w:tcW w:w="700" w:type="dxa"/>
            <w:vAlign w:val="bottom"/>
            <w:tcBorders>
              <w:top w:val="single" w:sz="8" w:color="0000EE"/>
            </w:tcBorders>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3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4700" w:type="dxa"/>
            <w:vAlign w:val="bottom"/>
            <w:gridSpan w:val="3"/>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4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5560" w:type="dxa"/>
            <w:vAlign w:val="bottom"/>
            <w:gridSpan w:val="5"/>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0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360" w:type="dxa"/>
            <w:vAlign w:val="bottom"/>
          </w:tcPr>
          <w:p>
            <w:pPr>
              <w:spacing w:after="0"/>
              <w:rPr>
                <w:sz w:val="24"/>
                <w:szCs w:val="24"/>
                <w:color w:val="auto"/>
              </w:rPr>
            </w:pPr>
          </w:p>
        </w:tc>
        <w:tc>
          <w:tcPr>
            <w:tcW w:w="646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80" w:type="dxa"/>
            <w:vAlign w:val="bottom"/>
            <w:gridSpan w:val="5"/>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1080" w:type="dxa"/>
            <w:vAlign w:val="bottom"/>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360" w:type="dxa"/>
            <w:vAlign w:val="bottom"/>
          </w:tcPr>
          <w:p>
            <w:pPr>
              <w:spacing w:after="0"/>
              <w:rPr>
                <w:sz w:val="24"/>
                <w:szCs w:val="24"/>
                <w:color w:val="auto"/>
              </w:rPr>
            </w:pPr>
          </w:p>
        </w:tc>
        <w:tc>
          <w:tcPr>
            <w:tcW w:w="646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1">
              <w:r>
                <w:rPr>
                  <w:rFonts w:ascii="Arial" w:cs="Arial" w:eastAsia="Arial" w:hAnsi="Arial"/>
                  <w:sz w:val="18"/>
                  <w:szCs w:val="18"/>
                  <w:color w:val="0000EE"/>
                  <w:w w:val="85"/>
                </w:rPr>
                <w:t>Signatures</w:t>
              </w:r>
            </w:hyperlink>
          </w:p>
        </w:tc>
        <w:tc>
          <w:tcPr>
            <w:tcW w:w="5700" w:type="dxa"/>
            <w:vAlign w:val="bottom"/>
            <w:gridSpan w:val="6"/>
          </w:tcPr>
          <w:p>
            <w:pPr>
              <w:spacing w:after="0"/>
              <w:rPr>
                <w:sz w:val="24"/>
                <w:szCs w:val="24"/>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00" w:type="dxa"/>
            <w:vAlign w:val="bottom"/>
            <w:gridSpan w:val="8"/>
          </w:tcPr>
          <w:p>
            <w:pPr>
              <w:jc w:val="right"/>
              <w:ind w:right="2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5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4"/>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74"/>
              <w:spacing w:after="0" w:line="119" w:lineRule="exact"/>
              <w:rPr>
                <w:sz w:val="20"/>
                <w:szCs w:val="20"/>
                <w:color w:val="auto"/>
              </w:rPr>
            </w:pPr>
            <w:r>
              <w:rPr>
                <w:rFonts w:ascii="Arial" w:cs="Arial" w:eastAsia="Arial" w:hAnsi="Arial"/>
                <w:sz w:val="13"/>
                <w:szCs w:val="13"/>
                <w:b w:val="1"/>
                <w:bCs w:val="1"/>
                <w:color w:val="auto"/>
              </w:rPr>
              <w:t>May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480,490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452,185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762,957</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731,029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264,540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428,054</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134,830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256,577</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254,443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130,879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171,477</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(7,436)</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167,871</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42,030</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54,916</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3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87,086</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78,402</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112,955</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109,798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6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6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56,493</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58,132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56,758</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57,773</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59,257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58,040</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59,444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00" w:type="dxa"/>
            <w:vAlign w:val="bottom"/>
            <w:gridSpan w:val="8"/>
          </w:tcPr>
          <w:p>
            <w:pPr>
              <w:jc w:val="center"/>
              <w:ind w:left="3110"/>
              <w:spacing w:after="0"/>
              <w:rPr>
                <w:sz w:val="20"/>
                <w:szCs w:val="20"/>
                <w:color w:val="auto"/>
              </w:rPr>
            </w:pPr>
            <w:r>
              <w:rPr>
                <w:rFonts w:ascii="Arial" w:cs="Arial" w:eastAsia="Arial" w:hAnsi="Arial"/>
                <w:sz w:val="18"/>
                <w:szCs w:val="18"/>
                <w:b w:val="1"/>
                <w:bCs w:val="1"/>
                <w:color w:val="auto"/>
              </w:rPr>
              <w:t>THE TORO COMPANY AND SUBSIDIARIES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10"/>
          </w:tcPr>
          <w:p>
            <w:pPr>
              <w:jc w:val="center"/>
              <w:ind w:left="2610"/>
              <w:spacing w:after="0"/>
              <w:rPr>
                <w:sz w:val="20"/>
                <w:szCs w:val="20"/>
                <w:color w:val="auto"/>
              </w:rPr>
            </w:pPr>
            <w:r>
              <w:rPr>
                <w:rFonts w:ascii="Arial" w:cs="Arial" w:eastAsia="Arial" w:hAnsi="Arial"/>
                <w:sz w:val="18"/>
                <w:szCs w:val="18"/>
                <w:b w:val="1"/>
                <w:bCs w:val="1"/>
                <w:color w:val="auto"/>
                <w:w w:val="88"/>
              </w:rPr>
              <w:t>Condensed Consolidated Statements of Comprehensive Income (Unaudited)</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0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9"/>
              </w:rPr>
              <w:t>(Dollars in thousands)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94"/>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374"/>
              <w:spacing w:after="0" w:line="119" w:lineRule="exact"/>
              <w:rPr>
                <w:sz w:val="20"/>
                <w:szCs w:val="20"/>
                <w:color w:val="auto"/>
              </w:rPr>
            </w:pPr>
            <w:r>
              <w:rPr>
                <w:rFonts w:ascii="Arial" w:cs="Arial" w:eastAsia="Arial" w:hAnsi="Arial"/>
                <w:sz w:val="13"/>
                <w:szCs w:val="13"/>
                <w:b w:val="1"/>
                <w:bCs w:val="1"/>
                <w:color w:val="auto"/>
              </w:rPr>
              <w:t>May 3,</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87,086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112,955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tcPr>
          <w:p>
            <w:pPr>
              <w:ind w:left="160"/>
              <w:spacing w:after="0" w:line="201" w:lineRule="exact"/>
              <w:rPr>
                <w:sz w:val="20"/>
                <w:szCs w:val="20"/>
                <w:color w:val="auto"/>
              </w:rPr>
            </w:pPr>
            <w:r>
              <w:rPr>
                <w:rFonts w:ascii="Arial" w:cs="Arial" w:eastAsia="Arial" w:hAnsi="Arial"/>
                <w:sz w:val="18"/>
                <w:szCs w:val="18"/>
                <w:color w:val="auto"/>
                <w:w w:val="96"/>
              </w:rPr>
              <w:t>Derivative instruments, net of tax of $(482), $1,030, $360,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and $634, respectively</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(719)</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590</w:t>
            </w:r>
          </w:p>
        </w:tc>
        <w:tc>
          <w:tcPr>
            <w:tcW w:w="4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89,755</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114,706</w:t>
            </w:r>
          </w:p>
        </w:tc>
        <w:tc>
          <w:tcPr>
            <w:tcW w:w="2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324" w:right="19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May 2,</w:t>
            </w:r>
          </w:p>
        </w:tc>
        <w:tc>
          <w:tcPr>
            <w:tcW w:w="28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May 3,</w:t>
            </w:r>
          </w:p>
        </w:tc>
        <w:tc>
          <w:tcPr>
            <w:tcW w:w="200" w:type="dxa"/>
            <w:vAlign w:val="bottom"/>
          </w:tcPr>
          <w:p>
            <w:pPr>
              <w:spacing w:after="0"/>
              <w:rPr>
                <w:sz w:val="14"/>
                <w:szCs w:val="1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129,909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80,341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182,993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313,489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307,770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302,477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309,998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240,089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29,218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39,261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62,768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814,354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791,311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653,267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752,044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703,104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721,504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559,293</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526,044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536,408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25,942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27,696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25,381</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91,812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92,049</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26,691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29,153</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28,308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1,179,246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140</w:t>
            </w:r>
          </w:p>
        </w:tc>
        <w:tc>
          <w:tcPr>
            <w:tcW w:w="280" w:type="dxa"/>
            <w:vAlign w:val="bottom"/>
            <w:tcBorders>
              <w:top w:val="single" w:sz="8" w:color="CCEEFF"/>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250</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235,971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203,710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302,515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294,648</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252,687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538,626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498,608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223,855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223,513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10,891</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10,605</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5,969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14,355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6,287</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Preferred stock, par value $1.00 per share, authorized 1,000,000 voting and 850,000</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non-voting shares, none issued and outstanding</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3"/>
          </w:tcPr>
          <w:p>
            <w:pPr>
              <w:spacing w:after="0" w:line="201" w:lineRule="exact"/>
              <w:rPr>
                <w:sz w:val="20"/>
                <w:szCs w:val="20"/>
                <w:color w:val="auto"/>
              </w:rPr>
            </w:pPr>
            <w:r>
              <w:rPr>
                <w:rFonts w:ascii="Arial" w:cs="Arial" w:eastAsia="Arial" w:hAnsi="Arial"/>
                <w:sz w:val="18"/>
                <w:szCs w:val="18"/>
                <w:color w:val="auto"/>
                <w:w w:val="95"/>
              </w:rPr>
              <w:t>Common stock, par value $1.00 per share, authorized 175,000,000 shares; issued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w w:val="97"/>
              </w:rPr>
              <w:t>outstanding 55,887,096 shares as of May 2, 2014, 57,615,679 shares as of May 3,</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2013, and 56,788,723 shares as of October 31, 2013</w:t>
            </w:r>
          </w:p>
        </w:tc>
        <w:tc>
          <w:tcPr>
            <w:tcW w:w="28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55,887</w:t>
            </w:r>
          </w:p>
        </w:tc>
        <w:tc>
          <w:tcPr>
            <w:tcW w:w="28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57,616</w:t>
            </w:r>
          </w:p>
        </w:tc>
        <w:tc>
          <w:tcPr>
            <w:tcW w:w="2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56,789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340,482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324,181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314,519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(10,819)</w:t>
            </w: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(8,754)</w:t>
            </w: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385,550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373,043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1,179,246</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1,114,954</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7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Pr>
          <w:p>
            <w:pPr>
              <w:spacing w:after="0"/>
              <w:rPr>
                <w:sz w:val="10"/>
                <w:szCs w:val="10"/>
                <w:color w:val="auto"/>
              </w:rPr>
            </w:pPr>
          </w:p>
        </w:tc>
        <w:tc>
          <w:tcPr>
            <w:tcW w:w="92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May 3,</w:t>
            </w:r>
          </w:p>
        </w:tc>
        <w:tc>
          <w:tcPr>
            <w:tcW w:w="100" w:type="dxa"/>
            <w:vAlign w:val="bottom"/>
          </w:tcPr>
          <w:p>
            <w:pPr>
              <w:spacing w:after="0"/>
              <w:rPr>
                <w:sz w:val="10"/>
                <w:szCs w:val="10"/>
                <w:color w:val="auto"/>
              </w:rPr>
            </w:pPr>
          </w:p>
        </w:tc>
      </w:tr>
      <w:tr>
        <w:trPr>
          <w:trHeight w:val="171"/>
        </w:trPr>
        <w:tc>
          <w:tcPr>
            <w:tcW w:w="74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112,955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109,798</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(3,377)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(3,532)</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26,890</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5,051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5,336</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deferred income taxes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7420" w:type="dxa"/>
            <w:vAlign w:val="bottom"/>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 net of effect of acquisition: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(156,423)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(160,534)</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(62,072)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(59,082)</w:t>
            </w: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4,285</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(3,486)</w:t>
            </w:r>
          </w:p>
        </w:tc>
      </w:tr>
      <w:tr>
        <w:trPr>
          <w:trHeight w:val="216"/>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150,836</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120,896</w:t>
            </w:r>
          </w:p>
        </w:tc>
      </w:tr>
      <w:tr>
        <w:trPr>
          <w:trHeight w:val="210"/>
        </w:trPr>
        <w:tc>
          <w:tcPr>
            <w:tcW w:w="74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77,949</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36,648</w:t>
            </w:r>
          </w:p>
        </w:tc>
        <w:tc>
          <w:tcPr>
            <w:tcW w:w="100" w:type="dxa"/>
            <w:vAlign w:val="bottom"/>
            <w:tcBorders>
              <w:bottom w:val="single" w:sz="8" w:color="CCEEFF"/>
            </w:tcBorders>
          </w:tcPr>
          <w:p>
            <w:pPr>
              <w:spacing w:after="0"/>
              <w:rPr>
                <w:sz w:val="18"/>
                <w:szCs w:val="18"/>
                <w:color w:val="auto"/>
              </w:rPr>
            </w:pPr>
          </w:p>
        </w:tc>
      </w:tr>
      <w:tr>
        <w:trPr>
          <w:trHeight w:val="210"/>
        </w:trPr>
        <w:tc>
          <w:tcPr>
            <w:tcW w:w="7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(32,682)</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to finance affiliate, net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(4,868)</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Acquisition, net of cash acquired</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Repayments of short-term debt</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(849)</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(repayments of) long-term debt</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6,657</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(81,694)</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(50,499)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(22,670)</w:t>
            </w: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17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(93,736)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(57,676)</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(53,084)</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182,993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7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129,909</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six months ended May 2, 2014 cannot be annualized to determine the expected results for the fiscal year ending October 31, 2014.</w:t>
      </w:r>
    </w:p>
    <w:p>
      <w:pPr>
        <w:spacing w:after="0" w:line="17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2013.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December 2011, the Financial Accounting Standards Board issued Accounting Standards Update (“ASU”) No. 2011-11, Disclosures about Offsetting Assets and Liabilities. ASU No. 2011-11 requires entities to disclose gross and net information about both instruments and transactions eligible for offset in the statement of financial position and those subject to an agreement similar to a master netting arrangement, including derivatives and other financial securities arrangements. The company adopted this guidance in the first quarter of fiscal 2014, as required. The adoption of this guidance did not have a material impact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first quarter of fiscal 2014, the company completed the acquisition of certain assets for a quality value-priced line of outdoor lighting fixtures and accessories for the landscape lighting market. The acquisition was accounted for as a business combination and was immaterial based on the company’s consolidated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incentive compensation accruals, inventory valuation, warranty reserves, earnout liabilities, allowance for doubtful accounts, pension and postretirement accruals, self-insurance accruals, useful lives for tangible and intangible assets, and future cash flows associated with impairment testing for goodwill and other long-lived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ectPr>
          <w:pgSz w:w="11900" w:h="16838" w:orient="portrait"/>
          <w:cols w:equalWidth="0" w:num="1">
            <w:col w:w="11420"/>
          </w:cols>
          <w:pgMar w:left="240" w:top="140" w:right="239" w:bottom="0" w:gutter="0" w:footer="0" w:header="0"/>
        </w:sectPr>
      </w:pPr>
    </w:p>
    <w:bookmarkStart w:id="4" w:name="page5"/>
    <w:bookmarkEnd w:id="4"/>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company’s incentive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on an annual basis in the first quarter of the company’s fiscal year. Options generally vest one-third each year over a three-year period and have a ten-year term. Other options granted to certain non-officer employees vest in full on the three-year anniversary of the date of grant and have a ten-year term. Compensation expense equal to the grant date fair value is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awards vest immediately upon retirement, and therefore, the fair value of the options granted is fully expensed on the date of the grant.</w:t>
      </w:r>
    </w:p>
    <w:p>
      <w:pPr>
        <w:spacing w:after="0" w:line="17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historical cash dividends paid, expected future cash dividends and dividend yield, and expected changes in the company’s stock price.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020" w:type="dxa"/>
            <w:vAlign w:val="bottom"/>
            <w:gridSpan w:val="2"/>
          </w:tcPr>
          <w:p>
            <w:pPr>
              <w:ind w:left="580"/>
              <w:spacing w:after="0"/>
              <w:rPr>
                <w:sz w:val="20"/>
                <w:szCs w:val="20"/>
                <w:color w:val="auto"/>
              </w:rPr>
            </w:pPr>
            <w:r>
              <w:rPr>
                <w:rFonts w:ascii="Arial" w:cs="Arial" w:eastAsia="Arial" w:hAnsi="Arial"/>
                <w:sz w:val="14"/>
                <w:szCs w:val="14"/>
                <w:b w:val="1"/>
                <w:bCs w:val="1"/>
                <w:color w:val="auto"/>
              </w:rPr>
              <w:t>Fiscal 2014</w:t>
            </w:r>
          </w:p>
        </w:tc>
        <w:tc>
          <w:tcPr>
            <w:tcW w:w="1900" w:type="dxa"/>
            <w:vAlign w:val="bottom"/>
            <w:gridSpan w:val="2"/>
          </w:tcPr>
          <w:p>
            <w:pPr>
              <w:ind w:left="560"/>
              <w:spacing w:after="0"/>
              <w:rPr>
                <w:sz w:val="20"/>
                <w:szCs w:val="20"/>
                <w:color w:val="auto"/>
              </w:rPr>
            </w:pPr>
            <w:r>
              <w:rPr>
                <w:rFonts w:ascii="Arial" w:cs="Arial" w:eastAsia="Arial" w:hAnsi="Arial"/>
                <w:sz w:val="14"/>
                <w:szCs w:val="14"/>
                <w:b w:val="1"/>
                <w:bCs w:val="1"/>
                <w:color w:val="auto"/>
              </w:rPr>
              <w:t>Fiscal 2013</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34.28% - 34.42%</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35.18% - 35.19%</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34.29%</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35.19%</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1.92%</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0.88%</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1.25% - 1.27%</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1.04% - 1.07%</w:t>
            </w:r>
          </w:p>
        </w:tc>
        <w:tc>
          <w:tcPr>
            <w:tcW w:w="8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1.07%</w:t>
            </w:r>
          </w:p>
        </w:tc>
        <w:tc>
          <w:tcPr>
            <w:tcW w:w="8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Grant date per share weighted-average fair value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$18.69</w:t>
            </w: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grants performance share awards to executive officers and other employees under which they are entitled to receive shares of the company’s common stock contingent on the achievement of performance goals of the company and businesses of the company, which are generally measured over a three-year period. The number of shares of common stock a participant receives will be increased (up to 200 percent of target levels) or reduced (down to zero) based on the level of achievement of performance goals and vest at the end of a three-year period. Performance share awards are generally granted on an annual basis in the first quarter of the company’s fiscal year. Compensation expense is recognized for these awards on a straight-line basis over the vesting period based on the per share fair value as of the date of grant and the probability of achieving each performance goal. The per share fair value of performance share awards granted during the first quarter of each of fiscal 2014 and 2013 was $59.31 and $42.06, respectively. No performance share awards were granted during the second quarter of fiscal 2014 or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 Awards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company’s incentive plan, restricted stock and restricted stock unit awards are generally granted to certain non-officer employees. Occasionally, restricted stock or restricted stock unit awards may be granted, including to officers, in connection with hiring, mid-year promotions, leadership transition, or retention. Restricted stock and restricted stock unit awards generally vest one-third each year over a three-year period, or vest in full on the three-year anniversary of the date of grant. Such awards may have performance-based rather than time-based vesting requirements. Compensation expense equal to the grant date fair value, which is equal to the closing price of the company’s common stock on the date of grant multiplied by the number of shares subject to the restricted stock and restricted stock unit awards, is recognized for these awards over the vesting period. The per share weighted-average fair value of restricted stock and restricted stock unit awards granted during the first six months of fiscal 2014 and 2013 was $59.59 and $42.50, respectively.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7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4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May 2,</w:t>
            </w:r>
          </w:p>
        </w:tc>
        <w:tc>
          <w:tcPr>
            <w:tcW w:w="1220" w:type="dxa"/>
            <w:vAlign w:val="bottom"/>
            <w:tcBorders>
              <w:top w:val="single" w:sz="8" w:color="auto"/>
            </w:tcBorders>
          </w:tcPr>
          <w:p>
            <w:pPr>
              <w:jc w:val="right"/>
              <w:ind w:right="320"/>
              <w:spacing w:after="0" w:line="119" w:lineRule="exact"/>
              <w:rPr>
                <w:sz w:val="20"/>
                <w:szCs w:val="20"/>
                <w:color w:val="auto"/>
              </w:rPr>
            </w:pPr>
            <w:r>
              <w:rPr>
                <w:rFonts w:ascii="Arial" w:cs="Arial" w:eastAsia="Arial" w:hAnsi="Arial"/>
                <w:sz w:val="13"/>
                <w:szCs w:val="13"/>
                <w:b w:val="1"/>
                <w:bCs w:val="1"/>
                <w:color w:val="auto"/>
              </w:rPr>
              <w:t>May 3,</w:t>
            </w:r>
          </w:p>
        </w:tc>
        <w:tc>
          <w:tcPr>
            <w:tcW w:w="240" w:type="dxa"/>
            <w:vAlign w:val="bottom"/>
          </w:tcPr>
          <w:p>
            <w:pPr>
              <w:spacing w:after="0"/>
              <w:rPr>
                <w:sz w:val="10"/>
                <w:szCs w:val="10"/>
                <w:color w:val="auto"/>
              </w:rPr>
            </w:pPr>
          </w:p>
        </w:tc>
        <w:tc>
          <w:tcPr>
            <w:tcW w:w="1460" w:type="dxa"/>
            <w:vAlign w:val="bottom"/>
            <w:tcBorders>
              <w:top w:val="single" w:sz="8" w:color="auto"/>
            </w:tcBorders>
            <w:gridSpan w:val="2"/>
          </w:tcPr>
          <w:p>
            <w:pPr>
              <w:ind w:left="400"/>
              <w:spacing w:after="0" w:line="119" w:lineRule="exact"/>
              <w:rPr>
                <w:sz w:val="20"/>
                <w:szCs w:val="20"/>
                <w:color w:val="auto"/>
              </w:rPr>
            </w:pPr>
            <w:r>
              <w:rPr>
                <w:rFonts w:ascii="Arial" w:cs="Arial" w:eastAsia="Arial" w:hAnsi="Arial"/>
                <w:sz w:val="13"/>
                <w:szCs w:val="13"/>
                <w:b w:val="1"/>
                <w:bCs w:val="1"/>
                <w:color w:val="auto"/>
              </w:rPr>
              <w:t>May 2,</w:t>
            </w:r>
          </w:p>
        </w:tc>
        <w:tc>
          <w:tcPr>
            <w:tcW w:w="1160" w:type="dxa"/>
            <w:vAlign w:val="bottom"/>
            <w:tcBorders>
              <w:top w:val="single" w:sz="8" w:color="auto"/>
            </w:tcBorders>
          </w:tcPr>
          <w:p>
            <w:pPr>
              <w:jc w:val="right"/>
              <w:ind w:right="280"/>
              <w:spacing w:after="0" w:line="119" w:lineRule="exact"/>
              <w:rPr>
                <w:sz w:val="20"/>
                <w:szCs w:val="20"/>
                <w:color w:val="auto"/>
              </w:rPr>
            </w:pPr>
            <w:r>
              <w:rPr>
                <w:rFonts w:ascii="Arial" w:cs="Arial" w:eastAsia="Arial" w:hAnsi="Arial"/>
                <w:sz w:val="13"/>
                <w:szCs w:val="13"/>
                <w:b w:val="1"/>
                <w:bCs w:val="1"/>
                <w:color w:val="auto"/>
              </w:rPr>
              <w:t>May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gridSpan w:val="4"/>
            <w:vMerge w:val="continue"/>
          </w:tcPr>
          <w:p>
            <w:pPr>
              <w:spacing w:after="0"/>
              <w:rPr>
                <w:sz w:val="14"/>
                <w:szCs w:val="14"/>
                <w:color w:val="auto"/>
              </w:rPr>
            </w:pPr>
          </w:p>
        </w:tc>
        <w:tc>
          <w:tcPr>
            <w:tcW w:w="1220" w:type="dxa"/>
            <w:vAlign w:val="bottom"/>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220" w:type="dxa"/>
            <w:vAlign w:val="bottom"/>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220" w:type="dxa"/>
            <w:vAlign w:val="bottom"/>
          </w:tcPr>
          <w:p>
            <w:pPr>
              <w:jc w:val="right"/>
              <w:ind w:right="382"/>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4"/>
                <w:szCs w:val="14"/>
                <w:color w:val="auto"/>
              </w:rPr>
            </w:pPr>
          </w:p>
        </w:tc>
        <w:tc>
          <w:tcPr>
            <w:tcW w:w="1160" w:type="dxa"/>
            <w:vAlign w:val="bottom"/>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56,493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58,132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56,732</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58,260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97" w:orient="portrait"/>
          <w:cols w:equalWidth="0" w:num="1">
            <w:col w:w="11420"/>
          </w:cols>
          <w:pgMar w:left="240" w:top="341" w:right="239" w:bottom="0" w:gutter="0" w:footer="0" w:header="0"/>
        </w:sectPr>
      </w:pPr>
    </w:p>
    <w:bookmarkStart w:id="5" w:name="page6"/>
    <w:bookmarkEnd w:id="5"/>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gridSpan w:val="3"/>
          </w:tcPr>
          <w:p>
            <w:pPr>
              <w:spacing w:after="0"/>
              <w:rPr>
                <w:sz w:val="20"/>
                <w:szCs w:val="20"/>
                <w:color w:val="auto"/>
              </w:rPr>
            </w:pPr>
            <w:r>
              <w:rPr>
                <w:rFonts w:ascii="Arial" w:cs="Arial" w:eastAsia="Arial" w:hAnsi="Arial"/>
                <w:sz w:val="18"/>
                <w:szCs w:val="18"/>
                <w:color w:val="auto"/>
              </w:rPr>
              <w:t>Weighted-average number of shares of common stock and</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56,493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58,132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56,758</w:t>
            </w:r>
          </w:p>
        </w:tc>
        <w:tc>
          <w:tcPr>
            <w:tcW w:w="1160" w:type="dxa"/>
            <w:vAlign w:val="bottom"/>
          </w:tcPr>
          <w:p>
            <w:pPr>
              <w:jc w:val="right"/>
              <w:spacing w:after="0"/>
              <w:rPr>
                <w:sz w:val="20"/>
                <w:szCs w:val="20"/>
                <w:color w:val="auto"/>
              </w:rPr>
            </w:pPr>
            <w:r>
              <w:rPr>
                <w:rFonts w:ascii="Arial" w:cs="Arial" w:eastAsia="Arial" w:hAnsi="Arial"/>
                <w:sz w:val="18"/>
                <w:szCs w:val="18"/>
                <w:color w:val="auto"/>
              </w:rPr>
              <w:t>58,308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22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40" w:type="dxa"/>
            <w:vAlign w:val="bottom"/>
            <w:gridSpan w:val="2"/>
          </w:tcPr>
          <w:p>
            <w:pPr>
              <w:spacing w:after="0" w:line="201" w:lineRule="exact"/>
              <w:rPr>
                <w:sz w:val="20"/>
                <w:szCs w:val="20"/>
                <w:color w:val="auto"/>
              </w:rPr>
            </w:pPr>
            <w:r>
              <w:rPr>
                <w:rFonts w:ascii="Arial" w:cs="Arial" w:eastAsia="Arial" w:hAnsi="Arial"/>
                <w:sz w:val="18"/>
                <w:szCs w:val="18"/>
                <w:color w:val="auto"/>
              </w:rPr>
              <w:t>Weighted-average number of shares of common stock and</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56,493</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58,132</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56,758</w:t>
            </w:r>
          </w:p>
        </w:tc>
        <w:tc>
          <w:tcPr>
            <w:tcW w:w="1160" w:type="dxa"/>
            <w:vAlign w:val="bottom"/>
          </w:tcPr>
          <w:p>
            <w:pPr>
              <w:jc w:val="right"/>
              <w:spacing w:after="0"/>
              <w:rPr>
                <w:sz w:val="20"/>
                <w:szCs w:val="20"/>
                <w:color w:val="auto"/>
              </w:rPr>
            </w:pPr>
            <w:r>
              <w:rPr>
                <w:rFonts w:ascii="Arial" w:cs="Arial" w:eastAsia="Arial" w:hAnsi="Arial"/>
                <w:sz w:val="18"/>
                <w:szCs w:val="18"/>
                <w:color w:val="auto"/>
              </w:rPr>
              <w:t>58,308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2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gridSpan w:val="2"/>
          </w:tcPr>
          <w:p>
            <w:pPr>
              <w:spacing w:after="0" w:line="182" w:lineRule="exact"/>
              <w:rPr>
                <w:sz w:val="20"/>
                <w:szCs w:val="20"/>
                <w:color w:val="auto"/>
              </w:rPr>
            </w:pPr>
            <w:r>
              <w:rPr>
                <w:rFonts w:ascii="Arial" w:cs="Arial" w:eastAsia="Arial" w:hAnsi="Arial"/>
                <w:sz w:val="18"/>
                <w:szCs w:val="18"/>
                <w:color w:val="auto"/>
                <w:w w:val="95"/>
              </w:rPr>
              <w:t>Weighted-average number of shares of common stock, assumed</w:t>
            </w:r>
          </w:p>
        </w:tc>
        <w:tc>
          <w:tcPr>
            <w:tcW w:w="14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57,773</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59,257</w:t>
            </w:r>
          </w:p>
        </w:tc>
        <w:tc>
          <w:tcPr>
            <w:tcW w:w="14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58,040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59,444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w w:val="97"/>
              </w:rPr>
              <w:t>issuance of contingent shares, and effect of dilutive securities</w:t>
            </w:r>
          </w:p>
        </w:tc>
        <w:tc>
          <w:tcPr>
            <w:tcW w:w="14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Incremental shares from options, restricted stock, and restricted stock units are computed by the treasury stock method. Options, restricted stock, and restricted stock units of 272,183 and 361,651 shares during the second quarter of fiscal 2014 and 2013, respectively, were excluded from the diluted net earnings per share because they were anti-dilutive. For the year-to-date periods through the second quarter of fiscal 2014 and 2013, options, restricted stock, and restricted stock units of 222,542 and 306,491 shares, respectively, were excluded from the diluted net earnings per share because they were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8"/>
              </w:rPr>
              <w:t>May 2,</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May 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October 31,</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0" w:type="dxa"/>
            <w:vAlign w:val="bottom"/>
            <w:tcBorders>
              <w:bottom w:val="single" w:sz="8" w:color="auto"/>
            </w:tcBorders>
            <w:gridSpan w:val="4"/>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94,219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87,668</w:t>
            </w:r>
          </w:p>
        </w:tc>
        <w:tc>
          <w:tcPr>
            <w:tcW w:w="12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Finished goods and service parts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273,920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279,586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217,796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367,852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373,805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305,464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Less: adjustment to LIFO value</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jc w:val="right"/>
              <w:ind w:right="140"/>
              <w:spacing w:after="0"/>
              <w:rPr>
                <w:sz w:val="20"/>
                <w:szCs w:val="20"/>
                <w:color w:val="auto"/>
              </w:rPr>
            </w:pPr>
            <w:r>
              <w:rPr>
                <w:rFonts w:ascii="Arial" w:cs="Arial" w:eastAsia="Arial" w:hAnsi="Arial"/>
                <w:sz w:val="18"/>
                <w:szCs w:val="18"/>
                <w:color w:val="auto"/>
              </w:rPr>
              <w:t>65,375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5"/>
          </w:tcPr>
          <w:p>
            <w:pPr>
              <w:jc w:val="right"/>
              <w:ind w:right="60"/>
              <w:spacing w:after="0"/>
              <w:rPr>
                <w:sz w:val="20"/>
                <w:szCs w:val="20"/>
                <w:color w:val="auto"/>
              </w:rPr>
            </w:pPr>
            <w:r>
              <w:rPr>
                <w:rFonts w:ascii="Arial" w:cs="Arial" w:eastAsia="Arial" w:hAnsi="Arial"/>
                <w:sz w:val="18"/>
                <w:szCs w:val="18"/>
                <w:color w:val="auto"/>
              </w:rPr>
              <w:t>63,807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65,375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302,477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309,998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240,089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Goodwill</w:t>
            </w: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40" w:type="dxa"/>
            <w:vAlign w:val="bottom"/>
            <w:gridSpan w:val="14"/>
          </w:tcPr>
          <w:p>
            <w:pPr>
              <w:spacing w:after="0"/>
              <w:rPr>
                <w:sz w:val="20"/>
                <w:szCs w:val="20"/>
                <w:color w:val="auto"/>
              </w:rPr>
            </w:pPr>
            <w:r>
              <w:rPr>
                <w:rFonts w:ascii="Arial" w:cs="Arial" w:eastAsia="Arial" w:hAnsi="Arial"/>
                <w:sz w:val="18"/>
                <w:szCs w:val="18"/>
                <w:color w:val="auto"/>
                <w:w w:val="98"/>
              </w:rPr>
              <w:t>The changes in the net carrying amount of goodwill for the first six months of fiscal 2014 were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24"/>
                <w:szCs w:val="2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Professional</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vMerge w:val="restart"/>
          </w:tcPr>
          <w:p>
            <w:pPr>
              <w:jc w:val="center"/>
              <w:ind w:left="92"/>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91,914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(102)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as of May 2, 2014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80,926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91,812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98"/>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2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gridSpan w:val="4"/>
          </w:tcPr>
          <w:p>
            <w:pPr>
              <w:spacing w:after="0"/>
              <w:rPr>
                <w:sz w:val="20"/>
                <w:szCs w:val="20"/>
                <w:color w:val="auto"/>
              </w:rPr>
            </w:pPr>
            <w:r>
              <w:rPr>
                <w:rFonts w:ascii="Arial" w:cs="Arial" w:eastAsia="Arial" w:hAnsi="Arial"/>
                <w:sz w:val="18"/>
                <w:szCs w:val="18"/>
                <w:b w:val="1"/>
                <w:bCs w:val="1"/>
                <w:color w:val="auto"/>
              </w:rPr>
              <w:t>Other Intangible Assets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4"/>
          </w:tcPr>
          <w:p>
            <w:pPr>
              <w:spacing w:after="0"/>
              <w:rPr>
                <w:sz w:val="20"/>
                <w:szCs w:val="20"/>
                <w:color w:val="auto"/>
              </w:rPr>
            </w:pPr>
            <w:r>
              <w:rPr>
                <w:rFonts w:ascii="Arial" w:cs="Arial" w:eastAsia="Arial" w:hAnsi="Arial"/>
                <w:sz w:val="18"/>
                <w:szCs w:val="18"/>
                <w:color w:val="auto"/>
              </w:rPr>
              <w:t>The components of other intangible assets were as follows: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5"/>
              </w:rPr>
              <w:t>Estimated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May 2, 2014</w:t>
            </w: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3"/>
              </w:rPr>
              <w:t>1.5-13</w:t>
            </w: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Non-compete agreements</w:t>
            </w:r>
          </w:p>
        </w:tc>
        <w:tc>
          <w:tcPr>
            <w:tcW w:w="840" w:type="dxa"/>
            <w:vAlign w:val="bottom"/>
            <w:gridSpan w:val="2"/>
          </w:tcPr>
          <w:p>
            <w:pPr>
              <w:jc w:val="center"/>
              <w:ind w:left="35"/>
              <w:spacing w:after="0"/>
              <w:rPr>
                <w:sz w:val="20"/>
                <w:szCs w:val="20"/>
                <w:color w:val="auto"/>
              </w:rPr>
            </w:pPr>
            <w:r>
              <w:rPr>
                <w:rFonts w:ascii="Arial" w:cs="Arial" w:eastAsia="Arial" w:hAnsi="Arial"/>
                <w:sz w:val="18"/>
                <w:szCs w:val="18"/>
                <w:color w:val="auto"/>
                <w:w w:val="93"/>
              </w:rPr>
              <w:t>1.5-10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7,038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8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3"/>
              </w:rPr>
              <w:t>1.5-13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gridSpan w:val="2"/>
          </w:tcPr>
          <w:p>
            <w:pPr>
              <w:jc w:val="center"/>
              <w:ind w:left="35"/>
              <w:spacing w:after="0"/>
              <w:rPr>
                <w:sz w:val="20"/>
                <w:szCs w:val="20"/>
                <w:color w:val="auto"/>
              </w:rPr>
            </w:pPr>
            <w:r>
              <w:rPr>
                <w:rFonts w:ascii="Arial" w:cs="Arial" w:eastAsia="Arial" w:hAnsi="Arial"/>
                <w:sz w:val="18"/>
                <w:szCs w:val="18"/>
                <w:color w:val="auto"/>
                <w:w w:val="93"/>
              </w:rPr>
              <w:t>1.5-10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28,866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(15,204)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names</w:t>
            </w:r>
          </w:p>
        </w:tc>
        <w:tc>
          <w:tcPr>
            <w:tcW w:w="8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1.5-5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57,618</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(35,808)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Non-amortizable - trade names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October 31, 2013</w:t>
            </w: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5"/>
              </w:rPr>
              <w:t>Estimated</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5200" w:type="dxa"/>
            <w:vAlign w:val="bottom"/>
            <w:gridSpan w:val="4"/>
            <w:vMerge w:val="continue"/>
          </w:tcPr>
          <w:p>
            <w:pPr>
              <w:spacing w:after="0"/>
              <w:rPr>
                <w:sz w:val="14"/>
                <w:szCs w:val="14"/>
                <w:color w:val="auto"/>
              </w:rPr>
            </w:pPr>
          </w:p>
        </w:tc>
        <w:tc>
          <w:tcPr>
            <w:tcW w:w="8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4"/>
              </w:rPr>
              <w:t>Life (Years)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3"/>
              </w:rPr>
              <w:t>1.5-13</w:t>
            </w: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Non-compete agreements</w:t>
            </w:r>
          </w:p>
        </w:tc>
        <w:tc>
          <w:tcPr>
            <w:tcW w:w="840" w:type="dxa"/>
            <w:vAlign w:val="bottom"/>
            <w:gridSpan w:val="2"/>
          </w:tcPr>
          <w:p>
            <w:pPr>
              <w:jc w:val="center"/>
              <w:ind w:left="35"/>
              <w:spacing w:after="0"/>
              <w:rPr>
                <w:sz w:val="20"/>
                <w:szCs w:val="20"/>
                <w:color w:val="auto"/>
              </w:rPr>
            </w:pPr>
            <w:r>
              <w:rPr>
                <w:rFonts w:ascii="Arial" w:cs="Arial" w:eastAsia="Arial" w:hAnsi="Arial"/>
                <w:sz w:val="18"/>
                <w:szCs w:val="18"/>
                <w:color w:val="auto"/>
                <w:w w:val="93"/>
              </w:rPr>
              <w:t>1.5-10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8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3"/>
              </w:rPr>
              <w:t>1.5-13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gridSpan w:val="2"/>
          </w:tcPr>
          <w:p>
            <w:pPr>
              <w:jc w:val="center"/>
              <w:ind w:left="35"/>
              <w:spacing w:after="0"/>
              <w:rPr>
                <w:sz w:val="20"/>
                <w:szCs w:val="20"/>
                <w:color w:val="auto"/>
              </w:rPr>
            </w:pPr>
            <w:r>
              <w:rPr>
                <w:rFonts w:ascii="Arial" w:cs="Arial" w:eastAsia="Arial" w:hAnsi="Arial"/>
                <w:sz w:val="18"/>
                <w:szCs w:val="18"/>
                <w:color w:val="auto"/>
                <w:w w:val="93"/>
              </w:rPr>
              <w:t>1.5-10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(13,478)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names</w:t>
            </w:r>
          </w:p>
        </w:tc>
        <w:tc>
          <w:tcPr>
            <w:tcW w:w="84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1.5-5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(32,828)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Non-amortizable - trade names</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61,136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-4194810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-4194810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8" w:orient="portrait"/>
          <w:cols w:equalWidth="0" w:num="1">
            <w:col w:w="11460"/>
          </w:cols>
          <w:pgMar w:left="240" w:top="125" w:right="199" w:bottom="0" w:gutter="0" w:footer="0" w:header="0"/>
        </w:sectPr>
      </w:pPr>
    </w:p>
    <w:p>
      <w:pPr>
        <w:spacing w:after="0" w:line="20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Amortization expense for intangible assets during the first six months of fiscal 2014 was $3.0 million. Estimated amortization expense for the remainder of fiscal 2014 and succeeding fiscal years is as follows: fiscal 2014 (remainder), $2.9 million; fiscal 2015, $5.6 million; fiscal 2016, $5.1 million; fiscal 2017, $4.2 million; fiscal 2018, $2.2 million; fiscal 2019, $1.2 million; and after fiscal 2019, $0.6 million.</w:t>
      </w:r>
    </w:p>
    <w:p>
      <w:pPr>
        <w:sectPr>
          <w:pgSz w:w="11900" w:h="16918" w:orient="portrait"/>
          <w:cols w:equalWidth="0" w:num="1">
            <w:col w:w="11460"/>
          </w:cols>
          <w:pgMar w:left="240" w:top="125" w:right="199" w:bottom="0" w:gutter="0" w:footer="0" w:header="0"/>
          <w:type w:val="continuous"/>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fiscal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Additionally, in connection with the joint venture, the company and an affiliate of TCFIF entered into an arrangement to provide inventory financing to dealers of the company’s products in Canada. In fiscal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w:t>
      </w:r>
    </w:p>
    <w:p>
      <w:pPr>
        <w:spacing w:after="0" w:line="167" w:lineRule="exact"/>
        <w:rPr>
          <w:sz w:val="20"/>
          <w:szCs w:val="20"/>
          <w:color w:val="auto"/>
        </w:rPr>
      </w:pPr>
    </w:p>
    <w:p>
      <w:pPr>
        <w:ind w:right="40" w:firstLine="378"/>
        <w:spacing w:after="0" w:line="254" w:lineRule="auto"/>
        <w:rPr>
          <w:sz w:val="20"/>
          <w:szCs w:val="20"/>
          <w:color w:val="auto"/>
        </w:rPr>
      </w:pPr>
      <w:r>
        <w:rPr>
          <w:rFonts w:ascii="Arial" w:cs="Arial" w:eastAsia="Arial" w:hAnsi="Arial"/>
          <w:sz w:val="18"/>
          <w:szCs w:val="18"/>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May 2, 2014 was $21.5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$0.5 million as of May 2, 2014.</w:t>
      </w:r>
    </w:p>
    <w:p>
      <w:pPr>
        <w:spacing w:after="0" w:line="192" w:lineRule="exact"/>
        <w:rPr>
          <w:sz w:val="20"/>
          <w:szCs w:val="20"/>
          <w:color w:val="auto"/>
        </w:rPr>
      </w:pPr>
    </w:p>
    <w:p>
      <w:pPr>
        <w:ind w:firstLine="378"/>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six months ended April 30, 2014 and April 30, 2013 was $667.6 million and $639.6 million,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April 30, 2014, Red Iron’s total assets were $430.1 million and total liabilities were $382.3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provisions, claims, and changes in estimates for the first six months of fiscal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Pr>
          <w:p>
            <w:pPr>
              <w:spacing w:after="0"/>
              <w:rPr>
                <w:sz w:val="10"/>
                <w:szCs w:val="10"/>
                <w:color w:val="auto"/>
              </w:rPr>
            </w:pPr>
          </w:p>
        </w:tc>
        <w:tc>
          <w:tcPr>
            <w:tcW w:w="900" w:type="dxa"/>
            <w:vAlign w:val="bottom"/>
          </w:tcPr>
          <w:p>
            <w:pPr>
              <w:jc w:val="right"/>
              <w:ind w:right="376"/>
              <w:spacing w:after="0" w:line="119" w:lineRule="exact"/>
              <w:rPr>
                <w:sz w:val="20"/>
                <w:szCs w:val="20"/>
                <w:color w:val="auto"/>
              </w:rPr>
            </w:pPr>
            <w:r>
              <w:rPr>
                <w:rFonts w:ascii="Arial" w:cs="Arial" w:eastAsia="Arial" w:hAnsi="Arial"/>
                <w:sz w:val="13"/>
                <w:szCs w:val="13"/>
                <w:b w:val="1"/>
                <w:bCs w:val="1"/>
                <w:color w:val="auto"/>
              </w:rPr>
              <w:t>May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69,848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23,422</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23,478</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(13,861)</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1,278</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(“AOCL”), net of tax,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May 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w w:val="98"/>
              </w:rPr>
              <w:t>May 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4,904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ind w:right="4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Pension and post-retirement benefits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5"/>
          </w:tcPr>
          <w:p>
            <w:pPr>
              <w:jc w:val="right"/>
              <w:ind w:right="60"/>
              <w:spacing w:after="0"/>
              <w:rPr>
                <w:sz w:val="20"/>
                <w:szCs w:val="20"/>
                <w:color w:val="auto"/>
              </w:rPr>
            </w:pPr>
            <w:r>
              <w:rPr>
                <w:rFonts w:ascii="Arial" w:cs="Arial" w:eastAsia="Arial" w:hAnsi="Arial"/>
                <w:sz w:val="18"/>
                <w:szCs w:val="18"/>
                <w:color w:val="auto"/>
              </w:rPr>
              <w:t>3,751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4,313</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519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36"/>
              <w:spacing w:after="0"/>
              <w:rPr>
                <w:sz w:val="20"/>
                <w:szCs w:val="20"/>
                <w:color w:val="auto"/>
              </w:rPr>
            </w:pPr>
            <w:r>
              <w:rPr>
                <w:rFonts w:ascii="Arial" w:cs="Arial" w:eastAsia="Arial" w:hAnsi="Arial"/>
                <w:sz w:val="18"/>
                <w:szCs w:val="18"/>
                <w:color w:val="auto"/>
              </w:rPr>
              <w:t>(463)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Total accumulated other comprehensive loss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10,819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8,754</w:t>
            </w:r>
          </w:p>
        </w:tc>
        <w:tc>
          <w:tcPr>
            <w:tcW w:w="2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center"/>
              <w:ind w:right="47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12,570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The components and activity of AOCL are as follows: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13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2"/>
                <w:szCs w:val="12"/>
                <w:color w:val="auto"/>
              </w:rPr>
            </w:pPr>
          </w:p>
        </w:tc>
        <w:tc>
          <w:tcPr>
            <w:tcW w:w="13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Post-retirement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Instruments</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AOCL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5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7" w:right="239" w:bottom="0" w:gutter="0" w:footer="0" w:header="0"/>
        </w:sectPr>
      </w:pPr>
    </w:p>
    <w:bookmarkStart w:id="7" w:name="page8"/>
    <w:bookmarkEnd w:id="7"/>
    <w:p>
      <w:pPr>
        <w:spacing w:after="0"/>
        <w:tabs>
          <w:tab w:leader="none" w:pos="4820" w:val="left"/>
          <w:tab w:leader="none" w:pos="5660" w:val="left"/>
          <w:tab w:leader="none" w:pos="6340" w:val="left"/>
          <w:tab w:leader="none" w:pos="7180" w:val="left"/>
          <w:tab w:leader="none" w:pos="7840" w:val="left"/>
          <w:tab w:leader="none" w:pos="8800" w:val="left"/>
          <w:tab w:leader="none" w:pos="9320" w:val="left"/>
          <w:tab w:leader="none" w:pos="10040" w:val="left"/>
        </w:tabs>
        <w:rPr>
          <w:sz w:val="20"/>
          <w:szCs w:val="20"/>
          <w:color w:val="auto"/>
        </w:rPr>
      </w:pPr>
      <w:r>
        <w:rPr>
          <w:rFonts w:ascii="Arial" w:cs="Arial" w:eastAsia="Arial" w:hAnsi="Arial"/>
          <w:sz w:val="18"/>
          <w:szCs w:val="18"/>
          <w:color w:val="auto"/>
        </w:rPr>
        <w:t>Balance as of May 2, 2014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6,549</w:t>
        <w:tab/>
        <w:t>$</w:t>
      </w:r>
      <w:r>
        <w:rPr>
          <w:sz w:val="20"/>
          <w:szCs w:val="20"/>
          <w:color w:val="auto"/>
        </w:rPr>
        <w:tab/>
      </w:r>
      <w:r>
        <w:rPr>
          <w:rFonts w:ascii="Arial" w:cs="Arial" w:eastAsia="Arial" w:hAnsi="Arial"/>
          <w:sz w:val="18"/>
          <w:szCs w:val="18"/>
          <w:color w:val="auto"/>
        </w:rPr>
        <w:t>3,751</w:t>
        <w:tab/>
        <w:t>$</w:t>
      </w:r>
      <w:r>
        <w:rPr>
          <w:sz w:val="20"/>
          <w:szCs w:val="20"/>
          <w:color w:val="auto"/>
        </w:rPr>
        <w:tab/>
      </w:r>
      <w:r>
        <w:rPr>
          <w:rFonts w:ascii="Arial" w:cs="Arial" w:eastAsia="Arial" w:hAnsi="Arial"/>
          <w:sz w:val="18"/>
          <w:szCs w:val="18"/>
          <w:color w:val="auto"/>
        </w:rPr>
        <w:t>519</w:t>
        <w:tab/>
        <w:t>$</w:t>
      </w:r>
      <w:r>
        <w:rPr>
          <w:sz w:val="20"/>
          <w:szCs w:val="20"/>
          <w:color w:val="auto"/>
        </w:rPr>
        <w:tab/>
      </w:r>
      <w:r>
        <w:rPr>
          <w:rFonts w:ascii="Arial" w:cs="Arial" w:eastAsia="Arial" w:hAnsi="Arial"/>
          <w:sz w:val="16"/>
          <w:szCs w:val="16"/>
          <w:color w:val="auto"/>
        </w:rPr>
        <w:t>10,819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75767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1631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264" w:lineRule="auto"/>
        <w:rPr>
          <w:sz w:val="20"/>
          <w:szCs w:val="20"/>
          <w:color w:val="auto"/>
        </w:rPr>
      </w:pPr>
      <w:r>
        <w:rPr>
          <w:rFonts w:ascii="Arial" w:cs="Arial" w:eastAsia="Arial" w:hAnsi="Arial"/>
          <w:sz w:val="18"/>
          <w:szCs w:val="18"/>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distributorships, has been combined with the company’s corporate activities and elimination of intersegment revenues and expenses that is shown as “Other” in the following tables due to the insignificance of the segment.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May 2, 2014</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528,561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210,377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745,030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8"/>
                <w:szCs w:val="18"/>
                <w:color w:val="auto"/>
              </w:rPr>
              <w:t>14,438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(14,566)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122,367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23,822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(17,073)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129,116</w:t>
            </w:r>
          </w:p>
        </w:tc>
        <w:tc>
          <w:tcPr>
            <w:tcW w:w="0" w:type="dxa"/>
            <w:vAlign w:val="bottom"/>
          </w:tcPr>
          <w:p>
            <w:pPr>
              <w:spacing w:after="0"/>
              <w:rPr>
                <w:sz w:val="1"/>
                <w:szCs w:val="1"/>
                <w:color w:val="auto"/>
              </w:rPr>
            </w:pPr>
          </w:p>
        </w:tc>
      </w:tr>
      <w:tr>
        <w:trPr>
          <w:trHeight w:val="540"/>
        </w:trPr>
        <w:tc>
          <w:tcPr>
            <w:tcW w:w="3940" w:type="dxa"/>
            <w:vAlign w:val="bottom"/>
          </w:tcPr>
          <w:p>
            <w:pPr>
              <w:spacing w:after="0"/>
              <w:rPr>
                <w:sz w:val="20"/>
                <w:szCs w:val="20"/>
                <w:color w:val="auto"/>
              </w:rPr>
            </w:pPr>
            <w:r>
              <w:rPr>
                <w:rFonts w:ascii="Arial" w:cs="Arial" w:eastAsia="Arial" w:hAnsi="Arial"/>
                <w:sz w:val="14"/>
                <w:szCs w:val="14"/>
                <w:b w:val="1"/>
                <w:bCs w:val="1"/>
                <w:color w:val="auto"/>
              </w:rPr>
              <w:t>Three months ended May 3, 2013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3"/>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201,390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3"/>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6"/>
              </w:rPr>
              <w:t>704,486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8"/>
                <w:szCs w:val="18"/>
                <w:color w:val="auto"/>
              </w:rPr>
              <w:t>(11,439)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(20,637)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0"/>
                <w:szCs w:val="20"/>
                <w:color w:val="auto"/>
              </w:rPr>
            </w:pPr>
            <w:r>
              <w:rPr>
                <w:rFonts w:ascii="Arial" w:cs="Arial" w:eastAsia="Arial" w:hAnsi="Arial"/>
                <w:sz w:val="14"/>
                <w:szCs w:val="14"/>
                <w:b w:val="1"/>
                <w:bCs w:val="1"/>
                <w:color w:val="auto"/>
              </w:rPr>
              <w:t>Six months ended May 2, 2014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824,029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357,947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1,191,011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19,914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(20,164)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169,830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(43,915)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670,723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238,156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270,367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1,179,246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0"/>
                <w:szCs w:val="20"/>
                <w:color w:val="auto"/>
              </w:rPr>
            </w:pPr>
            <w:r>
              <w:rPr>
                <w:rFonts w:ascii="Arial" w:cs="Arial" w:eastAsia="Arial" w:hAnsi="Arial"/>
                <w:sz w:val="14"/>
                <w:szCs w:val="14"/>
                <w:b w:val="1"/>
                <w:bCs w:val="1"/>
                <w:color w:val="auto"/>
              </w:rPr>
              <w:t>Six months ended May 3, 2013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Professional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Residential</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322,337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1,149,147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Intersegment gross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26,773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(26,978)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36,833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(50,131)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653,514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256,412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205,028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1,114,954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377"/>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377"/>
              <w:spacing w:after="0" w:line="119" w:lineRule="exact"/>
              <w:rPr>
                <w:sz w:val="20"/>
                <w:szCs w:val="20"/>
                <w:color w:val="auto"/>
              </w:rPr>
            </w:pPr>
            <w:r>
              <w:rPr>
                <w:rFonts w:ascii="Arial" w:cs="Arial" w:eastAsia="Arial" w:hAnsi="Arial"/>
                <w:sz w:val="13"/>
                <w:szCs w:val="13"/>
                <w:b w:val="1"/>
                <w:bCs w:val="1"/>
                <w:color w:val="auto"/>
              </w:rPr>
              <w:t>May 3,</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(42,319)</w:t>
            </w:r>
          </w:p>
        </w:tc>
        <w:tc>
          <w:tcPr>
            <w:tcW w:w="12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(3,683)</w:t>
            </w: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(7,436)</w:t>
            </w: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(8,398)</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3,868</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(17,073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(43,915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w:t>
      </w:r>
    </w:p>
    <w:p>
      <w:pPr>
        <w:sectPr>
          <w:pgSz w:w="11900" w:h="16838" w:orient="portrait"/>
          <w:cols w:equalWidth="0" w:num="1">
            <w:col w:w="11460"/>
          </w:cols>
          <w:pgMar w:left="240" w:top="125" w:right="199" w:bottom="0" w:gutter="0" w:footer="0" w:header="0"/>
        </w:sectPr>
      </w:pPr>
    </w:p>
    <w:bookmarkStart w:id="8" w:name="page9"/>
    <w:bookmarkEnd w:id="8"/>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second quarter and year-to-date periods of fiscal 2014, there were immaterial losses on contracts reclassified into earnings as a result of the discontinuance of cash flow hedges. As of May 2, 2014 and May 3, 2013, the notional amount outstanding of forward contracts designated as cash flow hedges was $95.8 million and $42.5 million, respectively. Additionally, as of May 2, 2014 and May 3, 2013, the company had one cross currency interest rate swap instrument outstanding for a fixed pay notional of 36.6 million Romanian New Leu and receive floating notional of 8.5 million Euro.</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Asset Derivatives</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Liability Derivatives</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Borders>
              <w:bottom w:val="single" w:sz="8" w:color="auto"/>
            </w:tcBorders>
            <w:gridSpan w:val="3"/>
          </w:tcPr>
          <w:p>
            <w:pPr>
              <w:ind w:left="740"/>
              <w:spacing w:after="0" w:line="129" w:lineRule="exact"/>
              <w:rPr>
                <w:sz w:val="20"/>
                <w:szCs w:val="20"/>
                <w:color w:val="auto"/>
              </w:rPr>
            </w:pPr>
            <w:r>
              <w:rPr>
                <w:rFonts w:ascii="Arial" w:cs="Arial" w:eastAsia="Arial" w:hAnsi="Arial"/>
                <w:sz w:val="13"/>
                <w:szCs w:val="13"/>
                <w:b w:val="1"/>
                <w:bCs w:val="1"/>
                <w:color w:val="auto"/>
                <w:w w:val="99"/>
              </w:rPr>
              <w:t>May 2, 2014</w:t>
            </w: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Borders>
              <w:bottom w:val="single" w:sz="8" w:color="auto"/>
            </w:tcBorders>
            <w:gridSpan w:val="3"/>
          </w:tcPr>
          <w:p>
            <w:pPr>
              <w:ind w:left="740"/>
              <w:spacing w:after="0" w:line="129" w:lineRule="exact"/>
              <w:rPr>
                <w:sz w:val="20"/>
                <w:szCs w:val="20"/>
                <w:color w:val="auto"/>
              </w:rPr>
            </w:pPr>
            <w:r>
              <w:rPr>
                <w:rFonts w:ascii="Arial" w:cs="Arial" w:eastAsia="Arial" w:hAnsi="Arial"/>
                <w:sz w:val="13"/>
                <w:szCs w:val="13"/>
                <w:b w:val="1"/>
                <w:bCs w:val="1"/>
                <w:color w:val="auto"/>
              </w:rPr>
              <w:t>May 3, 2013</w:t>
            </w:r>
          </w:p>
        </w:tc>
        <w:tc>
          <w:tcPr>
            <w:tcW w:w="6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Borders>
              <w:bottom w:val="single" w:sz="8" w:color="auto"/>
            </w:tcBorders>
            <w:gridSpan w:val="3"/>
          </w:tcPr>
          <w:p>
            <w:pPr>
              <w:jc w:val="right"/>
              <w:ind w:right="33"/>
              <w:spacing w:after="0" w:line="129" w:lineRule="exact"/>
              <w:rPr>
                <w:sz w:val="20"/>
                <w:szCs w:val="20"/>
                <w:color w:val="auto"/>
              </w:rPr>
            </w:pPr>
            <w:r>
              <w:rPr>
                <w:rFonts w:ascii="Arial" w:cs="Arial" w:eastAsia="Arial" w:hAnsi="Arial"/>
                <w:sz w:val="13"/>
                <w:szCs w:val="13"/>
                <w:b w:val="1"/>
                <w:bCs w:val="1"/>
                <w:color w:val="auto"/>
              </w:rPr>
              <w:t>May 2, 2014</w:t>
            </w:r>
          </w:p>
        </w:tc>
        <w:tc>
          <w:tcPr>
            <w:tcW w:w="6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bottom w:val="single" w:sz="8" w:color="auto"/>
            </w:tcBorders>
            <w:gridSpan w:val="3"/>
          </w:tcPr>
          <w:p>
            <w:pPr>
              <w:ind w:left="700"/>
              <w:spacing w:after="0" w:line="129" w:lineRule="exact"/>
              <w:rPr>
                <w:sz w:val="20"/>
                <w:szCs w:val="20"/>
                <w:color w:val="auto"/>
              </w:rPr>
            </w:pPr>
            <w:r>
              <w:rPr>
                <w:rFonts w:ascii="Arial" w:cs="Arial" w:eastAsia="Arial" w:hAnsi="Arial"/>
                <w:sz w:val="13"/>
                <w:szCs w:val="13"/>
                <w:b w:val="1"/>
                <w:bCs w:val="1"/>
                <w:color w:val="auto"/>
                <w:w w:val="99"/>
              </w:rPr>
              <w:t>May 3, 2013</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Balance</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5"/>
              </w:rPr>
              <w:t>Balance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Sheet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Fair</w:t>
            </w: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Fair</w:t>
            </w: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160" w:type="dxa"/>
            <w:vAlign w:val="bottom"/>
          </w:tcPr>
          <w:p>
            <w:pPr>
              <w:spacing w:after="0"/>
              <w:rPr>
                <w:sz w:val="11"/>
                <w:szCs w:val="11"/>
                <w:color w:val="auto"/>
              </w:rPr>
            </w:pPr>
          </w:p>
        </w:tc>
        <w:tc>
          <w:tcPr>
            <w:tcW w:w="80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rPr>
              <w:t>Fair</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Sheet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4"/>
              </w:rPr>
              <w:t>Location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Value</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Value</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Location</w:t>
            </w:r>
          </w:p>
        </w:tc>
        <w:tc>
          <w:tcPr>
            <w:tcW w:w="16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Value</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 Hedging</w:t>
            </w: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2,027</w:t>
            </w: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(156)</w:t>
            </w: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contract</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295</w:t>
            </w: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598</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234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5"/>
              </w:rPr>
              <w:t>Derivatives Not Designated as Hedging</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340" w:type="dxa"/>
            <w:vAlign w:val="bottom"/>
            <w:gridSpan w:val="2"/>
          </w:tcPr>
          <w:p>
            <w:pPr>
              <w:ind w:left="160"/>
              <w:spacing w:after="0"/>
              <w:rPr>
                <w:sz w:val="20"/>
                <w:szCs w:val="20"/>
                <w:color w:val="auto"/>
              </w:rPr>
            </w:pPr>
            <w:r>
              <w:rPr>
                <w:rFonts w:ascii="Arial" w:cs="Arial" w:eastAsia="Arial" w:hAnsi="Arial"/>
                <w:sz w:val="13"/>
                <w:szCs w:val="13"/>
                <w:b w:val="1"/>
                <w:bCs w:val="1"/>
                <w:color w:val="auto"/>
              </w:rPr>
              <w:t>Instruments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520"/>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241</w:t>
            </w:r>
          </w:p>
        </w:tc>
        <w:tc>
          <w:tcPr>
            <w:tcW w:w="1300" w:type="dxa"/>
            <w:vAlign w:val="bottom"/>
            <w:gridSpan w:val="2"/>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2,199</w:t>
            </w: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189</w:t>
            </w:r>
          </w:p>
        </w:tc>
        <w:tc>
          <w:tcPr>
            <w:tcW w:w="13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358</w:t>
            </w: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Accrued liabilities</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1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20"/>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2,457</w:t>
            </w: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2,696</w:t>
            </w:r>
          </w:p>
        </w:tc>
        <w:tc>
          <w:tcPr>
            <w:tcW w:w="1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272"/>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designated as cash flow hedging instruments for the three and six months ended May 2, 2014 and May 3, 2013,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 of Gain (Loss)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6"/>
              </w:rPr>
              <w:t>Gain (Loss)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Gain (Loss)</w:t>
            </w: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60" w:type="dxa"/>
            <w:vAlign w:val="bottom"/>
          </w:tcPr>
          <w:p>
            <w:pPr>
              <w:spacing w:after="0"/>
              <w:rPr>
                <w:sz w:val="11"/>
                <w:szCs w:val="11"/>
                <w:color w:val="auto"/>
              </w:rPr>
            </w:pPr>
          </w:p>
        </w:tc>
        <w:tc>
          <w:tcPr>
            <w:tcW w:w="1800" w:type="dxa"/>
            <w:vAlign w:val="bottom"/>
            <w:gridSpan w:val="5"/>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Gain (Loss)</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4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7"/>
              </w:rPr>
              <w:t>Recognized in OCI on</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from AOCL</w:t>
            </w:r>
          </w:p>
        </w:tc>
        <w:tc>
          <w:tcPr>
            <w:tcW w:w="160" w:type="dxa"/>
            <w:vAlign w:val="bottom"/>
          </w:tcPr>
          <w:p>
            <w:pPr>
              <w:spacing w:after="0"/>
              <w:rPr>
                <w:sz w:val="11"/>
                <w:szCs w:val="11"/>
                <w:color w:val="auto"/>
              </w:rPr>
            </w:pPr>
          </w:p>
        </w:tc>
        <w:tc>
          <w:tcPr>
            <w:tcW w:w="1800" w:type="dxa"/>
            <w:vAlign w:val="bottom"/>
            <w:gridSpan w:val="5"/>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Reclassified from</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4"/>
          </w:tcPr>
          <w:p>
            <w:pPr>
              <w:jc w:val="center"/>
              <w:ind w:left="437"/>
              <w:spacing w:after="0" w:line="135" w:lineRule="exact"/>
              <w:rPr>
                <w:sz w:val="20"/>
                <w:szCs w:val="20"/>
                <w:color w:val="auto"/>
              </w:rPr>
            </w:pPr>
            <w:r>
              <w:rPr>
                <w:rFonts w:ascii="Arial" w:cs="Arial" w:eastAsia="Arial" w:hAnsi="Arial"/>
                <w:sz w:val="13"/>
                <w:szCs w:val="13"/>
                <w:b w:val="1"/>
                <w:bCs w:val="1"/>
                <w:color w:val="auto"/>
                <w:w w:val="89"/>
              </w:rPr>
              <w:t>Derivatives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60" w:type="dxa"/>
            <w:vAlign w:val="bottom"/>
          </w:tcPr>
          <w:p>
            <w:pPr>
              <w:spacing w:after="0"/>
              <w:rPr>
                <w:sz w:val="11"/>
                <w:szCs w:val="11"/>
                <w:color w:val="auto"/>
              </w:rPr>
            </w:pPr>
          </w:p>
        </w:tc>
        <w:tc>
          <w:tcPr>
            <w:tcW w:w="1800" w:type="dxa"/>
            <w:vAlign w:val="bottom"/>
            <w:gridSpan w:val="5"/>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AOCL into Income</w:t>
            </w:r>
          </w:p>
        </w:tc>
        <w:tc>
          <w:tcPr>
            <w:tcW w:w="1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2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3"/>
                <w:szCs w:val="13"/>
                <w:color w:val="auto"/>
              </w:rPr>
            </w:pPr>
          </w:p>
        </w:tc>
        <w:tc>
          <w:tcPr>
            <w:tcW w:w="1940" w:type="dxa"/>
            <w:vAlign w:val="bottom"/>
            <w:gridSpan w:val="6"/>
          </w:tcPr>
          <w:p>
            <w:pPr>
              <w:jc w:val="center"/>
              <w:ind w:right="320"/>
              <w:spacing w:after="0"/>
              <w:rPr>
                <w:sz w:val="20"/>
                <w:szCs w:val="20"/>
                <w:color w:val="auto"/>
              </w:rPr>
            </w:pPr>
            <w:r>
              <w:rPr>
                <w:rFonts w:ascii="Arial" w:cs="Arial" w:eastAsia="Arial" w:hAnsi="Arial"/>
                <w:sz w:val="13"/>
                <w:szCs w:val="13"/>
                <w:b w:val="1"/>
                <w:bCs w:val="1"/>
                <w:color w:val="auto"/>
                <w:w w:val="87"/>
              </w:rPr>
              <w:t>(Effective Portion)</w:t>
            </w:r>
          </w:p>
        </w:tc>
        <w:tc>
          <w:tcPr>
            <w:tcW w:w="14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(Effective Portion)</w:t>
            </w:r>
          </w:p>
        </w:tc>
        <w:tc>
          <w:tcPr>
            <w:tcW w:w="160" w:type="dxa"/>
            <w:vAlign w:val="bottom"/>
          </w:tcPr>
          <w:p>
            <w:pPr>
              <w:spacing w:after="0"/>
              <w:rPr>
                <w:sz w:val="13"/>
                <w:szCs w:val="13"/>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9"/>
              </w:rPr>
              <w:t>(Effective Portion)</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4"/>
              </w:rPr>
              <w:t>Effectiveness Testing)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2360" w:type="dxa"/>
            <w:vAlign w:val="bottom"/>
            <w:gridSpan w:val="2"/>
            <w:vMerge w:val="continue"/>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7"/>
              </w:rPr>
              <w:t>May 2,</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center"/>
              <w:ind w:right="217"/>
              <w:spacing w:after="0" w:line="110" w:lineRule="exact"/>
              <w:rPr>
                <w:sz w:val="20"/>
                <w:szCs w:val="20"/>
                <w:color w:val="auto"/>
              </w:rPr>
            </w:pPr>
            <w:r>
              <w:rPr>
                <w:rFonts w:ascii="Arial" w:cs="Arial" w:eastAsia="Arial" w:hAnsi="Arial"/>
                <w:sz w:val="12"/>
                <w:szCs w:val="12"/>
                <w:b w:val="1"/>
                <w:bCs w:val="1"/>
                <w:color w:val="auto"/>
                <w:w w:val="97"/>
              </w:rPr>
              <w:t>May 3,</w:t>
            </w:r>
          </w:p>
        </w:tc>
        <w:tc>
          <w:tcPr>
            <w:tcW w:w="180" w:type="dxa"/>
            <w:vAlign w:val="bottom"/>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rPr>
              <w:t>May 2,</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7"/>
              </w:rPr>
              <w:t>May 3,</w:t>
            </w:r>
          </w:p>
        </w:tc>
        <w:tc>
          <w:tcPr>
            <w:tcW w:w="160" w:type="dxa"/>
            <w:vAlign w:val="bottom"/>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rPr>
              <w:t>May 2,</w:t>
            </w: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78"/>
              <w:spacing w:after="0" w:line="110" w:lineRule="exact"/>
              <w:rPr>
                <w:sz w:val="20"/>
                <w:szCs w:val="20"/>
                <w:color w:val="auto"/>
              </w:rPr>
            </w:pPr>
            <w:r>
              <w:rPr>
                <w:rFonts w:ascii="Arial" w:cs="Arial" w:eastAsia="Arial" w:hAnsi="Arial"/>
                <w:sz w:val="12"/>
                <w:szCs w:val="12"/>
                <w:b w:val="1"/>
                <w:bCs w:val="1"/>
                <w:color w:val="auto"/>
                <w:w w:val="97"/>
              </w:rPr>
              <w:t>May 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For the three months ended</w:t>
            </w: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center"/>
              <w:ind w:right="217"/>
              <w:spacing w:after="0"/>
              <w:rPr>
                <w:sz w:val="20"/>
                <w:szCs w:val="20"/>
                <w:color w:val="auto"/>
              </w:rPr>
            </w:pPr>
            <w:r>
              <w:rPr>
                <w:rFonts w:ascii="Arial" w:cs="Arial" w:eastAsia="Arial" w:hAnsi="Arial"/>
                <w:sz w:val="13"/>
                <w:szCs w:val="13"/>
                <w:b w:val="1"/>
                <w:bCs w:val="1"/>
                <w:color w:val="auto"/>
                <w:w w:val="82"/>
              </w:rPr>
              <w:t>2013</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8"/>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60" w:type="dxa"/>
            <w:vAlign w:val="bottom"/>
            <w:tcBorders>
              <w:top w:val="single" w:sz="8" w:color="auto"/>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282</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363</w:t>
            </w:r>
          </w:p>
        </w:tc>
        <w:tc>
          <w:tcPr>
            <w:tcW w:w="14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60" w:type="dxa"/>
            <w:vAlign w:val="bottom"/>
          </w:tcPr>
          <w:p>
            <w:pPr>
              <w:spacing w:after="0" w:line="20" w:lineRule="exact"/>
              <w:rPr>
                <w:sz w:val="1"/>
                <w:szCs w:val="1"/>
                <w:color w:val="auto"/>
              </w:rPr>
            </w:pPr>
          </w:p>
        </w:tc>
        <w:tc>
          <w:tcPr>
            <w:tcW w:w="840" w:type="dxa"/>
            <w:vAlign w:val="bottom"/>
            <w:gridSpan w:val="2"/>
            <w:vMerge w:val="restart"/>
          </w:tcPr>
          <w:p>
            <w:pPr>
              <w:jc w:val="right"/>
              <w:ind w:right="140"/>
              <w:spacing w:after="0" w:line="129" w:lineRule="exact"/>
              <w:rPr>
                <w:sz w:val="20"/>
                <w:szCs w:val="20"/>
                <w:color w:val="auto"/>
              </w:rPr>
            </w:pPr>
            <w:r>
              <w:rPr>
                <w:rFonts w:ascii="Arial" w:cs="Arial" w:eastAsia="Arial" w:hAnsi="Arial"/>
                <w:sz w:val="13"/>
                <w:szCs w:val="13"/>
                <w:color w:val="auto"/>
              </w:rPr>
              <w:t>(15)</w:t>
            </w: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177</w:t>
            </w: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(406)</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(292)</w:t>
            </w: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1,480</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(683)</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(911)</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May 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0"/>
              </w:rPr>
              <w:t>May 3,</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May 2,</w:t>
            </w:r>
          </w:p>
        </w:tc>
        <w:tc>
          <w:tcPr>
            <w:tcW w:w="14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May 3,</w:t>
            </w: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May 2,</w:t>
            </w: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May 3,</w:t>
            </w:r>
          </w:p>
        </w:tc>
        <w:tc>
          <w:tcPr>
            <w:tcW w:w="0" w:type="dxa"/>
            <w:vAlign w:val="bottom"/>
          </w:tcPr>
          <w:p>
            <w:pPr>
              <w:spacing w:after="0"/>
              <w:rPr>
                <w:sz w:val="1"/>
                <w:szCs w:val="1"/>
                <w:color w:val="auto"/>
              </w:rPr>
            </w:pPr>
          </w:p>
        </w:tc>
      </w:tr>
      <w:tr>
        <w:trPr>
          <w:trHeight w:val="153"/>
        </w:trPr>
        <w:tc>
          <w:tcPr>
            <w:tcW w:w="2360" w:type="dxa"/>
            <w:vAlign w:val="bottom"/>
            <w:gridSpan w:val="2"/>
          </w:tcPr>
          <w:p>
            <w:pPr>
              <w:spacing w:after="0"/>
              <w:rPr>
                <w:sz w:val="20"/>
                <w:szCs w:val="20"/>
                <w:color w:val="auto"/>
              </w:rPr>
            </w:pPr>
            <w:r>
              <w:rPr>
                <w:rFonts w:ascii="Arial" w:cs="Arial" w:eastAsia="Arial" w:hAnsi="Arial"/>
                <w:sz w:val="13"/>
                <w:szCs w:val="13"/>
                <w:b w:val="1"/>
                <w:bCs w:val="1"/>
                <w:color w:val="auto"/>
              </w:rPr>
              <w:t>For the six months ended</w:t>
            </w: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center"/>
              <w:ind w:right="217"/>
              <w:spacing w:after="0"/>
              <w:rPr>
                <w:sz w:val="20"/>
                <w:szCs w:val="20"/>
                <w:color w:val="auto"/>
              </w:rPr>
            </w:pPr>
            <w:r>
              <w:rPr>
                <w:rFonts w:ascii="Arial" w:cs="Arial" w:eastAsia="Arial" w:hAnsi="Arial"/>
                <w:sz w:val="13"/>
                <w:szCs w:val="13"/>
                <w:b w:val="1"/>
                <w:bCs w:val="1"/>
                <w:color w:val="auto"/>
                <w:w w:val="82"/>
              </w:rPr>
              <w:t>2013</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7"/>
              <w:spacing w:after="0"/>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78"/>
              <w:spacing w:after="0"/>
              <w:rPr>
                <w:sz w:val="20"/>
                <w:szCs w:val="20"/>
                <w:color w:val="auto"/>
              </w:rPr>
            </w:pPr>
            <w:r>
              <w:rPr>
                <w:rFonts w:ascii="Arial" w:cs="Arial" w:eastAsia="Arial" w:hAnsi="Arial"/>
                <w:sz w:val="13"/>
                <w:szCs w:val="13"/>
                <w:b w:val="1"/>
                <w:bCs w:val="1"/>
                <w:color w:val="auto"/>
                <w:w w:val="82"/>
              </w:rPr>
              <w:t>2013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18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674</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2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sales</w:t>
            </w:r>
          </w:p>
        </w:tc>
        <w:tc>
          <w:tcPr>
            <w:tcW w:w="160" w:type="dxa"/>
            <w:vAlign w:val="bottom"/>
            <w:tcBorders>
              <w:top w:val="single" w:sz="8" w:color="auto"/>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(771)</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(1,342)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40" w:type="dxa"/>
            <w:vAlign w:val="bottom"/>
          </w:tcPr>
          <w:p>
            <w:pPr>
              <w:spacing w:after="0" w:line="20" w:lineRule="exact"/>
              <w:rPr>
                <w:sz w:val="1"/>
                <w:szCs w:val="1"/>
                <w:color w:val="auto"/>
              </w:rPr>
            </w:pPr>
          </w:p>
        </w:tc>
        <w:tc>
          <w:tcPr>
            <w:tcW w:w="78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(117)</w:t>
            </w: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180"/>
              <w:spacing w:after="0" w:line="129" w:lineRule="exact"/>
              <w:rPr>
                <w:sz w:val="20"/>
                <w:szCs w:val="20"/>
                <w:color w:val="auto"/>
              </w:rPr>
            </w:pPr>
            <w:r>
              <w:rPr>
                <w:rFonts w:ascii="Arial" w:cs="Arial" w:eastAsia="Arial" w:hAnsi="Arial"/>
                <w:sz w:val="13"/>
                <w:szCs w:val="13"/>
                <w:color w:val="auto"/>
              </w:rPr>
              <w:t>601</w:t>
            </w:r>
          </w:p>
        </w:tc>
        <w:tc>
          <w:tcPr>
            <w:tcW w:w="1420" w:type="dxa"/>
            <w:vAlign w:val="bottom"/>
            <w:gridSpan w:val="2"/>
            <w:vMerge w:val="restart"/>
          </w:tcPr>
          <w:p>
            <w:pPr>
              <w:spacing w:after="0" w:line="129" w:lineRule="exact"/>
              <w:rPr>
                <w:sz w:val="20"/>
                <w:szCs w:val="20"/>
                <w:color w:val="auto"/>
              </w:rPr>
            </w:pPr>
            <w:r>
              <w:rPr>
                <w:rFonts w:ascii="Arial" w:cs="Arial" w:eastAsia="Arial" w:hAnsi="Arial"/>
                <w:sz w:val="13"/>
                <w:szCs w:val="13"/>
                <w:color w:val="auto"/>
              </w:rPr>
              <w:t>Cost of sales</w:t>
            </w:r>
          </w:p>
        </w:tc>
        <w:tc>
          <w:tcPr>
            <w:tcW w:w="160" w:type="dxa"/>
            <w:vAlign w:val="bottom"/>
          </w:tcPr>
          <w:p>
            <w:pPr>
              <w:spacing w:after="0" w:line="20" w:lineRule="exact"/>
              <w:rPr>
                <w:sz w:val="1"/>
                <w:szCs w:val="1"/>
                <w:color w:val="auto"/>
              </w:rPr>
            </w:pPr>
          </w:p>
        </w:tc>
        <w:tc>
          <w:tcPr>
            <w:tcW w:w="660" w:type="dxa"/>
            <w:vAlign w:val="bottom"/>
            <w:vMerge w:val="restart"/>
          </w:tcPr>
          <w:p>
            <w:pPr>
              <w:jc w:val="right"/>
              <w:spacing w:after="0" w:line="129" w:lineRule="exact"/>
              <w:rPr>
                <w:sz w:val="20"/>
                <w:szCs w:val="20"/>
                <w:color w:val="auto"/>
              </w:rPr>
            </w:pPr>
            <w:r>
              <w:rPr>
                <w:rFonts w:ascii="Arial" w:cs="Arial" w:eastAsia="Arial" w:hAnsi="Arial"/>
                <w:sz w:val="13"/>
                <w:szCs w:val="13"/>
                <w:color w:val="auto"/>
              </w:rPr>
              <w:t>32</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241</w:t>
            </w: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contracts</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(605)</w:t>
            </w:r>
          </w:p>
        </w:tc>
        <w:tc>
          <w:tcPr>
            <w:tcW w:w="1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Other income, net</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(839)</w:t>
            </w: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gridSpan w:val="2"/>
          </w:tcPr>
          <w:p>
            <w:pPr>
              <w:spacing w:after="0" w:line="129" w:lineRule="exact"/>
              <w:rPr>
                <w:sz w:val="20"/>
                <w:szCs w:val="20"/>
                <w:color w:val="auto"/>
              </w:rPr>
            </w:pPr>
            <w:r>
              <w:rPr>
                <w:rFonts w:ascii="Arial" w:cs="Arial" w:eastAsia="Arial" w:hAnsi="Arial"/>
                <w:sz w:val="13"/>
                <w:szCs w:val="13"/>
                <w:color w:val="auto"/>
              </w:rPr>
              <w:t>Total</w:t>
            </w: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670</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(966)</w:t>
            </w:r>
          </w:p>
        </w:tc>
        <w:tc>
          <w:tcPr>
            <w:tcW w:w="1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(1,940)</w:t>
            </w: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May 2, 2014, the company expects to reclassify approximately $0.2 million of losses from AOCL to earnings during the next twelve months.</w:t>
      </w:r>
    </w:p>
    <w:p>
      <w:pPr>
        <w:spacing w:after="0" w:line="237"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2"/>
              </w:rPr>
              <w:t>Gain (Loss) Recognized in Net Earnings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(Loss)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6"/>
          </w:tcPr>
          <w:p>
            <w:pPr>
              <w:jc w:val="right"/>
              <w:ind w:right="800"/>
              <w:spacing w:after="0" w:line="142"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2"/>
                <w:szCs w:val="12"/>
                <w:color w:val="auto"/>
              </w:rPr>
            </w:pPr>
          </w:p>
        </w:tc>
        <w:tc>
          <w:tcPr>
            <w:tcW w:w="2300" w:type="dxa"/>
            <w:vAlign w:val="bottom"/>
            <w:gridSpan w:val="4"/>
          </w:tcPr>
          <w:p>
            <w:pPr>
              <w:jc w:val="right"/>
              <w:ind w:right="598"/>
              <w:spacing w:after="0" w:line="142" w:lineRule="exact"/>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May 2,</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258"/>
              <w:spacing w:after="0" w:line="119" w:lineRule="exact"/>
              <w:rPr>
                <w:sz w:val="20"/>
                <w:szCs w:val="20"/>
                <w:color w:val="auto"/>
              </w:rPr>
            </w:pPr>
            <w:r>
              <w:rPr>
                <w:rFonts w:ascii="Arial" w:cs="Arial" w:eastAsia="Arial" w:hAnsi="Arial"/>
                <w:sz w:val="13"/>
                <w:szCs w:val="13"/>
                <w:b w:val="1"/>
                <w:bCs w:val="1"/>
                <w:color w:val="auto"/>
              </w:rPr>
              <w:t>May 3,</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May 2,</w:t>
            </w: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38"/>
              <w:spacing w:after="0" w:line="119" w:lineRule="exact"/>
              <w:rPr>
                <w:sz w:val="20"/>
                <w:szCs w:val="20"/>
                <w:color w:val="auto"/>
              </w:rPr>
            </w:pPr>
            <w:r>
              <w:rPr>
                <w:rFonts w:ascii="Arial" w:cs="Arial" w:eastAsia="Arial" w:hAnsi="Arial"/>
                <w:sz w:val="13"/>
                <w:szCs w:val="13"/>
                <w:b w:val="1"/>
                <w:bCs w:val="1"/>
                <w:color w:val="auto"/>
              </w:rPr>
              <w:t>May 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gridSpan w:val="3"/>
            <w:vMerge w:val="continue"/>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Recognized in Net Earnings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currency contracts</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Cross currency contracts</w:t>
            </w:r>
          </w:p>
        </w:tc>
        <w:tc>
          <w:tcPr>
            <w:tcW w:w="228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(3,626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2,736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9"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(3,267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CCEEFF"/>
          </w:tcPr>
          <w:p>
            <w:pPr>
              <w:jc w:val="right"/>
              <w:ind w:right="50"/>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(1,141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75767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57670" cy="34290"/>
                    </a:xfrm>
                    <a:prstGeom prst="rect">
                      <a:avLst/>
                    </a:prstGeom>
                    <a:noFill/>
                  </pic:spPr>
                </pic:pic>
              </a:graphicData>
            </a:graphic>
          </wp:anchor>
        </w:drawing>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The company entered into an International Swap Dealers Association Master Agreement (“ISDA”) with each counterparty that permits the net settlement of amounts owed under their respective contracts. The ISDA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contracts at the net amount in its consolidated balance sheets.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tables show the effects of the master netting arrangements on the fair value of the company’s derivative contracts that are recorded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340" w:type="dxa"/>
            <w:vAlign w:val="bottom"/>
            <w:gridSpan w:val="3"/>
          </w:tcPr>
          <w:p>
            <w:pPr>
              <w:jc w:val="center"/>
              <w:ind w:right="340"/>
              <w:spacing w:after="0" w:line="110" w:lineRule="exact"/>
              <w:rPr>
                <w:sz w:val="20"/>
                <w:szCs w:val="20"/>
                <w:color w:val="auto"/>
              </w:rPr>
            </w:pPr>
            <w:r>
              <w:rPr>
                <w:rFonts w:ascii="Arial" w:cs="Arial" w:eastAsia="Arial" w:hAnsi="Arial"/>
                <w:sz w:val="12"/>
                <w:szCs w:val="12"/>
                <w:b w:val="1"/>
                <w:bCs w:val="1"/>
                <w:color w:val="auto"/>
                <w:w w:val="94"/>
              </w:rPr>
              <w:t>Gross Liabilities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jc w:val="center"/>
              <w:ind w:right="98"/>
              <w:spacing w:after="0" w:line="110" w:lineRule="exact"/>
              <w:rPr>
                <w:sz w:val="20"/>
                <w:szCs w:val="20"/>
                <w:color w:val="auto"/>
              </w:rPr>
            </w:pPr>
            <w:r>
              <w:rPr>
                <w:rFonts w:ascii="Arial" w:cs="Arial" w:eastAsia="Arial" w:hAnsi="Arial"/>
                <w:sz w:val="12"/>
                <w:szCs w:val="12"/>
                <w:b w:val="1"/>
                <w:bCs w:val="1"/>
                <w:color w:val="auto"/>
                <w:w w:val="93"/>
              </w:rPr>
              <w:t>Net Amounts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center"/>
              <w:ind w:right="34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87"/>
              </w:rPr>
              <w:t>Gross Assets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jc w:val="right"/>
              <w:ind w:right="258"/>
              <w:spacing w:after="0" w:line="110" w:lineRule="exact"/>
              <w:rPr>
                <w:sz w:val="20"/>
                <w:szCs w:val="20"/>
                <w:color w:val="auto"/>
              </w:rPr>
            </w:pPr>
            <w:r>
              <w:rPr>
                <w:rFonts w:ascii="Arial" w:cs="Arial" w:eastAsia="Arial" w:hAnsi="Arial"/>
                <w:sz w:val="12"/>
                <w:szCs w:val="12"/>
                <w:b w:val="1"/>
                <w:bCs w:val="1"/>
                <w:color w:val="auto"/>
              </w:rPr>
              <w:t>Net Amounts of</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of Recognized</w:t>
            </w:r>
          </w:p>
        </w:tc>
        <w:tc>
          <w:tcPr>
            <w:tcW w:w="120" w:type="dxa"/>
            <w:vAlign w:val="bottom"/>
          </w:tcPr>
          <w:p>
            <w:pPr>
              <w:spacing w:after="0"/>
              <w:rPr>
                <w:sz w:val="11"/>
                <w:szCs w:val="11"/>
                <w:color w:val="auto"/>
              </w:rPr>
            </w:pPr>
          </w:p>
        </w:tc>
        <w:tc>
          <w:tcPr>
            <w:tcW w:w="134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of Assets Presented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of Recognized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340"/>
              <w:spacing w:after="0" w:line="135" w:lineRule="exact"/>
              <w:rPr>
                <w:sz w:val="20"/>
                <w:szCs w:val="20"/>
                <w:color w:val="auto"/>
              </w:rPr>
            </w:pPr>
            <w:r>
              <w:rPr>
                <w:rFonts w:ascii="Arial" w:cs="Arial" w:eastAsia="Arial" w:hAnsi="Arial"/>
                <w:sz w:val="13"/>
                <w:szCs w:val="13"/>
                <w:b w:val="1"/>
                <w:bCs w:val="1"/>
                <w:color w:val="auto"/>
                <w:w w:val="90"/>
              </w:rPr>
              <w:t>Liabilities Presented</w:t>
            </w:r>
          </w:p>
        </w:tc>
      </w:tr>
      <w:tr>
        <w:trPr>
          <w:trHeight w:val="153"/>
        </w:trPr>
        <w:tc>
          <w:tcPr>
            <w:tcW w:w="1720" w:type="dxa"/>
            <w:vAlign w:val="bottom"/>
          </w:tcPr>
          <w:p>
            <w:pPr>
              <w:spacing w:after="0"/>
              <w:rPr>
                <w:sz w:val="20"/>
                <w:szCs w:val="20"/>
                <w:color w:val="auto"/>
              </w:rPr>
            </w:pPr>
            <w:r>
              <w:rPr>
                <w:rFonts w:ascii="Arial" w:cs="Arial" w:eastAsia="Arial" w:hAnsi="Arial"/>
                <w:sz w:val="13"/>
                <w:szCs w:val="13"/>
                <w:b w:val="1"/>
                <w:bCs w:val="1"/>
                <w:color w:val="auto"/>
              </w:rPr>
              <w:t>May 2, 2014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5"/>
              </w:rPr>
              <w:t>Balance Sheet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in the Balance Sheet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9"/>
              </w:rPr>
              <w:t>Liabilities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Balance Sheet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89"/>
              </w:rPr>
              <w:t>in the Balance Sheet</w:t>
            </w:r>
          </w:p>
        </w:tc>
      </w:tr>
      <w:tr>
        <w:trPr>
          <w:trHeight w:val="129"/>
        </w:trPr>
        <w:tc>
          <w:tcPr>
            <w:tcW w:w="17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ind w:left="1000"/>
              <w:spacing w:after="0" w:line="129" w:lineRule="exact"/>
              <w:rPr>
                <w:sz w:val="20"/>
                <w:szCs w:val="20"/>
                <w:color w:val="auto"/>
              </w:rPr>
            </w:pPr>
            <w:r>
              <w:rPr>
                <w:rFonts w:ascii="Arial" w:cs="Arial" w:eastAsia="Arial" w:hAnsi="Arial"/>
                <w:sz w:val="13"/>
                <w:szCs w:val="13"/>
                <w:color w:val="auto"/>
                <w:w w:val="76"/>
              </w:rPr>
              <w:t>—</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tcBorders>
            <w:shd w:val="clear" w:color="auto" w:fill="CCEEFF"/>
          </w:tcPr>
          <w:p>
            <w:pPr>
              <w:jc w:val="center"/>
              <w:ind w:left="1158"/>
              <w:spacing w:after="0" w:line="129" w:lineRule="exact"/>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(2,650)</w:t>
            </w:r>
          </w:p>
        </w:tc>
        <w:tc>
          <w:tcPr>
            <w:tcW w:w="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607</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340" w:type="dxa"/>
            <w:vAlign w:val="bottom"/>
            <w:gridSpan w:val="3"/>
          </w:tcPr>
          <w:p>
            <w:pPr>
              <w:ind w:left="10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left="1038"/>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(653)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(653)</w:t>
            </w:r>
          </w:p>
        </w:tc>
      </w:tr>
      <w:tr>
        <w:trPr>
          <w:trHeight w:val="129"/>
        </w:trPr>
        <w:tc>
          <w:tcPr>
            <w:tcW w:w="17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20" w:type="dxa"/>
            <w:vAlign w:val="bottom"/>
            <w:tcBorders>
              <w:top w:val="single" w:sz="8" w:color="auto"/>
              <w:bottom w:val="single" w:sz="8" w:color="auto"/>
            </w:tcBorders>
            <w:shd w:val="clear" w:color="auto" w:fill="CCEEFF"/>
          </w:tcPr>
          <w:p>
            <w:pPr>
              <w:ind w:left="1000"/>
              <w:spacing w:after="0" w:line="129" w:lineRule="exact"/>
              <w:rPr>
                <w:sz w:val="20"/>
                <w:szCs w:val="20"/>
                <w:color w:val="auto"/>
              </w:rPr>
            </w:pPr>
            <w:r>
              <w:rPr>
                <w:rFonts w:ascii="Arial" w:cs="Arial" w:eastAsia="Arial" w:hAnsi="Arial"/>
                <w:sz w:val="13"/>
                <w:szCs w:val="13"/>
                <w:color w:val="auto"/>
                <w:w w:val="76"/>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340" w:type="dxa"/>
            <w:vAlign w:val="bottom"/>
            <w:tcBorders>
              <w:top w:val="single" w:sz="8" w:color="auto"/>
              <w:bottom w:val="single" w:sz="8" w:color="auto"/>
            </w:tcBorders>
            <w:shd w:val="clear" w:color="auto" w:fill="CCEEFF"/>
          </w:tcPr>
          <w:p>
            <w:pPr>
              <w:jc w:val="center"/>
              <w:ind w:left="1158"/>
              <w:spacing w:after="0" w:line="129" w:lineRule="exact"/>
              <w:rPr>
                <w:sz w:val="20"/>
                <w:szCs w:val="20"/>
                <w:color w:val="auto"/>
              </w:rPr>
            </w:pPr>
            <w:r>
              <w:rPr>
                <w:rFonts w:ascii="Arial" w:cs="Arial" w:eastAsia="Arial" w:hAnsi="Arial"/>
                <w:sz w:val="13"/>
                <w:szCs w:val="13"/>
                <w:color w:val="auto"/>
                <w:w w:val="91"/>
              </w:rPr>
              <w:t>—</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(3,303)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607</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2"/>
        </w:trPr>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rPr>
              <w:t>Assets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10"/>
        </w:trPr>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340"/>
              <w:spacing w:after="0" w:line="110" w:lineRule="exact"/>
              <w:rPr>
                <w:sz w:val="20"/>
                <w:szCs w:val="20"/>
                <w:color w:val="auto"/>
              </w:rPr>
            </w:pPr>
            <w:r>
              <w:rPr>
                <w:rFonts w:ascii="Arial" w:cs="Arial" w:eastAsia="Arial" w:hAnsi="Arial"/>
                <w:sz w:val="12"/>
                <w:szCs w:val="12"/>
                <w:b w:val="1"/>
                <w:bCs w:val="1"/>
                <w:color w:val="auto"/>
                <w:w w:val="91"/>
              </w:rPr>
              <w:t>Gross Amounts</w:t>
            </w:r>
          </w:p>
        </w:tc>
        <w:tc>
          <w:tcPr>
            <w:tcW w:w="120" w:type="dxa"/>
            <w:vAlign w:val="bottom"/>
          </w:tcPr>
          <w:p>
            <w:pPr>
              <w:spacing w:after="0"/>
              <w:rPr>
                <w:sz w:val="9"/>
                <w:szCs w:val="9"/>
                <w:color w:val="auto"/>
              </w:rPr>
            </w:pPr>
          </w:p>
        </w:tc>
        <w:tc>
          <w:tcPr>
            <w:tcW w:w="1340" w:type="dxa"/>
            <w:vAlign w:val="bottom"/>
            <w:gridSpan w:val="3"/>
          </w:tcPr>
          <w:p>
            <w:pPr>
              <w:jc w:val="center"/>
              <w:ind w:right="340"/>
              <w:spacing w:after="0" w:line="110" w:lineRule="exact"/>
              <w:rPr>
                <w:sz w:val="20"/>
                <w:szCs w:val="20"/>
                <w:color w:val="auto"/>
              </w:rPr>
            </w:pPr>
            <w:r>
              <w:rPr>
                <w:rFonts w:ascii="Arial" w:cs="Arial" w:eastAsia="Arial" w:hAnsi="Arial"/>
                <w:sz w:val="12"/>
                <w:szCs w:val="12"/>
                <w:b w:val="1"/>
                <w:bCs w:val="1"/>
                <w:color w:val="auto"/>
                <w:w w:val="94"/>
              </w:rPr>
              <w:t>Gross Liabilities</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3"/>
              </w:rPr>
              <w:t>Net Amounts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center"/>
              <w:ind w:right="280"/>
              <w:spacing w:after="0" w:line="110" w:lineRule="exact"/>
              <w:rPr>
                <w:sz w:val="20"/>
                <w:szCs w:val="20"/>
                <w:color w:val="auto"/>
              </w:rPr>
            </w:pPr>
            <w:r>
              <w:rPr>
                <w:rFonts w:ascii="Arial" w:cs="Arial" w:eastAsia="Arial" w:hAnsi="Arial"/>
                <w:sz w:val="12"/>
                <w:szCs w:val="12"/>
                <w:b w:val="1"/>
                <w:bCs w:val="1"/>
                <w:color w:val="auto"/>
                <w:w w:val="93"/>
              </w:rPr>
              <w:t>Gross Amounts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87"/>
              </w:rPr>
              <w:t>Gross Assets</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rPr>
              <w:t>Net Amounts of</w:t>
            </w:r>
          </w:p>
        </w:tc>
        <w:tc>
          <w:tcPr>
            <w:tcW w:w="120" w:type="dxa"/>
            <w:vAlign w:val="bottom"/>
          </w:tcPr>
          <w:p>
            <w:pPr>
              <w:spacing w:after="0"/>
              <w:rPr>
                <w:sz w:val="9"/>
                <w:szCs w:val="9"/>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b w:val="1"/>
                <w:bCs w:val="1"/>
                <w:color w:val="auto"/>
              </w:rPr>
              <w:t>(Dollars 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3"/>
              </w:rPr>
              <w:t>of Recognized</w:t>
            </w:r>
          </w:p>
        </w:tc>
        <w:tc>
          <w:tcPr>
            <w:tcW w:w="120" w:type="dxa"/>
            <w:vAlign w:val="bottom"/>
          </w:tcPr>
          <w:p>
            <w:pPr>
              <w:spacing w:after="0"/>
              <w:rPr>
                <w:sz w:val="11"/>
                <w:szCs w:val="11"/>
                <w:color w:val="auto"/>
              </w:rPr>
            </w:pPr>
          </w:p>
        </w:tc>
        <w:tc>
          <w:tcPr>
            <w:tcW w:w="13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1"/>
              </w:rPr>
              <w:t>of Assets Presented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of Recognized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offset in the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320"/>
              <w:spacing w:after="0" w:line="135" w:lineRule="exact"/>
              <w:rPr>
                <w:sz w:val="20"/>
                <w:szCs w:val="20"/>
                <w:color w:val="auto"/>
              </w:rPr>
            </w:pPr>
            <w:r>
              <w:rPr>
                <w:rFonts w:ascii="Arial" w:cs="Arial" w:eastAsia="Arial" w:hAnsi="Arial"/>
                <w:sz w:val="13"/>
                <w:szCs w:val="13"/>
                <w:b w:val="1"/>
                <w:bCs w:val="1"/>
                <w:color w:val="auto"/>
                <w:w w:val="91"/>
              </w:rPr>
              <w:t>Liabilities Presented</w:t>
            </w:r>
          </w:p>
        </w:tc>
      </w:tr>
      <w:tr>
        <w:trPr>
          <w:trHeight w:val="153"/>
        </w:trPr>
        <w:tc>
          <w:tcPr>
            <w:tcW w:w="1720" w:type="dxa"/>
            <w:vAlign w:val="bottom"/>
          </w:tcPr>
          <w:p>
            <w:pPr>
              <w:spacing w:after="0"/>
              <w:rPr>
                <w:sz w:val="20"/>
                <w:szCs w:val="20"/>
                <w:color w:val="auto"/>
              </w:rPr>
            </w:pPr>
            <w:r>
              <w:rPr>
                <w:rFonts w:ascii="Arial" w:cs="Arial" w:eastAsia="Arial" w:hAnsi="Arial"/>
                <w:sz w:val="13"/>
                <w:szCs w:val="13"/>
                <w:b w:val="1"/>
                <w:bCs w:val="1"/>
                <w:color w:val="auto"/>
              </w:rPr>
              <w:t>May 3, 2013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5"/>
              </w:rPr>
              <w:t>Balance Sheet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in the Balance Sheet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9"/>
              </w:rPr>
              <w:t>Liabilities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Balance Sheet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w w:val="91"/>
              </w:rPr>
              <w:t>in the Balance Sheet</w:t>
            </w:r>
          </w:p>
        </w:tc>
      </w:tr>
      <w:tr>
        <w:trPr>
          <w:trHeight w:val="129"/>
        </w:trPr>
        <w:tc>
          <w:tcPr>
            <w:tcW w:w="17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2,268</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gridSpan w:val="2"/>
            <w:shd w:val="clear" w:color="auto" w:fill="CCEEFF"/>
          </w:tcPr>
          <w:p>
            <w:pPr>
              <w:ind w:left="10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2,268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(1,241)</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(1,241)</w:t>
            </w:r>
          </w:p>
        </w:tc>
        <w:tc>
          <w:tcPr>
            <w:tcW w:w="120" w:type="dxa"/>
            <w:vAlign w:val="bottom"/>
            <w:tcBorders>
              <w:top w:val="single" w:sz="8" w:color="CCEEFF"/>
            </w:tcBorders>
            <w:shd w:val="clear" w:color="auto" w:fill="CCEEFF"/>
          </w:tcPr>
          <w:p>
            <w:pPr>
              <w:spacing w:after="0"/>
              <w:rPr>
                <w:sz w:val="11"/>
                <w:szCs w:val="11"/>
                <w:color w:val="auto"/>
              </w:rPr>
            </w:pPr>
          </w:p>
        </w:tc>
      </w:tr>
      <w:tr>
        <w:trPr>
          <w:trHeight w:val="135"/>
        </w:trPr>
        <w:tc>
          <w:tcPr>
            <w:tcW w:w="1720" w:type="dxa"/>
            <w:vAlign w:val="bottom"/>
          </w:tcPr>
          <w:p>
            <w:pPr>
              <w:spacing w:after="0" w:line="135" w:lineRule="exact"/>
              <w:rPr>
                <w:sz w:val="20"/>
                <w:szCs w:val="20"/>
                <w:color w:val="auto"/>
              </w:rPr>
            </w:pPr>
            <w:r>
              <w:rPr>
                <w:rFonts w:ascii="Arial" w:cs="Arial" w:eastAsia="Arial" w:hAnsi="Arial"/>
                <w:sz w:val="13"/>
                <w:szCs w:val="13"/>
                <w:color w:val="auto"/>
              </w:rPr>
              <w:t>Cross currency contracts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189</w:t>
            </w:r>
          </w:p>
        </w:tc>
        <w:tc>
          <w:tcPr>
            <w:tcW w:w="120" w:type="dxa"/>
            <w:vAlign w:val="bottom"/>
          </w:tcPr>
          <w:p>
            <w:pPr>
              <w:spacing w:after="0"/>
              <w:rPr>
                <w:sz w:val="11"/>
                <w:szCs w:val="11"/>
                <w:color w:val="auto"/>
              </w:rPr>
            </w:pPr>
          </w:p>
        </w:tc>
        <w:tc>
          <w:tcPr>
            <w:tcW w:w="1340" w:type="dxa"/>
            <w:vAlign w:val="bottom"/>
            <w:gridSpan w:val="3"/>
          </w:tcPr>
          <w:p>
            <w:pPr>
              <w:ind w:left="10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3"/>
          </w:tcPr>
          <w:p>
            <w:pPr>
              <w:jc w:val="center"/>
              <w:ind w:left="1018"/>
              <w:spacing w:after="0" w:line="135" w:lineRule="exact"/>
              <w:rPr>
                <w:sz w:val="20"/>
                <w:szCs w:val="20"/>
                <w:color w:val="auto"/>
              </w:rPr>
            </w:pPr>
            <w:r>
              <w:rPr>
                <w:rFonts w:ascii="Arial" w:cs="Arial" w:eastAsia="Arial" w:hAnsi="Arial"/>
                <w:sz w:val="13"/>
                <w:szCs w:val="13"/>
                <w:color w:val="auto"/>
                <w:w w:val="82"/>
              </w:rPr>
              <w:t>189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(598)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(598)</w:t>
            </w:r>
          </w:p>
        </w:tc>
      </w:tr>
      <w:tr>
        <w:trPr>
          <w:trHeight w:val="129"/>
        </w:trPr>
        <w:tc>
          <w:tcPr>
            <w:tcW w:w="17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2,457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140" w:type="dxa"/>
            <w:vAlign w:val="bottom"/>
            <w:tcBorders>
              <w:top w:val="single" w:sz="8" w:color="auto"/>
              <w:bottom w:val="single" w:sz="8" w:color="auto"/>
            </w:tcBorders>
            <w:gridSpan w:val="2"/>
            <w:shd w:val="clear" w:color="auto" w:fill="CCEEFF"/>
          </w:tcPr>
          <w:p>
            <w:pPr>
              <w:ind w:left="1000"/>
              <w:spacing w:after="0" w:line="129" w:lineRule="exact"/>
              <w:rPr>
                <w:sz w:val="20"/>
                <w:szCs w:val="20"/>
                <w:color w:val="auto"/>
              </w:rPr>
            </w:pPr>
            <w:r>
              <w:rPr>
                <w:rFonts w:ascii="Arial" w:cs="Arial" w:eastAsia="Arial" w:hAnsi="Arial"/>
                <w:sz w:val="13"/>
                <w:szCs w:val="13"/>
                <w:color w:val="auto"/>
                <w:w w:val="91"/>
              </w:rPr>
              <w:t>—</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2,457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(1,839)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38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(1,839)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Cash balances are valued at their carrying amounts in the consolidated balance sheets, which are reasonable estimates of their fair value due to their short-term nature. Forward currency contracts are valued based on observable market transactions of forward currency prices and spot currency rates as of the reporting date. The fair value of cross currency contracts is determined using discounted cash flow analysis on the expected cash flows of each derivative. This analysis reflects the contractual terms of the derivatives, including the period to maturity, and uses observable market-based inputs such as interest rates and foreign currency exchange rates. In addition, credit valuation adjustments, which consider the impact of any credit enhancements to the contracts, such as collateral postings, thresholds, mutual puts, and guarantees, are incorporated in the fair values to account for potential nonperformance risk.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Assets and liabilities measured at fair value on a recurring basis, as of May 2, 2014, May 3, 2013, and October 31, 2013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May 2, 2014</w:t>
            </w:r>
          </w:p>
        </w:tc>
        <w:tc>
          <w:tcPr>
            <w:tcW w:w="2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129,909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129,909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2,043</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2,439</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May 3, 2013</w:t>
            </w:r>
          </w:p>
        </w:tc>
        <w:tc>
          <w:tcPr>
            <w:tcW w:w="24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80,341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80,341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2,268</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395" w:right="25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189</w:t>
            </w:r>
          </w:p>
        </w:tc>
        <w:tc>
          <w:tcPr>
            <w:tcW w:w="280" w:type="dxa"/>
            <w:vAlign w:val="bottom"/>
          </w:tcPr>
          <w:p>
            <w:pPr>
              <w:spacing w:after="0"/>
              <w:rPr>
                <w:sz w:val="20"/>
                <w:szCs w:val="20"/>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80,341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1,241</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28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598</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3,180</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October 31, 2013</w:t>
            </w:r>
          </w:p>
        </w:tc>
        <w:tc>
          <w:tcPr>
            <w:tcW w:w="24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182,993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182,993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184,259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6"/>
              </w:rPr>
              <w:t>182,993</w:t>
            </w:r>
          </w:p>
        </w:tc>
        <w:tc>
          <w:tcPr>
            <w:tcW w:w="3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3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Forward currency contracts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1,931</w:t>
            </w:r>
          </w:p>
        </w:tc>
        <w:tc>
          <w:tcPr>
            <w:tcW w:w="28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1,931</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Cross currency contracts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w:t>
            </w:r>
          </w:p>
        </w:tc>
        <w:tc>
          <w:tcPr>
            <w:tcW w:w="14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gridSpan w:val="2"/>
          </w:tcPr>
          <w:p>
            <w:pPr>
              <w:ind w:left="180"/>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2,777</w:t>
            </w:r>
          </w:p>
        </w:tc>
        <w:tc>
          <w:tcPr>
            <w:tcW w:w="280" w:type="dxa"/>
            <w:vAlign w:val="bottom"/>
          </w:tcPr>
          <w:p>
            <w:pPr>
              <w:spacing w:after="0"/>
              <w:rPr>
                <w:sz w:val="18"/>
                <w:szCs w:val="18"/>
                <w:color w:val="auto"/>
              </w:rPr>
            </w:pPr>
          </w:p>
        </w:tc>
        <w:tc>
          <w:tcPr>
            <w:tcW w:w="13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2,777</w:t>
            </w:r>
          </w:p>
        </w:tc>
        <w:tc>
          <w:tcPr>
            <w:tcW w:w="14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three and six months ended May 2, 2014 and May 3, 2013, or the twelve months ended October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 Litigation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is party to litigation in the ordinary course of business. Such matters are generally subject to uncertainties and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and foreign patent offices. Management believes these activities help minimize its risk of being a defendant in patent infringement litigation.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is not estimable, or both, if there is a reasonable possibility that a material loss may have been incurred. Management believes the amount of liability, if any, with respect to these matters, individually or in the aggregate, will not materially affect its consolidated results of operations, financial position, or cash flows.</w:t>
      </w:r>
    </w:p>
    <w:p>
      <w:pPr>
        <w:spacing w:after="0" w:line="120" w:lineRule="exact"/>
        <w:rPr>
          <w:sz w:val="20"/>
          <w:szCs w:val="20"/>
          <w:color w:val="auto"/>
        </w:rPr>
      </w:pPr>
    </w:p>
    <w:p>
      <w:pPr>
        <w:ind w:right="42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landscaping equipment and lighting, turf irrigation systems, agricultural micro-irrigation systems, rental and construction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We strive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92"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Our results for the second quarter of fiscal 2014 were positive with a net sales increase of 5.8 percent and a net earnings increase of 11.1 percent, each as compared to the second quarter of fiscal 2013. Year-to-date net earnings increased 2.9 percent in fiscal 2014 compared to the same period in the prior fiscal year on a net sales increase of 3.6 percent. Sales for our professional segment increased 6.5 percent in the second quarter of fiscal 2014 compared to the second quarter of fiscal 2013 but were essentially flat for the year-to-date period of fiscal 2014 compared to the same period in the prior fiscal year. Professional segment sales for the recent periods were positively impacted from strong shipments and demand for landscape contractor equipment, higher sales of micro-irrigation products from continued market growth and demand, increased sales of rental and construction equipment, including recently acquired products newly introduced under the Toro brand, and our innovative product offerings of golf equipment and irrigation systems. However, for the year-to-date period of fiscal 2014 compared to the same period last fiscal year, professional segment net sales were negatively impacted due to the strong</w:t>
      </w:r>
    </w:p>
    <w:p>
      <w:pPr>
        <w:sectPr>
          <w:pgSz w:w="11900" w:h="16838" w:orient="portrait"/>
          <w:cols w:equalWidth="0" w:num="1">
            <w:col w:w="11400"/>
          </w:cols>
          <w:pgMar w:left="240" w:top="125" w:right="259" w:bottom="0" w:gutter="0" w:footer="0" w:header="0"/>
        </w:sectPr>
      </w:pPr>
    </w:p>
    <w:bookmarkStart w:id="11" w:name="page12"/>
    <w:bookmarkEnd w:id="11"/>
    <w:p>
      <w:pPr>
        <w:ind w:right="60"/>
        <w:spacing w:after="0" w:line="293" w:lineRule="auto"/>
        <w:rPr>
          <w:sz w:val="20"/>
          <w:szCs w:val="20"/>
          <w:color w:val="auto"/>
        </w:rPr>
      </w:pPr>
      <w:r>
        <w:rPr>
          <w:rFonts w:ascii="Arial" w:cs="Arial" w:eastAsia="Arial" w:hAnsi="Arial"/>
          <w:sz w:val="16"/>
          <w:szCs w:val="16"/>
          <w:color w:val="auto"/>
        </w:rPr>
        <w:t>demand we experienced in the first quarter of fiscal 2013 due to anticipated price increases for products subject to Tier 4 diesel engine emission requirements that were manufactured after January 1, 2013, and such demand was not repeated this fiscal year. Residential segment sales were up 4.5 percent and 11.0 percent for our second quarter and year-to-date periods of fiscal 2014, respectively, compared to the same periods in the prior fiscal year largely due to higher shipments and demand for our zero turn riding mowers, increased sales of electric trimmer and blower products, and higher snow thrower product and parts sales in the first quarter of fiscal 2014 due to heavy snowfalls across key markets. However, sales in Australia for both the second quarter and year-to-date comparisons were down primarily due to unfavorable foreign currency exchange rate changes and weather conditions.</w:t>
      </w:r>
    </w:p>
    <w:p>
      <w:pPr>
        <w:spacing w:after="0" w:line="165"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Our net earnings growth in the second quarter and year-to-date periods of fiscal 2014 resulted primarily from leveraging fixed SG&amp;A costs over higher sales volumes and a decrease in interest expense, somewhat offset by a decline in our gross margin rates. Additionally, for the year-to-date comparison, our effective tax rate increased primarily as a result of the benefit in the first quarter of fiscal 2013 from the retroactive reinstatement of the domestic research tax credit, which expired on December 31, 2013.</w:t>
      </w:r>
    </w:p>
    <w:p>
      <w:pPr>
        <w:spacing w:after="0" w:line="187"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Our overall financial condition remains strong, and we continued to make good progress on reducing our working capital. Inventory levels decreased $7.5 million, or 2.4 percent, as of the end of the second quarter of fiscal 2014 compared to the end of the second quarter of fiscal 2013 primarily due to lower snow thrower inventory levels. Our receivables increased by $5.7 million, or 1.9 percent, as of the end of the second quarter of fiscal 2014 compared to the end of the second quarter of fiscal 2013 due to higher sales. Also contributing to our reduction in working capital was an increase in accounts payable of $32.3 million, or 15.8 percent, as of the end of our second quarter of fiscal 2014 compared to the same period last fiscal year due to recent purchases of commodities and components as we anticipate strong product demand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second half of fiscal 2014. We also increased our second quarter cash dividend by 42.9 percent to $0.20 per share compared to the $0.14 per share cash dividend paid in the second quarter of fiscal 2013.</w:t>
      </w:r>
    </w:p>
    <w:p>
      <w:pPr>
        <w:spacing w:after="0" w:line="170" w:lineRule="exact"/>
        <w:rPr>
          <w:sz w:val="20"/>
          <w:szCs w:val="20"/>
          <w:color w:val="auto"/>
        </w:rPr>
      </w:pPr>
    </w:p>
    <w:p>
      <w:pPr>
        <w:ind w:right="220" w:firstLine="270"/>
        <w:spacing w:after="0" w:line="257" w:lineRule="auto"/>
        <w:rPr>
          <w:sz w:val="20"/>
          <w:szCs w:val="20"/>
          <w:color w:val="auto"/>
        </w:rPr>
      </w:pPr>
      <w:r>
        <w:rPr>
          <w:rFonts w:ascii="Arial" w:cs="Arial" w:eastAsia="Arial" w:hAnsi="Arial"/>
          <w:sz w:val="18"/>
          <w:szCs w:val="18"/>
          <w:color w:val="auto"/>
        </w:rPr>
        <w:t>Our multi-year initiative, “Destination 2014,” which began with our 2011 fiscal year, will take us to our centennial in 2014 and into our second century. This is our final year of this four-year initiative, which is intended to focus our efforts on driving our legacy of excellence through building caring relationships and engaging in innovation. Through our Destination 2014 initiative financial goals, we strive to achieve $100 million in organic revenue growth each fiscal year and 12 percent operating earnings as a percentage of net sales by the end of fiscal 2014. We define organic revenue growth as the increase in net sales, less net sales from acquisitions that occurred in the current fiscal year.</w:t>
      </w:r>
    </w:p>
    <w:p>
      <w:pPr>
        <w:spacing w:after="0" w:line="188" w:lineRule="exact"/>
        <w:rPr>
          <w:sz w:val="20"/>
          <w:szCs w:val="20"/>
          <w:color w:val="auto"/>
        </w:rPr>
      </w:pPr>
    </w:p>
    <w:p>
      <w:pPr>
        <w:ind w:right="200" w:firstLine="270"/>
        <w:spacing w:after="0" w:line="302" w:lineRule="auto"/>
        <w:rPr>
          <w:sz w:val="20"/>
          <w:szCs w:val="20"/>
          <w:color w:val="auto"/>
        </w:rPr>
      </w:pPr>
      <w:r>
        <w:rPr>
          <w:rFonts w:ascii="Arial" w:cs="Arial" w:eastAsia="Arial" w:hAnsi="Arial"/>
          <w:sz w:val="16"/>
          <w:szCs w:val="16"/>
          <w:color w:val="auto"/>
        </w:rPr>
        <w:t>During the remainder of fiscal 2014, we intend to continue to focus on generating customer demand and aggressively driving retail sales for our innovative products, while keeping production closely aligned with expected shipment volumes. We also intend to continue to keep a cautionary eye on the global economic environment, weather conditions, retail demand, field inventory levels, commodity prices, competitive actions, expenses, and other factors identified below under the heading “Forward-Looking Information,” which could cause our actual results to differ from our anticipated outlook.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Net earnings for the second quarter of fiscal 2014 were $87.1 million, or $1.51 per diluted share, compared to $78.4 million, or $1.32 per diluted share, for the second quarter of fiscal 2013, resulting in a net earnings per diluted share increase of 14.4 percent. Year-to-date net earnings in fiscal 2014 were $113.0 million, or $1.95 per diluted share, compared to $109.8 million, or $1.85 per diluted share, in the same comparable period last fiscal year, resulting in a net earnings per diluted share increase of 5.4 percent. The primary factors contributing to our earnings improvements were leveraging SG&amp;A costs over higher sales volumes and a decline in interest expense, somewhat offset by a decrease in gross margin rates. In addition, second quarter and year-to-date fiscal 2014 net earnings per diluted share were benefited by approximately $0.04 per share and $0.05 per share, respectively, compared to the same periods in fiscal 2013, as a result of reduced shares outstanding from repurchases of our common stock.</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3"/>
              </w:rPr>
              <w:t>Six Months Ended</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19"/>
        </w:trPr>
        <w:tc>
          <w:tcPr>
            <w:tcW w:w="4180" w:type="dxa"/>
            <w:vAlign w:val="bottom"/>
          </w:tcPr>
          <w:p>
            <w:pPr>
              <w:spacing w:after="0"/>
              <w:rPr>
                <w:sz w:val="10"/>
                <w:szCs w:val="10"/>
                <w:color w:val="auto"/>
              </w:rPr>
            </w:pPr>
          </w:p>
        </w:tc>
        <w:tc>
          <w:tcPr>
            <w:tcW w:w="920" w:type="dxa"/>
            <w:vAlign w:val="bottom"/>
          </w:tcPr>
          <w:p>
            <w:pPr>
              <w:jc w:val="center"/>
              <w:ind w:left="390"/>
              <w:spacing w:after="0" w:line="119" w:lineRule="exact"/>
              <w:rPr>
                <w:sz w:val="20"/>
                <w:szCs w:val="20"/>
                <w:color w:val="auto"/>
              </w:rPr>
            </w:pPr>
            <w:r>
              <w:rPr>
                <w:rFonts w:ascii="Arial" w:cs="Arial" w:eastAsia="Arial" w:hAnsi="Arial"/>
                <w:sz w:val="13"/>
                <w:szCs w:val="13"/>
                <w:b w:val="1"/>
                <w:bCs w:val="1"/>
                <w:color w:val="auto"/>
              </w:rPr>
              <w:t>May 2,</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left="371"/>
              <w:spacing w:after="0" w:line="119" w:lineRule="exact"/>
              <w:rPr>
                <w:sz w:val="20"/>
                <w:szCs w:val="20"/>
                <w:color w:val="auto"/>
              </w:rPr>
            </w:pPr>
            <w:r>
              <w:rPr>
                <w:rFonts w:ascii="Arial" w:cs="Arial" w:eastAsia="Arial" w:hAnsi="Arial"/>
                <w:sz w:val="13"/>
                <w:szCs w:val="13"/>
                <w:b w:val="1"/>
                <w:bCs w:val="1"/>
                <w:color w:val="auto"/>
              </w:rPr>
              <w:t>May 3,</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rPr>
              <w:t>May 2,</w:t>
            </w:r>
          </w:p>
        </w:tc>
        <w:tc>
          <w:tcPr>
            <w:tcW w:w="900" w:type="dxa"/>
            <w:vAlign w:val="bottom"/>
          </w:tcPr>
          <w:p>
            <w:pPr>
              <w:jc w:val="right"/>
              <w:ind w:right="374"/>
              <w:spacing w:after="0" w:line="119" w:lineRule="exact"/>
              <w:rPr>
                <w:sz w:val="20"/>
                <w:szCs w:val="20"/>
                <w:color w:val="auto"/>
              </w:rPr>
            </w:pPr>
            <w:r>
              <w:rPr>
                <w:rFonts w:ascii="Arial" w:cs="Arial" w:eastAsia="Arial" w:hAnsi="Arial"/>
                <w:sz w:val="13"/>
                <w:szCs w:val="13"/>
                <w:b w:val="1"/>
                <w:bCs w:val="1"/>
                <w:color w:val="auto"/>
              </w:rPr>
              <w:t>May 3,</w:t>
            </w:r>
          </w:p>
        </w:tc>
        <w:tc>
          <w:tcPr>
            <w:tcW w:w="180" w:type="dxa"/>
            <w:vAlign w:val="bottom"/>
          </w:tcPr>
          <w:p>
            <w:pPr>
              <w:spacing w:after="0"/>
              <w:rPr>
                <w:sz w:val="10"/>
                <w:szCs w:val="10"/>
                <w:color w:val="auto"/>
              </w:rPr>
            </w:pPr>
          </w:p>
        </w:tc>
      </w:tr>
      <w:tr>
        <w:trPr>
          <w:trHeight w:val="171"/>
        </w:trPr>
        <w:tc>
          <w:tcPr>
            <w:tcW w:w="4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4"/>
              </w:rPr>
              <w:t>100.0%</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1"/>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(64.5)</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(64.2)</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(64.1)</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(63.6)</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(17.9)</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(19.1)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(22.1)</w:t>
            </w:r>
          </w:p>
        </w:tc>
      </w:tr>
      <w:tr>
        <w:trPr>
          <w:trHeight w:val="210"/>
        </w:trPr>
        <w:tc>
          <w:tcPr>
            <w:tcW w:w="4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9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(0.6)</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(0.7)</w:t>
            </w: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(5.6)</w:t>
            </w:r>
          </w:p>
        </w:tc>
        <w:tc>
          <w:tcPr>
            <w:tcW w:w="94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(5.4)</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r>
      <w:tr>
        <w:trPr>
          <w:trHeight w:val="223"/>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Worldwide consolidated net sales for the second quarter of fiscal 2014 were $745.0 million, up 5.8 percent compared to the second quarter of fiscal 2013. For the year-to-date period of fiscal 2014, net sales were $1,191.0 million, up 3.6 percent from the same period in the prior fiscal year. Worldwide professional segment net sales were up 6.5 percent for the second quarter of fiscal 2014 compared to the second quarter of fiscal 2013 and essentially flat for the year-to-date period of fiscal 2014 compared to the same period in the prior fiscal year. Professional segment sales for the recent periods were positively impacted from strong shipments and demand of landscape contractor equipment, higher sales of micro-irrigation products from continued market growth and demand, increased sales of rental and construction equipment, including recently acquired products newly introduced under the Toro brand, and our innovative product offerings of golf equipment and irrigation systems. However, for the year-to-date period of fiscal 2014 compared to the same period last fiscal year, professional segment net sales were negatively impacted due to the strong demand we experienced in the first quarter of fiscal 2013, that was not repeated this fiscal year, for products subject to Tier 4 diesel engine emission requirements, as previously discussed. In addition, sales and demand of golf and grounds equipment for the year-to-date comparison were down primarily due to the wet and cold weather conditions in certain key regions.</w:t>
      </w:r>
    </w:p>
    <w:p>
      <w:pPr>
        <w:sectPr>
          <w:pgSz w:w="11900" w:h="16838" w:orient="portrait"/>
          <w:cols w:equalWidth="0" w:num="1">
            <w:col w:w="11420"/>
          </w:cols>
          <w:pgMar w:left="240" w:top="125" w:right="239" w:bottom="0" w:gutter="0" w:footer="0" w:header="0"/>
        </w:sectPr>
      </w:pPr>
    </w:p>
    <w:bookmarkStart w:id="12" w:name="page13"/>
    <w:bookmarkEnd w:id="12"/>
    <w:p>
      <w:pPr>
        <w:ind w:right="140" w:firstLine="270"/>
        <w:spacing w:after="0" w:line="264" w:lineRule="auto"/>
        <w:rPr>
          <w:sz w:val="20"/>
          <w:szCs w:val="20"/>
          <w:color w:val="auto"/>
        </w:rPr>
      </w:pPr>
      <w:r>
        <w:rPr>
          <w:rFonts w:ascii="Arial" w:cs="Arial" w:eastAsia="Arial" w:hAnsi="Arial"/>
          <w:sz w:val="18"/>
          <w:szCs w:val="18"/>
          <w:color w:val="auto"/>
        </w:rPr>
        <w:t>Residential segment net sales were up 4.5 percent and 11.0 percent for the second quarter and year-to-date periods of fiscal 2014, respectively, compared to the same periods in the prior fiscal year. The sales increases were largely due to higher shipments from strong retail demand for our zero turn riding mowers and higher sales of electric trimmer and blower products. For the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to-date comparison, higher snow thrower product and parts sales contributed to our sales growth due to heavy snowfall across key markets during the first quarter of fiscal 2014 compared to lower snowfall accumulations during our first quarter of fiscal 2013. However, sales in Australia were down in both the second quarter and year-to-date periods of fiscal 2014 compared to the same periods last fiscal year primarily due to unfavorable foreign currency exchange rate fluctuations and weather conditions. Overall, worldwide sales of walk power mowers were essentially flat in the second quarter and year-to-date periods of fiscal 2014 compared to the same periods last fiscal year.</w:t>
      </w:r>
    </w:p>
    <w:p>
      <w:pPr>
        <w:spacing w:after="0" w:line="188" w:lineRule="exact"/>
        <w:rPr>
          <w:sz w:val="20"/>
          <w:szCs w:val="20"/>
          <w:color w:val="auto"/>
        </w:rPr>
      </w:pPr>
    </w:p>
    <w:p>
      <w:pPr>
        <w:ind w:right="60" w:firstLine="270"/>
        <w:spacing w:after="0" w:line="254" w:lineRule="auto"/>
        <w:rPr>
          <w:sz w:val="20"/>
          <w:szCs w:val="20"/>
          <w:color w:val="auto"/>
        </w:rPr>
      </w:pPr>
      <w:r>
        <w:rPr>
          <w:rFonts w:ascii="Arial" w:cs="Arial" w:eastAsia="Arial" w:hAnsi="Arial"/>
          <w:sz w:val="18"/>
          <w:szCs w:val="18"/>
          <w:color w:val="auto"/>
        </w:rPr>
        <w:t>Net sales for our other segment were up $7.8 million for the year-to-date period of fiscal 2014 compared to the same period last fiscal year due to a reduction of sales that are eliminated for shipments to our company-owned distribution companies as a result of strong professional segment net sales last fiscal year in the first quarter that did not occur this year, mainly for products subject to the Tier 4 diesel engine requirements, as discussed above. International net sales were down 3.2 percent for the second quarter of fiscal 2014 compared to the same period in the prior fiscal year, mainly for professional segment products, but were slightly up, by 0.8 percent, for the year-to-date period of fiscal 2014 compared to the same period last fiscal year. Changes in currency exchange rates resulted in a reduction of our net sales of approximately $1.1 million and $5.2 million for the second quarter and year-to-date periods of fiscal 2014, respectively. Field inventory levels as of the end of the second quarter of fiscal 2014 were consistent with those as of the end of the same period in the prior fiscal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a percentage of net sales, gross profit for the second quarter of fiscal 2014 decreased 30 basis points to 35.5 percent compared to 35.8 percent in the second quarter of fiscal 2013. Gross profit as a percent of net sales for the year-to-date period of fiscal 2014 decreased 50 basis points to 35.9 percent compared to 36.4 percent for the year-to-date period of fiscal 2013. These decreases were primarily due to higher commodity prices, namely steel and resins, and unfavorable currency exchange rate fluctuations, somewhat offset by price increases on some products and continued cost reduction efforts. For the year-to-date period, a lower proportion of professional segment sales that carry higher average gross margins than our residential segment product sales also negatively impacted gross margins in fiscal 2014 as compared to fiscal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SG&amp;A expense decreased $1.2 million, or 0.9 percent, for the second quarter of fiscal 2014 compared to the second quarter of fiscal 2013. For the year-to-date period of fiscal 2014, SG&amp;A expense increased $2.1 million, or 0.8 percent, compared to the year-to-date period of fiscal 2013. As a percentage of net sales, SG&amp;A expense decreased 120 basis points and 60 basis points for the second quarter and year-to-date periods of fiscal 2014, respectively, compared to the same periods in the prior fiscal year. These decreases as a percentage of net sales were largely due to leveraging SG&amp;A expense over higher sales volumes and lower self-insured health care costs due in part to favorable claims experience. These decreases were somewhat offset by higher incentive compensation expense from improved financial performance and incremental SG&amp;A costs from prior acquisitions of $0.8 million for the second quarter of fiscal 2014 and $1.6 million for the year-to-date period of fiscal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Interest expense for the second quarter and year-to-date periods of fiscal 2014 decreased by 11.2 percent and 11.5 percent, respectively, compared to the same periods last fiscal year due to higher capitalized interest from capital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Other income, net for the second quarter and year-to-date periods of fiscal 2014 decreased $1.1 million and $0.6 million, respectively, compared to the same periods last fiscal year primarily due to an increase in foreign currency exchange rate losses. For the year-to-date period, the decrease was also partly due to a decline in interest income and income from our equity investment in Red Iron.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effective tax rate for the second quarter of fiscal 2014 and 2013 remained unchanged at 32.6 percent. The effective tax rate for the year-to-date periods of fiscal 2014 and 2013 was 32.7 percent and 31.3 percent, respectively. The increase in the effective tax rate for the year-to-date period was primarily the result of the benefit in the first quarter of fiscal 2013 from the retroactive reinstatement of the domestic research tax credit, which expired on December 31, 2013.</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tbl>
      <w:tblPr>
        <w:tblLayout w:type="fixed"/>
        <w:tblInd w:w="4820" w:type="dxa"/>
        <w:tblCellMar>
          <w:top w:w="0" w:type="dxa"/>
          <w:left w:w="0" w:type="dxa"/>
          <w:bottom w:w="0" w:type="dxa"/>
          <w:right w:w="0" w:type="dxa"/>
        </w:tblCellMar>
      </w:tblPr>
      <w:tr>
        <w:trPr>
          <w:trHeight w:val="171"/>
        </w:trPr>
        <w:tc>
          <w:tcPr>
            <w:tcW w:w="1520" w:type="dxa"/>
            <w:vAlign w:val="bottom"/>
            <w:tcBorders>
              <w:bottom w:val="single" w:sz="8" w:color="auto"/>
            </w:tcBorders>
          </w:tcPr>
          <w:p>
            <w:pPr>
              <w:spacing w:after="0"/>
              <w:rPr>
                <w:sz w:val="14"/>
                <w:szCs w:val="14"/>
                <w:color w:val="auto"/>
              </w:rPr>
            </w:pPr>
          </w:p>
        </w:tc>
        <w:tc>
          <w:tcPr>
            <w:tcW w:w="48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Three Months Ended</w:t>
            </w:r>
          </w:p>
        </w:tc>
      </w:tr>
      <w:tr>
        <w:trPr>
          <w:trHeight w:val="180"/>
        </w:trPr>
        <w:tc>
          <w:tcPr>
            <w:tcW w:w="1520" w:type="dxa"/>
            <w:vAlign w:val="bottom"/>
          </w:tcPr>
          <w:p>
            <w:pPr>
              <w:ind w:left="480"/>
              <w:spacing w:after="0"/>
              <w:rPr>
                <w:sz w:val="20"/>
                <w:szCs w:val="20"/>
                <w:color w:val="auto"/>
              </w:rPr>
            </w:pPr>
            <w:r>
              <w:rPr>
                <w:rFonts w:ascii="Arial" w:cs="Arial" w:eastAsia="Arial" w:hAnsi="Arial"/>
                <w:sz w:val="14"/>
                <w:szCs w:val="14"/>
                <w:b w:val="1"/>
                <w:bCs w:val="1"/>
                <w:color w:val="auto"/>
              </w:rPr>
              <w:t>May 2,</w:t>
            </w:r>
          </w:p>
        </w:tc>
        <w:tc>
          <w:tcPr>
            <w:tcW w:w="4800" w:type="dxa"/>
            <w:vAlign w:val="bottom"/>
          </w:tcPr>
          <w:p>
            <w:pPr>
              <w:ind w:left="620"/>
              <w:spacing w:after="0"/>
              <w:rPr>
                <w:sz w:val="20"/>
                <w:szCs w:val="20"/>
                <w:color w:val="auto"/>
              </w:rPr>
            </w:pPr>
            <w:r>
              <w:rPr>
                <w:rFonts w:ascii="Arial" w:cs="Arial" w:eastAsia="Arial" w:hAnsi="Arial"/>
                <w:sz w:val="14"/>
                <w:szCs w:val="14"/>
                <w:b w:val="1"/>
                <w:bCs w:val="1"/>
                <w:color w:val="auto"/>
              </w:rPr>
              <w:t>May 3,</w:t>
            </w:r>
          </w:p>
        </w:tc>
      </w:tr>
    </w:tbl>
    <w:p>
      <w:pPr>
        <w:sectPr>
          <w:pgSz w:w="11900" w:h="16838" w:orient="portrait"/>
          <w:cols w:equalWidth="0" w:num="1">
            <w:col w:w="11420"/>
          </w:cols>
          <w:pgMar w:left="240" w:top="125" w:right="239" w:bottom="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528,561</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496,436</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210,377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201,390</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8,987</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6,092</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745,030</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704,486</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40,544</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205,117</w:t>
            </w:r>
          </w:p>
        </w:tc>
        <w:tc>
          <w:tcPr>
            <w:tcW w:w="30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212,005</w:t>
            </w:r>
          </w:p>
        </w:tc>
        <w:tc>
          <w:tcPr>
            <w:tcW w:w="28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(6,888)</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1400" w:type="dxa"/>
            <w:vAlign w:val="bottom"/>
            <w:gridSpan w:val="2"/>
          </w:tcPr>
          <w:p>
            <w:pPr>
              <w:ind w:left="20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Pr>
          <w:p>
            <w:pPr>
              <w:spacing w:after="0"/>
              <w:rPr>
                <w:sz w:val="10"/>
                <w:szCs w:val="10"/>
                <w:color w:val="auto"/>
              </w:rPr>
            </w:pPr>
          </w:p>
        </w:tc>
        <w:tc>
          <w:tcPr>
            <w:tcW w:w="136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May 3,</w:t>
            </w:r>
          </w:p>
        </w:tc>
        <w:tc>
          <w:tcPr>
            <w:tcW w:w="24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824,029</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825,580</w:t>
            </w:r>
          </w:p>
        </w:tc>
        <w:tc>
          <w:tcPr>
            <w:tcW w:w="2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8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357,947</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322,337</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35,610</w:t>
            </w: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9,035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1,230</w:t>
            </w: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1,191,011</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1,149,147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41,864</w:t>
            </w:r>
          </w:p>
        </w:tc>
        <w:tc>
          <w:tcPr>
            <w:tcW w:w="28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 Includes international sales of:</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356,380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353,596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2,784</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Pr>
          <w:p>
            <w:pPr>
              <w:spacing w:after="0"/>
              <w:rPr>
                <w:sz w:val="10"/>
                <w:szCs w:val="10"/>
                <w:color w:val="auto"/>
              </w:rPr>
            </w:pPr>
          </w:p>
        </w:tc>
        <w:tc>
          <w:tcPr>
            <w:tcW w:w="136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40" w:type="dxa"/>
            <w:vAlign w:val="bottom"/>
          </w:tcPr>
          <w:p>
            <w:pPr>
              <w:spacing w:after="0"/>
              <w:rPr>
                <w:sz w:val="10"/>
                <w:szCs w:val="10"/>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23,822</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24,679</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(857)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(17,073)</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(20,637)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129,116</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116,317</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3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2,</w:t>
            </w:r>
          </w:p>
        </w:tc>
        <w:tc>
          <w:tcPr>
            <w:tcW w:w="280" w:type="dxa"/>
            <w:vAlign w:val="bottom"/>
          </w:tcPr>
          <w:p>
            <w:pPr>
              <w:spacing w:after="0"/>
              <w:rPr>
                <w:sz w:val="10"/>
                <w:szCs w:val="10"/>
                <w:color w:val="auto"/>
              </w:rPr>
            </w:pPr>
          </w:p>
        </w:tc>
        <w:tc>
          <w:tcPr>
            <w:tcW w:w="136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May 3,</w:t>
            </w:r>
          </w:p>
        </w:tc>
        <w:tc>
          <w:tcPr>
            <w:tcW w:w="240" w:type="dxa"/>
            <w:vAlign w:val="bottom"/>
          </w:tcPr>
          <w:p>
            <w:pPr>
              <w:spacing w:after="0"/>
              <w:rPr>
                <w:sz w:val="10"/>
                <w:szCs w:val="10"/>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300" w:type="dxa"/>
            <w:vAlign w:val="bottom"/>
            <w:vMerge w:val="restart"/>
          </w:tcPr>
          <w:p>
            <w:pPr>
              <w:spacing w:after="0"/>
              <w:rPr>
                <w:sz w:val="10"/>
                <w:szCs w:val="10"/>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41,956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36,833</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5,123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(43,915)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(50,131)</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167,871</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159,715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8,156</w:t>
            </w:r>
          </w:p>
        </w:tc>
        <w:tc>
          <w:tcPr>
            <w:tcW w:w="30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316"/>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second quarter of fiscal 2014 increased 6.5 percent compared to the second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2013. However, for the year-to-date period of fiscal 2014 compared to the same period in the prior fiscal year, net sales for the professional segment were essentially flat. Sales and demand of landscape contractor equipment were up for the second quarter and year-to-date periods of fiscal 2014 compared to the same periods last fiscal year as we believe that contractors experienced increased income from favorable snow falls this past winter that were reinvested in turf equipment. Professional segment sales were also positively impacted for the second quarter and year-to-date periods of fiscal 2014 compared to the same periods last fiscal year by higher sales of our micro-irrigation products from continued market growth and demand for our precision irrigation solutions in agricultural markets, demand for rental and construction equipment, including recently acquired products that have been introduced under the Toro brand, and our innovative product offerings of golf equipment and irrigation systems. Slightly offsetting those sales increases for the second quarter comparison were lower sales of our professional products in international markets due to preseason shipments of turf equipment in the first quarter of fiscal 2014. For the year-to-date period of fiscal 2014 compared to the same period last fiscal year, professional segment net sales were negatively impacted due to the strong demand we experienced in the first quarter of fiscal 2013, that was not repeated this fiscal year, for products subject to Tier 4 diesel engine emission requirements, as previously discussed. In addition, sales and demand of golf and grounds equipment for the year-to-date comparison were down primarily due to the wet and cold weather conditions in certain key regions.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professional segment in the second quarter of fiscal 2014 increased 9.0 percent compared to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fiscal 2013 due to higher sales volumes. However, for the year-to-date period of fiscal 2014, professional segment operating earnings decreased 1.8 percent compared to the same period in the prior fiscal year. Expressed as a percentage of net sales, professional segment operating margin increased to 23.2 percent compared to 22.6 percent in the second quarter of fiscal 2013, and fiscal 2014 year-to-date professional segment operating margin decreased to 20.6 percent from 21.0 percent in the same period last fiscal year. The profit improvement as a percent of net sales for the second quarter comparison was attributable to leveraging fixed SG&amp;A costs over higher sales volumes. The decrease for the year-to-date period was a result of lower sales volumes and higher SG&amp;A costs, including an increase in warranty expense caused by rework campaigns for certain professional segment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residential segment in the second quarter and year-to-date periods of fiscal 2014 increased 4.5 percent and 11.0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in the prior fiscal year. The sales increases were largely due to higher shipments from strong retail demand for our zero turn riding mowers, including our enhanced products, as customers continued to transition to this mowing platform. Sales of electric trimmer and blower products also increased due to additional product placement. For the year-to-date comparison, higher snow thrower product and parts sales contributed to our sales growth due to heavy snowfall across key markets during the first quarter of fiscal 2014 compared to lower snowfall accumulations during the first quarter of fiscal 2013. However, sales in Australia for both the second quarter and year-to-date comparisons were down primarily due to unfavorable foreign currency exchange rate changes and weather conditions. Overall, worldwide sales of walk power mowers were essentially flat in the second quarter and year-to-date periods of fiscal 2014 compared to the same periods last fiscal year as the late arrival of spring weather conditions hampered demand for the respective periods in fiscal 2014 and 2013, which was offset by positive customer response to new products and expanded product placement for certain models.</w:t>
      </w:r>
    </w:p>
    <w:p>
      <w:pPr>
        <w:sectPr>
          <w:pgSz w:w="11900" w:h="16838" w:orient="portrait"/>
          <w:cols w:equalWidth="0" w:num="1">
            <w:col w:w="11460"/>
          </w:cols>
          <w:pgMar w:left="240" w:top="118" w:right="199" w:bottom="0" w:gutter="0" w:footer="0" w:header="0"/>
        </w:sectPr>
      </w:pPr>
    </w:p>
    <w:bookmarkStart w:id="14" w:name="page15"/>
    <w:bookmarkEnd w:id="14"/>
    <w:p>
      <w:pPr>
        <w:ind w:right="40"/>
        <w:spacing w:after="0" w:line="291"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second quarter of fiscal 2014 decreased 3.5 percent compared to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2013. However, operating earnings increased 13.9 percent for the year-to-date period of fiscal 2014 compared to the same period in the prior fiscal year. Expressed as a percentage of net sales, residential segment operating margin decreased to 11.3 percent from 12.3 percent in the second quarter of fiscal 2013, whereas fiscal 2014 year-to-date residential segment operating margin increased to 11.7 percent compared to 11.4 percent in the same period last fiscal year. The operating earnings decrease for the second quarter comparison was largely due to a combination of higher commodity costs, a supplier component rework issue that impacted certain walk power mowers, and unfavorable foreign currency exchange rate changes. The profit improvements for the year-to-date comparison were primarily due to higher sales volumes and leveraging fixed SG&amp;A costs over increased sales volumes.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color w:val="auto"/>
        </w:rPr>
        <w:t>. Net sales for the other segment include sales from our wholly owned domestic distribution companies less sales from the professional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residential segments to those distribution companies. The other segment net sales for the second quarter of fiscal 2014 slightly decreased $0.6 million compared to the second quarter of fiscal 2013. For the year-to-date period of fiscal 2014, the other segment net sales increased $7.8 million compared to the same period in the prior fiscal year due primarily to a decrease in sales that were eliminated from increased shipments of pre-Tier 4 products to our distribution companies in the first quarter of fiscal 2013 that was not repeated this fiscal 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losses for the other segment in the second quarter and year-to-date periods of fiscal 2014 decreased $3.6 million and $6.2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compared to the same periods in the prior fiscal year. These decreases were due to a reduction in self-insured health care costs due in part from favorable claims experience, a reduction in interest expense, somewhat offset by an increase in incentive compensation. For the year-to-date period of fiscal 2014 compared to the same period last fiscal year, operating losses decreased due also to a reduction in the elimination of gross profit previously recorded with respect to sales of our products to our wholly owned distribution companies due to lower inventory levels at those distribution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fiscal 2014, we have placed, and plan to continue to place, emphasis on improving asset utilization, with a focus on reducing the amount of working capital in the supply chain, adjusting production plans, and maintaining or improving order replenishment and service levels to end users. We continue to make good progress towards our effort to reduce working capital, as evidenced by lower inventory levels of $7.5 million, or 2.4 percent, as of the end of the second quarter of fiscal 2014 compared to the end of the second quarter of fiscal 2013. This decrease was due mainly to lower snow thrower inventory levels from higher sales volumes.</w:t>
      </w:r>
    </w:p>
    <w:p>
      <w:pPr>
        <w:spacing w:after="0" w:line="188" w:lineRule="exact"/>
        <w:rPr>
          <w:sz w:val="20"/>
          <w:szCs w:val="20"/>
          <w:color w:val="auto"/>
        </w:rPr>
      </w:pPr>
    </w:p>
    <w:p>
      <w:pPr>
        <w:ind w:right="40" w:firstLine="270"/>
        <w:spacing w:after="0" w:line="257" w:lineRule="auto"/>
        <w:rPr>
          <w:sz w:val="20"/>
          <w:szCs w:val="20"/>
          <w:color w:val="auto"/>
        </w:rPr>
      </w:pPr>
      <w:r>
        <w:rPr>
          <w:rFonts w:ascii="Arial" w:cs="Arial" w:eastAsia="Arial" w:hAnsi="Arial"/>
          <w:sz w:val="18"/>
          <w:szCs w:val="18"/>
          <w:color w:val="auto"/>
        </w:rPr>
        <w:t>Receivables as of the end of the second quarter of fiscal 2014 increased $5.7 million, or 1.9 percent, compared to the end of the second quarter of fiscal 2013 as a result of higher sales. Our average days sales outstanding for receivables increased to 35.5 days based on sales for the last twelve months ended May 2, 2014, compared to 35.0 days for the twelve months ended May 3, 2013. In addition, accounts payable increased as of the end of our second quarter of fiscal 2014 compared to the same period last fiscal year, by $32.3 million, or 15.8 percent, due to recent purchases of commodities and components as we anticipate strong product demand in the second half of fiscal 2014.</w:t>
      </w:r>
    </w:p>
    <w:p>
      <w:pPr>
        <w:spacing w:after="0" w:line="188" w:lineRule="exact"/>
        <w:rPr>
          <w:sz w:val="20"/>
          <w:szCs w:val="20"/>
          <w:color w:val="auto"/>
        </w:rPr>
      </w:pPr>
    </w:p>
    <w:p>
      <w:pPr>
        <w:ind w:right="260" w:firstLine="270"/>
        <w:spacing w:after="0" w:line="302" w:lineRule="auto"/>
        <w:rPr>
          <w:sz w:val="20"/>
          <w:szCs w:val="20"/>
          <w:color w:val="auto"/>
        </w:rPr>
      </w:pPr>
      <w:r>
        <w:rPr>
          <w:rFonts w:ascii="Arial" w:cs="Arial" w:eastAsia="Arial" w:hAnsi="Arial"/>
          <w:sz w:val="16"/>
          <w:szCs w:val="16"/>
          <w:color w:val="auto"/>
        </w:rPr>
        <w:t>We define average net working capital as accounts receivable plus inventory less trade payables as a percentage of net sales for a twelve month period. The combination of our efforts to reduce our working capital, as mentioned above, resulted in lower working capital of $34.1 million as of the end of the second quarter of fiscal 2014 compared to the end of the second quarter of fiscal 2013. Our average net working capital as a percentage of net sales for the twelve months ended May 2, 2014 was also down, to 15.5 percent, compared to 16.3 percent for the twelve months ended May 3,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receivables from customers that are not financed with Red Iron. We believe that anticipated cash generated from operations, together with our fixed rate long-term debt, bank credit lines, and cash on hand, will provide us with adequate liquidity to meet our anticipated operating requirements. We believe that the funds available through existing and anticipated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7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Capital expenditures for fiscal 2014 are planned to be approximately in the range of $65 to $70 million as we expect to continue to invest in new product tooling and replacement production equipment, as well as expansion and construction of facilities, including the expansion of our corporate facilities located in Bloomington, Minnesota.</w:t>
      </w:r>
    </w:p>
    <w:p>
      <w:pPr>
        <w:spacing w:after="0" w:line="18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Our Board of Directors approved a cash dividend of $0.20 per share for the second quarter of fiscal 2014 paid on April 14, 2014, which was an increase of 42.9 percent over our cash dividend of $0.14 per share for the second quarter of fiscal 2013.</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u w:val="single" w:color="auto"/>
          <w:color w:val="auto"/>
        </w:rPr>
        <w:t>Cash Flow.</w:t>
      </w:r>
      <w:r>
        <w:rPr>
          <w:rFonts w:ascii="Arial" w:cs="Arial" w:eastAsia="Arial" w:hAnsi="Arial"/>
          <w:sz w:val="17"/>
          <w:szCs w:val="17"/>
          <w:i w:val="1"/>
          <w:iCs w:val="1"/>
          <w:color w:val="auto"/>
        </w:rPr>
        <w:t xml:space="preserve"> </w:t>
      </w:r>
      <w:r>
        <w:rPr>
          <w:rFonts w:ascii="Arial" w:cs="Arial" w:eastAsia="Arial" w:hAnsi="Arial"/>
          <w:sz w:val="17"/>
          <w:szCs w:val="17"/>
          <w:color w:val="auto"/>
        </w:rPr>
        <w:t>We historically use more operating cash in the first half of our fiscal year than the second half of our fiscal year due to the seasonality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Cash provided by operating activities for the first six months of fiscal 2014 increased $41.3 million compared to the first six months of fiscal 2013, mainly as a result of a decrease in working capital requirements, as previously mentioned, and higher net earnings. Cash used for investing activities increased $14.0 million during the first six months of fiscal 2014 compared to the first six months of fiscal 2013 due mainly to higher purchases of property, plant, and equipment. Cash used for financing activities for the first six months of fiscal 2014 compared to the first six months of fiscal 2013 was also up, by $36.1 million, due to an increase in cash utilized for share repurchases and cash dividends paid on our stock.</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businesses are seasonal, with accounts receivable balances historically increasing between January and April,</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of typically higher sales volumes and extended payment terms made available to our customers, and typically decreasing between May and</w:t>
      </w:r>
    </w:p>
    <w:p>
      <w:pPr>
        <w:sectPr>
          <w:pgSz w:w="11900" w:h="16838" w:orient="portrait"/>
          <w:cols w:equalWidth="0" w:num="1">
            <w:col w:w="11400"/>
          </w:cols>
          <w:pgMar w:left="240" w:top="341" w:right="259" w:bottom="0" w:gutter="0" w:footer="0" w:header="0"/>
        </w:sectPr>
      </w:pPr>
    </w:p>
    <w:bookmarkStart w:id="15" w:name="page16"/>
    <w:bookmarkEnd w:id="15"/>
    <w:p>
      <w:pPr>
        <w:spacing w:after="0" w:line="10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December when payments are received. The seasonality of production and shipments causes our working capital requirements to fluctuate during the year. Seasonal cash requirements are financed from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operations, cash on hand, and with short-term financing arrangements, including our $150.0 million unsecured senior four-year revolving credit facility that expires in July 2015. Included in our $150.0 million revolving credit facility is a $20.0 million sublimit for standby letters of credit and a $20.0 million sublimit for swingline loans. At our election, and with the approval of the named borrowers on the revolving credit facility, the aggregate maximum principal amount available under the facility may be increased by an amount up to $100.0 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$12.3 million. These facilities bear interest at various rates depending on the rates in their respective countries of operation. As of May 2, 2014, we had no outstanding short-term debt under our credit facilities and an aggregate of $8.9 million of outstanding letters of credit. As of May 2, 2014, we had an aggregate of $153.4 million of unutilized availability under our credit agreements.</w:t>
      </w:r>
    </w:p>
    <w:p>
      <w:pPr>
        <w:spacing w:after="0" w:line="178" w:lineRule="exact"/>
        <w:rPr>
          <w:sz w:val="20"/>
          <w:szCs w:val="20"/>
          <w:color w:val="auto"/>
        </w:rPr>
      </w:pPr>
    </w:p>
    <w:p>
      <w:pPr>
        <w:ind w:firstLine="270"/>
        <w:spacing w:after="0" w:line="285" w:lineRule="auto"/>
        <w:rPr>
          <w:sz w:val="20"/>
          <w:szCs w:val="20"/>
          <w:color w:val="auto"/>
        </w:rPr>
      </w:pPr>
      <w:r>
        <w:rPr>
          <w:rFonts w:ascii="Arial" w:cs="Arial" w:eastAsia="Arial" w:hAnsi="Arial"/>
          <w:sz w:val="16"/>
          <w:szCs w:val="16"/>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May 2, 2014, we were not limited to payments of cash dividends and stock repurchases as our debt to EBITDA ratio was below 2.75. We were also in compliance with all covenants related to our credit agreement for our revolving credit facility as of May 2, 2014, and we expect to be in compliance with all covenants during the remainder of fiscal 2014.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second quarter of fiscal 2014 by Standard and Poor’s Ratings Group at BBB and by Moody’s Investors Service at Baa3.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fiscal 2009, we established our Red Iron joint venture with TCFIF. The purpose of Red Iron is to provide inventory financing, including floor plan and open accounts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$8.4 million of receivables from us during the first six months of fiscal 2014. As of May 2, 2014, $11.4 million of receivables financed by the third party financing company, excluding Red Iron, were outstanding. See our most recently filed Annual Report on Form 10-K for further details regarding our customer financing arrangements and contractual obligations.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the effects of inflation, deflation, and changing prices. In the first six months of fiscal 2014, average prices paid for commodities and components we purchase were higher compared to the average prices paid for commodities and components in the first six months of fiscal 2013, which hindered our gross margin rate in the first half of fiscal 2014 compared to the first half of fiscal 2013. We intend to continue to closely follow the commodities and components that affect our product lines, and we anticipate limited inflationary pressure on average prices to be paid for commodities and components for the remainder of fiscal 2014, causing them to be higher than average prices paid for commodities and components during fiscal 2013. Historically, we have mitigated, and we currently expect to continue to mitigate, commodity costs increases, in part, by collaborating with suppliers, reviewing alternative sourcing options, substituting materials, engaging in internal cost reduction efforts, and increasing prices on some of our products, all as appropriate.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2013 for a discussion of our critical accounting policies.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 new accounting pronouncement that has been issued but not yet effective for us during the second quarter of fiscal 2014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(the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w:t>
      </w:r>
    </w:p>
    <w:p>
      <w:pPr>
        <w:sectPr>
          <w:pgSz w:w="11900" w:h="16945" w:orient="portrait"/>
          <w:cols w:equalWidth="0" w:num="1">
            <w:col w:w="11420"/>
          </w:cols>
          <w:pgMar w:left="240" w:top="125" w:right="239" w:bottom="0" w:gutter="0" w:footer="0" w:header="0"/>
        </w:sectPr>
      </w:pPr>
    </w:p>
    <w:bookmarkStart w:id="16" w:name="page17"/>
    <w:bookmarkEnd w:id="16"/>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and similar expressions or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93"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124" w:lineRule="exact"/>
        <w:rPr>
          <w:sz w:val="20"/>
          <w:szCs w:val="20"/>
          <w:color w:val="auto"/>
        </w:rPr>
      </w:pPr>
    </w:p>
    <w:p>
      <w:pPr>
        <w:ind w:left="260" w:right="60" w:hanging="252"/>
        <w:spacing w:after="0" w:line="284"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U.S. federal debt,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resulting from tax increases or other factors;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2" w:lineRule="exact"/>
        <w:rPr>
          <w:rFonts w:ascii="Arial" w:cs="Arial" w:eastAsia="Arial" w:hAnsi="Arial"/>
          <w:sz w:val="16"/>
          <w:szCs w:val="16"/>
          <w:color w:val="auto"/>
        </w:rPr>
      </w:pPr>
    </w:p>
    <w:p>
      <w:pPr>
        <w:jc w:val="both"/>
        <w:ind w:left="260" w:right="24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including unfavorable weather conditions exacerbated by global climate changes or otherwise,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cost, or disruption in the availability, of raw materials, components, and parts containing various commodities that we purchase, such as steel, aluminum, petroleum-based resins, linerboard, copper, lead, rubber, engines, transmissions, transaxles, hydraulics, electric motors, and other commodities and components, and increases in our other costs of doing business, such as transportation costs may adversely affect our profit margins and business.</w:t>
      </w:r>
    </w:p>
    <w:p>
      <w:pPr>
        <w:spacing w:after="0" w:line="1" w:lineRule="exact"/>
        <w:rPr>
          <w:rFonts w:ascii="Arial" w:cs="Arial" w:eastAsia="Arial" w:hAnsi="Arial"/>
          <w:sz w:val="18"/>
          <w:szCs w:val="18"/>
          <w:color w:val="auto"/>
        </w:rPr>
      </w:pPr>
    </w:p>
    <w:p>
      <w:pPr>
        <w:ind w:left="260" w:right="32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certain factors, including golf course revenues and the amount of investment in golf course renovations and improvements; the level of new golf course development and golf course closures; the level of homeowners who outsource their lawn care; the level of residential and commercial construction; continued acceptance of and demand for micro-irrigation solutions for agricultural markets; availability of cash or credit to professional segment customers on acceptable terms to finance new product purchases; and the amount of government revenues, budget, and spending levels for grounds maintenance equipment.</w:t>
      </w:r>
    </w:p>
    <w:p>
      <w:pPr>
        <w:spacing w:after="0" w:line="1" w:lineRule="exact"/>
        <w:rPr>
          <w:rFonts w:ascii="Arial" w:cs="Arial" w:eastAsia="Arial" w:hAnsi="Arial"/>
          <w:sz w:val="17"/>
          <w:szCs w:val="17"/>
          <w:color w:val="auto"/>
        </w:rPr>
      </w:pPr>
    </w:p>
    <w:p>
      <w:pPr>
        <w:ind w:left="260" w:right="22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consumers buying our products at mass retailers and home centers, such as The Home Depot, Inc., the amount of product placement at retailers, consumer confidence and spending levels, and changing buying patterns of customers.</w:t>
      </w:r>
    </w:p>
    <w:p>
      <w:pPr>
        <w:ind w:left="260" w:right="80" w:hanging="252"/>
        <w:spacing w:after="0" w:line="281"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larger operations and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ind w:left="260" w:right="340" w:hanging="252"/>
        <w:spacing w:after="0" w:line="292"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are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accounting, and business factors; including political, economic and/or social instability, and tax policies in the countries in which we manufacture or sell our products; and may not be successful or produce desired levels of net sales. In addition, a portion of our international net sales are financed by third parties. The termination of our agreements with these third parties, any material change to the terms of</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80"/>
        <w:spacing w:after="0" w:line="258" w:lineRule="auto"/>
        <w:rPr>
          <w:sz w:val="20"/>
          <w:szCs w:val="20"/>
          <w:color w:val="auto"/>
        </w:rPr>
      </w:pPr>
      <w:r>
        <w:rPr>
          <w:rFonts w:ascii="Arial" w:cs="Arial" w:eastAsia="Arial" w:hAnsi="Arial"/>
          <w:sz w:val="18"/>
          <w:szCs w:val="18"/>
          <w:color w:val="auto"/>
        </w:rPr>
        <w:t>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 w:lineRule="exact"/>
        <w:rPr>
          <w:sz w:val="20"/>
          <w:szCs w:val="20"/>
          <w:color w:val="auto"/>
        </w:rPr>
      </w:pPr>
    </w:p>
    <w:p>
      <w:pPr>
        <w:ind w:left="260" w:right="16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40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20" w:hanging="234"/>
        <w:spacing w:after="0" w:line="265" w:lineRule="auto"/>
        <w:tabs>
          <w:tab w:leader="none" w:pos="228" w:val="left"/>
        </w:tabs>
        <w:numPr>
          <w:ilvl w:val="1"/>
          <w:numId w:val="4"/>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facilities, open and manage new facilities, including our new distribution facility in Ankeny, Iowa, and/or move production between manufacturing facilities could adversely affect our business and operating results. In late fiscal 2013, we acquired a company and began operations at a new micro-irrigation facility in China. If this facility does not produce the anticipated manufacturing or operational efficiencies, or if the micro-irrigation products to be produced at this facility are not accepted into the new geographic markets at expected levels, we may not recover our investment in the new facility and our operating results may be adversely affected.</w:t>
      </w:r>
    </w:p>
    <w:p>
      <w:pPr>
        <w:spacing w:after="0" w:line="1" w:lineRule="exact"/>
        <w:rPr>
          <w:rFonts w:ascii="Arial" w:cs="Arial" w:eastAsia="Arial" w:hAnsi="Arial"/>
          <w:sz w:val="17"/>
          <w:szCs w:val="17"/>
          <w:color w:val="auto"/>
        </w:rPr>
      </w:pPr>
    </w:p>
    <w:p>
      <w:pPr>
        <w:jc w:val="both"/>
        <w:ind w:left="260" w:right="10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pacing w:after="0" w:line="9" w:lineRule="exact"/>
        <w:rPr>
          <w:rFonts w:ascii="Arial" w:cs="Arial" w:eastAsia="Arial" w:hAnsi="Arial"/>
          <w:sz w:val="18"/>
          <w:szCs w:val="18"/>
          <w:color w:val="auto"/>
        </w:rPr>
      </w:pPr>
    </w:p>
    <w:p>
      <w:pPr>
        <w:ind w:left="260" w:right="6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result in harm to our reputation and/or expose us to penalties. Governmental regulation may also adversely affect the demand for some of our products and our operating results. In addition, changes in laws and regulations also may adversely affect our operating results, including, in particular, (i) taxation and tax policy changes, tax rate changes, new tax laws, revised tax law interpretations, or expiration of the domestic research and development tax credit, which individually or in combination may cause our effective tax rate to increase, or (ii) new, recently enacted or revised healthcare laws or regulations, which may cause us to incur higher employee healthcare and other costs.</w:t>
      </w:r>
    </w:p>
    <w:p>
      <w:pPr>
        <w:spacing w:after="0" w:line="4" w:lineRule="exact"/>
        <w:rPr>
          <w:rFonts w:ascii="Arial" w:cs="Arial" w:eastAsia="Arial" w:hAnsi="Arial"/>
          <w:sz w:val="16"/>
          <w:szCs w:val="16"/>
          <w:color w:val="auto"/>
        </w:rPr>
      </w:pPr>
    </w:p>
    <w:p>
      <w:pPr>
        <w:ind w:left="260" w:hanging="252"/>
        <w:spacing w:after="0" w:line="287"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United States Environmental Protection Agency has adopted increasingly stringent engine emission regulations, including Tier 4 emission requirements applicable to diesel engines in specified horsepower ranges that are used in some of our products. Beginning January 1, 2013, such requirements expanded to additional horsepower categories and, accordingly, apply to more of our products. Although we have developed plans to achieve substantial compliance with Tier 4 diesel engine emission requirements, these plans are subject to many variables including, among others, the ability of our suppliers to provide compliant engines on a timely basis or our ability to meet our production schedule. If we are unable to successfully execute such plans, our ability to sell our products into the market may be inhibited, which could adversely affect our competitive position and financial results. To the extent in which we are able to implement price increases to cover or partially offset costs related to research, development, engineering, and other expenses to design Tier 4 diesel engine compliant products in the form of price increases to our customers, and/or our competitors implement different strategies with respect to compliance with Tier 4 diesel engine emission requirements, we may experience lower market demand for our products that may,</w:t>
      </w:r>
    </w:p>
    <w:p>
      <w:pPr>
        <w:sectPr>
          <w:pgSz w:w="11900" w:h="16865" w:orient="portrait"/>
          <w:cols w:equalWidth="0" w:num="1">
            <w:col w:w="11400"/>
          </w:cols>
          <w:pgMar w:left="240" w:top="125" w:right="259" w:bottom="0" w:gutter="0" w:footer="0" w:header="0"/>
        </w:sectPr>
      </w:pPr>
    </w:p>
    <w:bookmarkStart w:id="17" w:name="page18"/>
    <w:bookmarkEnd w:id="17"/>
    <w:p>
      <w:pPr>
        <w:ind w:left="260" w:right="100"/>
        <w:spacing w:after="0" w:line="253" w:lineRule="auto"/>
        <w:rPr>
          <w:sz w:val="20"/>
          <w:szCs w:val="20"/>
          <w:color w:val="auto"/>
        </w:rPr>
      </w:pPr>
      <w:r>
        <w:rPr>
          <w:rFonts w:ascii="Arial" w:cs="Arial" w:eastAsia="Arial" w:hAnsi="Arial"/>
          <w:sz w:val="18"/>
          <w:szCs w:val="18"/>
          <w:color w:val="auto"/>
        </w:rPr>
        <w:t>ultimately, adversely affect our profit margins, net sales, and overall financial results. Alternatively, if our competitors implement different strategies with respect to compliance with Tier 4 requirements that, either in the short term or over the long term, enable them to limit price increases, introduce product modifications that gain widespread market acceptance, or otherwise change customer preferences and buying patterns in ways that we do not currently anticipate, we may experience lower market demand for our products that may, ultimately, adversely affect our net sales, profit margins, and overall financial results.</w:t>
      </w:r>
    </w:p>
    <w:p>
      <w:pPr>
        <w:spacing w:after="0" w:line="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and climate change regulations may adversely impact our operations.</w:t>
      </w:r>
    </w:p>
    <w:p>
      <w:pPr>
        <w:spacing w:after="0" w:line="9" w:lineRule="exact"/>
        <w:rPr>
          <w:rFonts w:ascii="Arial" w:cs="Arial" w:eastAsia="Arial" w:hAnsi="Arial"/>
          <w:sz w:val="18"/>
          <w:szCs w:val="18"/>
          <w:color w:val="auto"/>
        </w:rPr>
      </w:pPr>
    </w:p>
    <w:p>
      <w:pPr>
        <w:ind w:left="260" w:right="60" w:hanging="252"/>
        <w:spacing w:after="0" w:line="26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required to comply with “conflict minerals” rules promulgated by the SEC, which has imposed costs on us and raised reputational and other risks. The new rules required us to engage in due diligence efforts for the 2013 calendar year and subsequent years, with initial disclosures that we filed with the SEC on June 2, 2014, and subsequent disclosures required no later than May 31 of each following year. We have, and we expect that we will continue to, incur additional costs and expenses, which may be significant in order to comply with these rules. Since our supply chain is complex, ultimately we may not be able to sufficiently verify the origin of the conflict minerals used in our products through the due diligence procedures that we implement, which may adversely affect our reputation with our customers, shareholders, and other stakeholders.</w:t>
      </w:r>
    </w:p>
    <w:p>
      <w:pPr>
        <w:spacing w:after="0" w:line="1" w:lineRule="exact"/>
        <w:rPr>
          <w:rFonts w:ascii="Arial" w:cs="Arial" w:eastAsia="Arial" w:hAnsi="Arial"/>
          <w:sz w:val="17"/>
          <w:szCs w:val="17"/>
          <w:color w:val="auto"/>
        </w:rPr>
      </w:pPr>
    </w:p>
    <w:p>
      <w:pPr>
        <w:ind w:left="260" w:hanging="252"/>
        <w:spacing w:after="0" w:line="265" w:lineRule="auto"/>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of complying with the various environmental laws related to our ownership and/or lease of real property, such as clean-up costs and liability that may be associated with certain hazardous waste disposal activities, could adversely affect our financial condition and operating results.</w:t>
      </w: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200" w:hanging="234"/>
        <w:spacing w:after="0" w:line="291" w:lineRule="auto"/>
        <w:tabs>
          <w:tab w:leader="none" w:pos="228" w:val="left"/>
        </w:tabs>
        <w:numPr>
          <w:ilvl w:val="1"/>
          <w:numId w:val="6"/>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ind w:left="260" w:right="8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Management information systems are critical to our business. If our information systems or those of our business partners or third party service providers fail to adequately perform, or if we, our business partners or third party service providers experience a disruption of these systems, including by theft, loss or damage from unauthorized access, security breaches, cyber attacks, computer viruses, power loss or other disruptive events, our business, reputation, operating results, or financial condition could be adversely affected.</w:t>
      </w:r>
    </w:p>
    <w:p>
      <w:pPr>
        <w:spacing w:after="0" w:line="1" w:lineRule="exact"/>
        <w:rPr>
          <w:rFonts w:ascii="Arial" w:cs="Arial" w:eastAsia="Arial" w:hAnsi="Arial"/>
          <w:sz w:val="18"/>
          <w:szCs w:val="18"/>
          <w:color w:val="auto"/>
        </w:rPr>
      </w:pPr>
    </w:p>
    <w:p>
      <w:pPr>
        <w:ind w:left="260" w:right="8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business, reputation, operating results, or financial condition.</w:t>
      </w:r>
    </w:p>
    <w:p>
      <w:pPr>
        <w:ind w:left="260" w:right="46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4"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expanding our corporate facilities and could experience disruptions to our operations in connection with such expansion efforts.</w:t>
      </w:r>
    </w:p>
    <w:p>
      <w:pPr>
        <w:spacing w:after="0" w:line="9" w:lineRule="exact"/>
        <w:rPr>
          <w:rFonts w:ascii="Arial" w:cs="Arial" w:eastAsia="Arial" w:hAnsi="Arial"/>
          <w:sz w:val="18"/>
          <w:szCs w:val="18"/>
          <w:color w:val="auto"/>
        </w:rPr>
      </w:pPr>
    </w:p>
    <w:p>
      <w:pPr>
        <w:ind w:left="260" w:right="40" w:hanging="252"/>
        <w:spacing w:after="0" w:line="287" w:lineRule="auto"/>
        <w:tabs>
          <w:tab w:leader="none" w:pos="224"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and operating earnings goals of our “Destination 2014” initiative; natural or man-made disasters or global pandemics that may result in shortages of raw materials and components, higher fuel and commodity costs, delays in shipments to customers, and increases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right="100" w:firstLine="270"/>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undertake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Foreign Currency Exchange Rate Risk.</w:t>
      </w:r>
      <w:r>
        <w:rPr>
          <w:rFonts w:ascii="Arial" w:cs="Arial" w:eastAsia="Arial" w:hAnsi="Arial"/>
          <w:sz w:val="18"/>
          <w:szCs w:val="18"/>
          <w:i w:val="1"/>
          <w:iCs w:val="1"/>
          <w:color w:val="auto"/>
        </w:rPr>
        <w:t xml:space="preserve"> </w:t>
      </w:r>
      <w:r>
        <w:rPr>
          <w:rFonts w:ascii="Arial" w:cs="Arial" w:eastAsia="Arial" w:hAnsi="Arial"/>
          <w:sz w:val="18"/>
          <w:szCs w:val="18"/>
          <w:color w:val="auto"/>
        </w:rPr>
        <w:t>In the normal course of business, we actively manage the exposure of our foreign currency exchange rate market risk</w:t>
      </w:r>
      <w:r>
        <w:rPr>
          <w:rFonts w:ascii="Arial" w:cs="Arial" w:eastAsia="Arial" w:hAnsi="Arial"/>
          <w:sz w:val="18"/>
          <w:szCs w:val="18"/>
          <w:i w:val="1"/>
          <w:iCs w:val="1"/>
          <w:color w:val="auto"/>
        </w:rPr>
        <w:t xml:space="preserve"> </w:t>
      </w:r>
      <w:r>
        <w:rPr>
          <w:rFonts w:ascii="Arial" w:cs="Arial" w:eastAsia="Arial" w:hAnsi="Arial"/>
          <w:sz w:val="18"/>
          <w:szCs w:val="18"/>
          <w:color w:val="auto"/>
        </w:rPr>
        <w:t>by entering into various hedging instruments, authorized under company policies that place controls on</w:t>
      </w:r>
    </w:p>
    <w:p>
      <w:pPr>
        <w:sectPr>
          <w:pgSz w:w="11900" w:h="16838" w:orient="portrait"/>
          <w:cols w:equalWidth="0" w:num="1">
            <w:col w:w="11420"/>
          </w:cols>
          <w:pgMar w:left="240" w:top="125" w:right="239" w:bottom="123"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the Romanian New Leu against the U.S. dollar, as well as the Romanian New Leu against the Euro.</w:t>
      </w:r>
    </w:p>
    <w:p>
      <w:pPr>
        <w:spacing w:after="0" w:line="182"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2014 and 2015.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May 2, 2014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(Loss) Gain</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1.0985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10,514.8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1.3632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(2,420.4)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1.6453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6,252.0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13.6003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30,661.1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4.4377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11,787.6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second quarter ended May 2, 2014 that has materially affected, or is reasonably likely to materially affect, our internal control over financial reporting.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ectPr>
          <w:pgSz w:w="11900" w:h="16838" w:orient="portrait"/>
          <w:cols w:equalWidth="0" w:num="1">
            <w:col w:w="11420"/>
          </w:cols>
          <w:pgMar w:left="240" w:top="125" w:right="239" w:bottom="0" w:gutter="0" w:footer="0" w:header="0"/>
        </w:sectPr>
      </w:pPr>
    </w:p>
    <w:bookmarkStart w:id="19" w:name="page20"/>
    <w:bookmarkEnd w:id="19"/>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6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second quarter of fiscal 2014 stock repurchase activity.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Total Number of</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Paid per</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6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Share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300" w:type="dxa"/>
            <w:vAlign w:val="bottom"/>
            <w:gridSpan w:val="3"/>
            <w:vMerge w:val="continue"/>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Purchased (1,2,3)</w:t>
            </w:r>
          </w:p>
        </w:tc>
        <w:tc>
          <w:tcPr>
            <w:tcW w:w="26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(or Unit)</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2014 through February 28, 2014</w:t>
            </w:r>
          </w:p>
        </w:tc>
        <w:tc>
          <w:tcPr>
            <w:tcW w:w="1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63.54</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83,020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3,577,218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2014 through March 28, 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65.53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175,600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3,401,618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29, 2014 through May 2, 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63.25</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359,200</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3,042,418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63.93</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617,820</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8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December 11, 2012, the company’s Board of Directors authorized the repurchase of 5,000,000 shares of the company’s common stock in open-market or in privately negotiated transactions. This program has no expiration date but may be terminated by the company’s Board of Directors at any time.</w:t>
      </w:r>
    </w:p>
    <w:p>
      <w:pPr>
        <w:spacing w:after="0" w:line="181" w:lineRule="exact"/>
        <w:rPr>
          <w:rFonts w:ascii="Arial" w:cs="Arial" w:eastAsia="Arial" w:hAnsi="Arial"/>
          <w:sz w:val="18"/>
          <w:szCs w:val="18"/>
          <w:color w:val="auto"/>
        </w:rPr>
      </w:pPr>
    </w:p>
    <w:p>
      <w:pPr>
        <w:ind w:left="660" w:right="24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2,863 shares of the company’s common stock surrendered by employees to satisfy minimum tax withholding obligations upon vesting of restricted stock granted under the company’s incentive plan. These 2,863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932 units (shares) of the company’s common stock purchased in open-market transactions at an average price of $62.45 per share on behalf of a rabbi trust formed to pay benefit obligations of the company to participants in deferred compensation plans. These 932 shares were not repurchased under the company’s repurchase program described in footnote 1 above.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rFonts w:ascii="Arial" w:cs="Arial" w:eastAsia="Arial" w:hAnsi="Arial"/>
          <w:sz w:val="18"/>
          <w:szCs w:val="18"/>
          <w:color w:val="auto"/>
        </w:rPr>
      </w:pPr>
    </w:p>
    <w:p>
      <w:pPr>
        <w:ind w:left="1660" w:right="260" w:hanging="1337"/>
        <w:spacing w:after="0" w:line="277" w:lineRule="auto"/>
        <w:rPr>
          <w:rFonts w:ascii="Arial" w:cs="Arial" w:eastAsia="Arial" w:hAnsi="Arial"/>
          <w:sz w:val="18"/>
          <w:szCs w:val="18"/>
          <w:color w:val="auto"/>
        </w:rPr>
      </w:pPr>
      <w:r>
        <w:rPr>
          <w:rFonts w:ascii="Arial" w:cs="Arial" w:eastAsia="Arial" w:hAnsi="Arial"/>
          <w:sz w:val="18"/>
          <w:szCs w:val="18"/>
          <w:color w:val="auto"/>
        </w:rPr>
        <w:t>3.1 and 4.1Restated Certificate of Incorporation of The Toro Company (incorporated by reference to Exhibit 3.1 to Registrant’s Current Report on Form 8-K dated June 17, 2008, Commission File No. 1-8649).</w:t>
      </w:r>
    </w:p>
    <w:p>
      <w:pPr>
        <w:spacing w:after="0" w:line="170" w:lineRule="exact"/>
        <w:rPr>
          <w:rFonts w:ascii="Arial" w:cs="Arial" w:eastAsia="Arial" w:hAnsi="Arial"/>
          <w:sz w:val="18"/>
          <w:szCs w:val="18"/>
          <w:color w:val="auto"/>
        </w:rPr>
      </w:pPr>
    </w:p>
    <w:p>
      <w:pPr>
        <w:ind w:left="1660" w:right="180" w:hanging="1337"/>
        <w:spacing w:after="0" w:line="277" w:lineRule="auto"/>
        <w:rPr>
          <w:rFonts w:ascii="Arial" w:cs="Arial" w:eastAsia="Arial" w:hAnsi="Arial"/>
          <w:sz w:val="18"/>
          <w:szCs w:val="18"/>
          <w:color w:val="auto"/>
        </w:rPr>
      </w:pPr>
      <w:r>
        <w:rPr>
          <w:rFonts w:ascii="Arial" w:cs="Arial" w:eastAsia="Arial" w:hAnsi="Arial"/>
          <w:sz w:val="18"/>
          <w:szCs w:val="18"/>
          <w:color w:val="auto"/>
        </w:rPr>
        <w:t>3.2 and 4.2Certificate of Amendment to Restated Certificate of Incorporation of The Toro Company (incorporated by reference to Exhibit 3.1 to Registrant’s Current Report on Form 8-K dated March 13, 2013, Commission File No. 1-8649).</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3.3 and 4.3</w:t>
            </w:r>
          </w:p>
        </w:tc>
        <w:tc>
          <w:tcPr>
            <w:tcW w:w="9940" w:type="dxa"/>
            <w:vAlign w:val="bottom"/>
          </w:tcPr>
          <w:p>
            <w:pPr>
              <w:ind w:left="260"/>
              <w:spacing w:after="0"/>
              <w:rPr>
                <w:sz w:val="20"/>
                <w:szCs w:val="20"/>
                <w:color w:val="auto"/>
              </w:rPr>
            </w:pPr>
            <w:r>
              <w:rPr>
                <w:rFonts w:ascii="Arial" w:cs="Arial" w:eastAsia="Arial" w:hAnsi="Arial"/>
                <w:sz w:val="18"/>
                <w:szCs w:val="18"/>
                <w:color w:val="auto"/>
                <w:w w:val="94"/>
              </w:rPr>
              <w:t>Amended and Restated Bylaws of The Toro Company (incorporated by reference to Exhibit 3.2 to Registrant’s Current Report on</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Form 8-K dated June 17, 2008, Commission File No. 1-8649).</w:t>
            </w:r>
          </w:p>
        </w:tc>
      </w:tr>
      <w:tr>
        <w:trPr>
          <w:trHeight w:val="418"/>
        </w:trPr>
        <w:tc>
          <w:tcPr>
            <w:tcW w:w="1060" w:type="dxa"/>
            <w:vAlign w:val="bottom"/>
          </w:tcPr>
          <w:p>
            <w:pPr>
              <w:spacing w:after="0"/>
              <w:rPr>
                <w:sz w:val="20"/>
                <w:szCs w:val="20"/>
                <w:color w:val="auto"/>
              </w:rPr>
            </w:pPr>
            <w:r>
              <w:rPr>
                <w:rFonts w:ascii="Arial" w:cs="Arial" w:eastAsia="Arial" w:hAnsi="Arial"/>
                <w:sz w:val="18"/>
                <w:szCs w:val="18"/>
                <w:color w:val="auto"/>
              </w:rPr>
              <w:t>4.4</w:t>
            </w:r>
          </w:p>
        </w:tc>
        <w:tc>
          <w:tcPr>
            <w:tcW w:w="9940" w:type="dxa"/>
            <w:vAlign w:val="bottom"/>
          </w:tcPr>
          <w:p>
            <w:pPr>
              <w:ind w:left="260"/>
              <w:spacing w:after="0"/>
              <w:rPr>
                <w:sz w:val="20"/>
                <w:szCs w:val="20"/>
                <w:color w:val="auto"/>
              </w:rPr>
            </w:pPr>
            <w:r>
              <w:rPr>
                <w:rFonts w:ascii="Arial" w:cs="Arial" w:eastAsia="Arial" w:hAnsi="Arial"/>
                <w:sz w:val="18"/>
                <w:szCs w:val="18"/>
                <w:color w:val="auto"/>
                <w:w w:val="91"/>
              </w:rPr>
              <w:t>Specimen Form of Common Stock Certificate (incorporated by reference to Exhibit 4(c) to Registrant’s Quarterly Report on Form 10-</w:t>
            </w:r>
          </w:p>
        </w:tc>
      </w:tr>
      <w:tr>
        <w:trPr>
          <w:trHeight w:val="230"/>
        </w:trPr>
        <w:tc>
          <w:tcPr>
            <w:tcW w:w="1060" w:type="dxa"/>
            <w:vAlign w:val="bottom"/>
          </w:tcPr>
          <w:p>
            <w:pPr>
              <w:spacing w:after="0"/>
              <w:rPr>
                <w:sz w:val="20"/>
                <w:szCs w:val="20"/>
                <w:color w:val="auto"/>
              </w:rPr>
            </w:pPr>
          </w:p>
        </w:tc>
        <w:tc>
          <w:tcPr>
            <w:tcW w:w="9940" w:type="dxa"/>
            <w:vAlign w:val="bottom"/>
          </w:tcPr>
          <w:p>
            <w:pPr>
              <w:ind w:left="260"/>
              <w:spacing w:after="0"/>
              <w:rPr>
                <w:sz w:val="20"/>
                <w:szCs w:val="20"/>
                <w:color w:val="auto"/>
              </w:rPr>
            </w:pPr>
            <w:r>
              <w:rPr>
                <w:rFonts w:ascii="Arial" w:cs="Arial" w:eastAsia="Arial" w:hAnsi="Arial"/>
                <w:sz w:val="18"/>
                <w:szCs w:val="18"/>
                <w:color w:val="auto"/>
              </w:rPr>
              <w:t>Q for the fiscal quarter ended August 1, 2008, Commission File No. 1-8649).</w:t>
            </w:r>
          </w:p>
        </w:tc>
      </w:tr>
    </w:tbl>
    <w:p>
      <w:pPr>
        <w:sectPr>
          <w:pgSz w:w="11900" w:h="16838" w:orient="portrait"/>
          <w:cols w:equalWidth="0" w:num="1">
            <w:col w:w="11420"/>
          </w:cols>
          <w:pgMar w:left="240" w:top="341" w:right="239" w:bottom="0" w:gutter="0" w:footer="0" w:header="0"/>
        </w:sectPr>
      </w:pPr>
    </w:p>
    <w:bookmarkStart w:id="20" w:name="page21"/>
    <w:bookmarkEnd w:id="20"/>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4.5</w:t>
            </w:r>
          </w:p>
        </w:tc>
        <w:tc>
          <w:tcPr>
            <w:tcW w:w="10180" w:type="dxa"/>
            <w:vAlign w:val="bottom"/>
          </w:tcPr>
          <w:p>
            <w:pPr>
              <w:ind w:left="50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 Toro</w:t>
            </w:r>
          </w:p>
        </w:tc>
      </w:tr>
      <w:tr>
        <w:trPr>
          <w:trHeight w:val="216"/>
        </w:trPr>
        <w:tc>
          <w:tcPr>
            <w:tcW w:w="820" w:type="dxa"/>
            <w:vAlign w:val="bottom"/>
          </w:tcPr>
          <w:p>
            <w:pPr>
              <w:spacing w:after="0"/>
              <w:rPr>
                <w:sz w:val="18"/>
                <w:szCs w:val="18"/>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w w:val="90"/>
              </w:rPr>
              <w:t>Company’s 7.80% Debentures due June 15, 2027 (incorporated by reference to Exhibit 4(a) to Registrant’s Current Report on Form 8-</w:t>
            </w:r>
          </w:p>
        </w:tc>
      </w:tr>
      <w:tr>
        <w:trPr>
          <w:trHeight w:val="230"/>
        </w:trPr>
        <w:tc>
          <w:tcPr>
            <w:tcW w:w="820" w:type="dxa"/>
            <w:vAlign w:val="bottom"/>
          </w:tcPr>
          <w:p>
            <w:pPr>
              <w:spacing w:after="0"/>
              <w:rPr>
                <w:sz w:val="20"/>
                <w:szCs w:val="20"/>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rPr>
              <w:t>K dated June 24, 1997, Commission File No. 1-8649).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4.6</w:t>
            </w:r>
          </w:p>
        </w:tc>
        <w:tc>
          <w:tcPr>
            <w:tcW w:w="10180" w:type="dxa"/>
            <w:vAlign w:val="bottom"/>
          </w:tcPr>
          <w:p>
            <w:pPr>
              <w:ind w:left="500"/>
              <w:spacing w:after="0"/>
              <w:rPr>
                <w:sz w:val="20"/>
                <w:szCs w:val="20"/>
                <w:color w:val="auto"/>
              </w:rPr>
            </w:pPr>
            <w:r>
              <w:rPr>
                <w:rFonts w:ascii="Arial" w:cs="Arial" w:eastAsia="Arial" w:hAnsi="Arial"/>
                <w:sz w:val="18"/>
                <w:szCs w:val="18"/>
                <w:color w:val="auto"/>
                <w:w w:val="90"/>
              </w:rPr>
              <w:t>Indenture dated as of April 20, 2007, between Registrant and The Bank of New York Trust Company, N.A., as Trustee, relating to The</w:t>
            </w:r>
          </w:p>
        </w:tc>
      </w:tr>
      <w:tr>
        <w:trPr>
          <w:trHeight w:val="216"/>
        </w:trPr>
        <w:tc>
          <w:tcPr>
            <w:tcW w:w="820" w:type="dxa"/>
            <w:vAlign w:val="bottom"/>
          </w:tcPr>
          <w:p>
            <w:pPr>
              <w:spacing w:after="0"/>
              <w:rPr>
                <w:sz w:val="18"/>
                <w:szCs w:val="18"/>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w w:val="92"/>
              </w:rPr>
              <w:t>Toro Company’s 6.625% Notes due May 1, 2037 (incorporated by reference to Exhibit 4.3 to Registrant’s Registration Statement on</w:t>
            </w:r>
          </w:p>
        </w:tc>
      </w:tr>
      <w:tr>
        <w:trPr>
          <w:trHeight w:val="230"/>
        </w:trPr>
        <w:tc>
          <w:tcPr>
            <w:tcW w:w="820" w:type="dxa"/>
            <w:vAlign w:val="bottom"/>
          </w:tcPr>
          <w:p>
            <w:pPr>
              <w:spacing w:after="0"/>
              <w:rPr>
                <w:sz w:val="20"/>
                <w:szCs w:val="20"/>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rPr>
              <w:t>Form S-3 filed with the Securities and Exchange Commission on April 23, 2007, Registration No. 333-142282).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4.7</w:t>
            </w:r>
          </w:p>
        </w:tc>
        <w:tc>
          <w:tcPr>
            <w:tcW w:w="10180" w:type="dxa"/>
            <w:vAlign w:val="bottom"/>
          </w:tcPr>
          <w:p>
            <w:pPr>
              <w:ind w:left="500"/>
              <w:spacing w:after="0"/>
              <w:rPr>
                <w:sz w:val="20"/>
                <w:szCs w:val="20"/>
                <w:color w:val="auto"/>
              </w:rPr>
            </w:pPr>
            <w:r>
              <w:rPr>
                <w:rFonts w:ascii="Arial" w:cs="Arial" w:eastAsia="Arial" w:hAnsi="Arial"/>
                <w:sz w:val="18"/>
                <w:szCs w:val="18"/>
                <w:color w:val="auto"/>
                <w:w w:val="93"/>
              </w:rPr>
              <w:t>First Supplemental Indenture dated as of April 26, 2007, between Registrant and The Bank of New York Trust Company, N.A., as</w:t>
            </w:r>
          </w:p>
        </w:tc>
      </w:tr>
      <w:tr>
        <w:trPr>
          <w:trHeight w:val="216"/>
        </w:trPr>
        <w:tc>
          <w:tcPr>
            <w:tcW w:w="820" w:type="dxa"/>
            <w:vAlign w:val="bottom"/>
          </w:tcPr>
          <w:p>
            <w:pPr>
              <w:spacing w:after="0"/>
              <w:rPr>
                <w:sz w:val="18"/>
                <w:szCs w:val="18"/>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w w:val="94"/>
              </w:rPr>
              <w:t>Trustee, relating to The Toro Company’s 6.625% Notes due May 1, 2037 (incorporated by reference to Exhibit 4.1 to Registrant’s</w:t>
            </w:r>
          </w:p>
        </w:tc>
      </w:tr>
      <w:tr>
        <w:trPr>
          <w:trHeight w:val="230"/>
        </w:trPr>
        <w:tc>
          <w:tcPr>
            <w:tcW w:w="820" w:type="dxa"/>
            <w:vAlign w:val="bottom"/>
          </w:tcPr>
          <w:p>
            <w:pPr>
              <w:spacing w:after="0"/>
              <w:rPr>
                <w:sz w:val="20"/>
                <w:szCs w:val="20"/>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rPr>
              <w:t>Current Report on Form 8-K dated April 23, 2007, Commission File No. 1-8649).</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4.8</w:t>
            </w:r>
          </w:p>
        </w:tc>
        <w:tc>
          <w:tcPr>
            <w:tcW w:w="10180" w:type="dxa"/>
            <w:vAlign w:val="bottom"/>
          </w:tcPr>
          <w:p>
            <w:pPr>
              <w:ind w:left="500"/>
              <w:spacing w:after="0"/>
              <w:rPr>
                <w:sz w:val="20"/>
                <w:szCs w:val="20"/>
                <w:color w:val="auto"/>
              </w:rPr>
            </w:pPr>
            <w:r>
              <w:rPr>
                <w:rFonts w:ascii="Arial" w:cs="Arial" w:eastAsia="Arial" w:hAnsi="Arial"/>
                <w:sz w:val="18"/>
                <w:szCs w:val="18"/>
                <w:color w:val="auto"/>
                <w:w w:val="92"/>
              </w:rPr>
              <w:t>Form of The Toro Company 6.625% Note due May 1, 2037 (incorporated by reference to Exhibit 4.2 to Registrant’s Current Report</w:t>
            </w:r>
          </w:p>
        </w:tc>
      </w:tr>
      <w:tr>
        <w:trPr>
          <w:trHeight w:val="230"/>
        </w:trPr>
        <w:tc>
          <w:tcPr>
            <w:tcW w:w="820" w:type="dxa"/>
            <w:vAlign w:val="bottom"/>
          </w:tcPr>
          <w:p>
            <w:pPr>
              <w:spacing w:after="0"/>
              <w:rPr>
                <w:sz w:val="20"/>
                <w:szCs w:val="20"/>
                <w:color w:val="auto"/>
              </w:rPr>
            </w:pPr>
          </w:p>
        </w:tc>
        <w:tc>
          <w:tcPr>
            <w:tcW w:w="10180" w:type="dxa"/>
            <w:vAlign w:val="bottom"/>
          </w:tcPr>
          <w:p>
            <w:pPr>
              <w:ind w:left="500"/>
              <w:spacing w:after="0"/>
              <w:rPr>
                <w:sz w:val="20"/>
                <w:szCs w:val="20"/>
                <w:color w:val="auto"/>
              </w:rPr>
            </w:pPr>
            <w:r>
              <w:rPr>
                <w:rFonts w:ascii="Arial" w:cs="Arial" w:eastAsia="Arial" w:hAnsi="Arial"/>
                <w:sz w:val="18"/>
                <w:szCs w:val="18"/>
                <w:color w:val="auto"/>
              </w:rPr>
              <w:t>on Form 8-K dated April 23, 2007, Commission File No. 1-8649).</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500"/>
              <w:spacing w:after="0"/>
              <w:rPr>
                <w:sz w:val="20"/>
                <w:szCs w:val="20"/>
                <w:color w:val="auto"/>
              </w:rPr>
            </w:pPr>
            <w:r>
              <w:rPr>
                <w:rFonts w:ascii="Arial" w:cs="Arial" w:eastAsia="Arial" w:hAnsi="Arial"/>
                <w:sz w:val="18"/>
                <w:szCs w:val="18"/>
                <w:color w:val="auto"/>
                <w:w w:val="92"/>
              </w:rPr>
              <w:t>Certification of Chief Executive Officer Pursuant to Rule 13a-14(a) (Section 302 of the Sarbanes-Oxley Act of 2002) (filed herewith).</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500"/>
              <w:spacing w:after="0"/>
              <w:rPr>
                <w:sz w:val="20"/>
                <w:szCs w:val="20"/>
                <w:color w:val="auto"/>
              </w:rPr>
            </w:pPr>
            <w:r>
              <w:rPr>
                <w:rFonts w:ascii="Arial" w:cs="Arial" w:eastAsia="Arial" w:hAnsi="Arial"/>
                <w:sz w:val="18"/>
                <w:szCs w:val="18"/>
                <w:color w:val="auto"/>
                <w:w w:val="92"/>
              </w:rPr>
              <w:t>Certification of Chief Financial Officer Pursuant to Rule 13a-14(a) (Section 302 of the Sarbanes-Oxley Act of 2002) (filed herewith).</w:t>
            </w:r>
          </w:p>
        </w:tc>
      </w:tr>
    </w:tbl>
    <w:p>
      <w:pPr>
        <w:spacing w:after="0" w:line="202" w:lineRule="exact"/>
        <w:rPr>
          <w:sz w:val="20"/>
          <w:szCs w:val="20"/>
          <w:color w:val="auto"/>
        </w:rPr>
      </w:pPr>
    </w:p>
    <w:p>
      <w:pPr>
        <w:ind w:left="1660" w:right="520" w:hanging="1328"/>
        <w:spacing w:after="0" w:line="277" w:lineRule="auto"/>
        <w:tabs>
          <w:tab w:leader="none" w:pos="1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70" w:lineRule="exact"/>
        <w:rPr>
          <w:sz w:val="20"/>
          <w:szCs w:val="20"/>
          <w:color w:val="auto"/>
        </w:rPr>
      </w:pPr>
    </w:p>
    <w:p>
      <w:pPr>
        <w:ind w:left="1660" w:right="140" w:hanging="1328"/>
        <w:spacing w:after="0" w:line="269"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financial information from The Toro Company’s Quarterly Report on Form 10-Q for the quarterly period ended May 2, 2014, filed with the SEC on June 4, 2014, formatted in eXtensible Business Reporting Language (XBRL): (i) Condensed Consolidated Statements of Earnings for the three and six-month periods ended May 2, 2014 and May 3, 2013, (ii) Condensed Consolidated Statements of Comprehensive Income for the three and six-month periods ended May 2, 2014 and May 3, 2013,</w:t>
      </w:r>
    </w:p>
    <w:p>
      <w:pPr>
        <w:spacing w:after="0" w:line="2" w:lineRule="exact"/>
        <w:rPr>
          <w:rFonts w:ascii="Arial" w:cs="Arial" w:eastAsia="Arial" w:hAnsi="Arial"/>
          <w:sz w:val="17"/>
          <w:szCs w:val="17"/>
          <w:color w:val="auto"/>
        </w:rPr>
      </w:pPr>
    </w:p>
    <w:p>
      <w:pPr>
        <w:ind w:left="1660" w:right="340"/>
        <w:spacing w:after="0" w:line="255" w:lineRule="auto"/>
        <w:rPr>
          <w:rFonts w:ascii="Arial" w:cs="Arial" w:eastAsia="Arial" w:hAnsi="Arial"/>
          <w:sz w:val="17"/>
          <w:szCs w:val="17"/>
          <w:color w:val="auto"/>
        </w:rPr>
      </w:pPr>
      <w:r>
        <w:rPr>
          <w:rFonts w:ascii="Arial" w:cs="Arial" w:eastAsia="Arial" w:hAnsi="Arial"/>
          <w:sz w:val="18"/>
          <w:szCs w:val="18"/>
          <w:color w:val="auto"/>
        </w:rPr>
        <w:t>(iii) Condensed Consolidated Balance Sheets as of May 2, 2014, May 3, 2013, and October 31, 2013, (iv) Condensed Consolidated Statement of Cash Flows for the three and six-month periods ended May 2, 2014 and May 3, 2013, and (v) Notes to Condensed Consolidated Financial Statements (filed herewith).</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jc w:val="center"/>
              <w:ind w:right="299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0"/>
                <w:szCs w:val="20"/>
                <w:color w:val="auto"/>
              </w:rPr>
            </w:pPr>
            <w:r>
              <w:rPr>
                <w:rFonts w:ascii="Arial" w:cs="Arial" w:eastAsia="Arial" w:hAnsi="Arial"/>
                <w:sz w:val="18"/>
                <w:szCs w:val="18"/>
                <w:color w:val="auto"/>
              </w:rPr>
              <w:t>Date: June 4, 2014</w:t>
            </w: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080" w:type="dxa"/>
            <w:vAlign w:val="bottom"/>
          </w:tcPr>
          <w:p>
            <w:pPr>
              <w:spacing w:after="0"/>
              <w:rPr>
                <w:sz w:val="15"/>
                <w:szCs w:val="15"/>
                <w:color w:val="auto"/>
              </w:rPr>
            </w:pPr>
          </w:p>
        </w:tc>
        <w:tc>
          <w:tcPr>
            <w:tcW w:w="3080" w:type="dxa"/>
            <w:vAlign w:val="bottom"/>
          </w:tcPr>
          <w:p>
            <w:pPr>
              <w:ind w:left="2640"/>
              <w:spacing w:after="0" w:line="182" w:lineRule="exact"/>
              <w:rPr>
                <w:sz w:val="20"/>
                <w:szCs w:val="20"/>
                <w:color w:val="auto"/>
              </w:rPr>
            </w:pPr>
            <w:r>
              <w:rPr>
                <w:rFonts w:ascii="Arial" w:cs="Arial" w:eastAsia="Arial" w:hAnsi="Arial"/>
                <w:sz w:val="18"/>
                <w:szCs w:val="18"/>
                <w:color w:val="auto"/>
                <w:w w:val="79"/>
              </w:rPr>
              <w:t>Renee</w:t>
            </w:r>
          </w:p>
        </w:tc>
        <w:tc>
          <w:tcPr>
            <w:tcW w:w="5260" w:type="dxa"/>
            <w:vAlign w:val="bottom"/>
            <w:tcBorders>
              <w:top w:val="single" w:sz="8" w:color="auto"/>
            </w:tcBorders>
          </w:tcPr>
          <w:p>
            <w:pPr>
              <w:ind w:left="6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Vice President, Treasurer</w:t>
            </w:r>
          </w:p>
        </w:tc>
        <w:tc>
          <w:tcPr>
            <w:tcW w:w="4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080" w:type="dxa"/>
            <w:vAlign w:val="bottom"/>
          </w:tcPr>
          <w:p>
            <w:pPr>
              <w:spacing w:after="0"/>
              <w:rPr>
                <w:sz w:val="20"/>
                <w:szCs w:val="20"/>
                <w:color w:val="auto"/>
              </w:rPr>
            </w:pPr>
          </w:p>
        </w:tc>
        <w:tc>
          <w:tcPr>
            <w:tcW w:w="8340" w:type="dxa"/>
            <w:vAlign w:val="bottom"/>
            <w:gridSpan w:val="2"/>
          </w:tcPr>
          <w:p>
            <w:pPr>
              <w:ind w:left="264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3080" w:type="dxa"/>
            <w:vAlign w:val="bottom"/>
          </w:tcPr>
          <w:p>
            <w:pPr>
              <w:jc w:val="center"/>
              <w:ind w:left="2090"/>
              <w:spacing w:after="0"/>
              <w:rPr>
                <w:sz w:val="20"/>
                <w:szCs w:val="20"/>
                <w:color w:val="auto"/>
              </w:rPr>
            </w:pPr>
            <w:r>
              <w:rPr>
                <w:rFonts w:ascii="Arial" w:cs="Arial" w:eastAsia="Arial" w:hAnsi="Arial"/>
                <w:sz w:val="18"/>
                <w:szCs w:val="18"/>
                <w:color w:val="auto"/>
                <w:w w:val="89"/>
              </w:rPr>
              <w:t>30</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080" w:type="dxa"/>
            <w:vAlign w:val="bottom"/>
            <w:tcBorders>
              <w:bottom w:val="single" w:sz="8" w:color="010101"/>
            </w:tcBorders>
          </w:tcPr>
          <w:p>
            <w:pPr>
              <w:spacing w:after="0"/>
              <w:rPr>
                <w:sz w:val="11"/>
                <w:szCs w:val="11"/>
                <w:color w:val="auto"/>
              </w:rPr>
            </w:pPr>
          </w:p>
        </w:tc>
        <w:tc>
          <w:tcPr>
            <w:tcW w:w="308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May 2, 2014 as filed with the Securities and Exchange Commission on the date hereof (the “Report”), we, Michael J. Hoffman,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4, 2014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4, 2014</w:t>
      </w:r>
    </w:p>
    <w:p>
      <w:pPr>
        <w:spacing w:after="0" w:line="21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decimal"/>
      <w:start w:val="32"/>
    </w:lvl>
  </w:abstractNum>
  <w:abstractNum w:abstractNumId="9">
    <w:nsid w:val="1190CDE7"/>
    <w:multiLevelType w:val="hybridMultilevel"/>
    <w:lvl w:ilvl="0">
      <w:lvlJc w:val="left"/>
      <w:lvlText w:val="%1"/>
      <w:numFmt w:val="decimal"/>
      <w:start w:val="10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2019-12-05T19:37:05Z</dcterms:created>
  <dcterms:modified xsi:type="dcterms:W3CDTF">2019-12-05T19:37:05Z</dcterms:modified>
</cp:coreProperties>
</file>