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20,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333-263792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POST-EFFECTIVE AMENDMENT NO. 1 TO 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NO. 333-263792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027" w:gutter="0" w:footer="0" w:header="0"/>
        </w:sectPr>
      </w:pPr>
    </w:p>
    <w:p>
      <w:pPr>
        <w:spacing w:after="0" w:line="20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225" w:right="339" w:bottom="1027"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ectPr>
          <w:pgSz w:w="11900" w:h="16838" w:orient="portrait"/>
          <w:cols w:equalWidth="0" w:num="1">
            <w:col w:w="11240"/>
          </w:cols>
          <w:pgMar w:left="320" w:top="225" w:right="339" w:bottom="1027"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Bloomington, Minnesota 55420-1196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194310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The Toro Company Amended and Restated</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2010 Equity and Incentive Plan</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The Toro Company 2026 Equity Plan</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Joanna M. Totsky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General Counsel 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Bloomington, Minnesota 55420-1196</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Copies requested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Amy E. Culbert,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Fox Rothschild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City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 South Sixth Street, Suite 3600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Minneapolis, Minnesota 55402-3601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(612) 607-7000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027" w:gutter="0" w:footer="0" w:header="0"/>
          <w:type w:val="continuous"/>
        </w:sectPr>
      </w:pPr>
    </w:p>
    <w:p>
      <w:pPr>
        <w:spacing w:after="0" w:line="176"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4">
            <w:col w:w="1960" w:space="80"/>
            <w:col w:w="5460" w:space="720"/>
            <w:col w:w="1960" w:space="100"/>
            <w:col w:w="960"/>
          </w:cols>
          <w:pgMar w:left="320" w:top="225" w:right="339" w:bottom="1027" w:gutter="0" w:footer="0" w:header="0"/>
          <w:type w:val="continuous"/>
        </w:sectPr>
      </w:pPr>
    </w:p>
    <w:p>
      <w:pPr>
        <w:spacing w:after="0" w:line="1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02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17, 2026 (the “Effective Date”), the stockholders of The Toro Company (the “Registrant” or the “Company”) approved and adopted The Toro Company 2026 Equity Plan (the “2026 Plan”), which was approved by the Company’s Board of Directors on January 20, 2026. As of the Effective Date, the Company’s authority to grant new awards under The Toro Company 2022 Equity and Incentive Plan (the “2022 Plan”), terminated upon stockholder approval of the 2026 Plan on such date. The maximum number of shares of the Company’s common stock, par value $0.01 per share (the “Common Stock”), available for issuance under the 2026 Plan, subject to adjustment pursuant to the terms of the 2026 Plan, is (i) 3,650,000 shares of Common Stock (the “New 2026 Plan Shares”); (ii) 1,568,361 shares of Common Stock remaining available for issuance under the 2022 Plan but not subject to outstanding awards under the 2022 Plan as of the Effective Date (the “2022 Plan Carryover Shares”); and (iii) shares of Common Stock subject to awards outstanding under the 2022 Plan as of the Effective Date but only to the extent such awards are subsequently forfeited, cancelled, expire, or otherwise terminate without the issuance of such shares of Common Stock after the Effective Date (“2022 Plan Unused Award Shares”).</w:t>
      </w:r>
    </w:p>
    <w:p>
      <w:pPr>
        <w:spacing w:after="0" w:line="18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Contemporaneously with the filing of this Post-Effective Amendment No. 1, the Company is filing a Registration Statement on Form S-8 (this “Registration Statement”) with the Securities and Exchange Commission (the “SEC”) under the Securities Act of 1933, as amended (the “Securities Act”), to register: (i) the 3,650,000 New 2026 Plan Shares; (ii) 235,539 of the 1,568,361 2022 Plan Carryover Shares not previously included in the Registration Statement on Form S-8 (Registration No. 333-263792) referred to below or any other Registration Statement on Form S-8 previously filed by the Company; and (iii) such indeterminate number of shares of Common Stock as may become available under the 2026 Plan as a result of the adjustment provisions thereof pursuant to Rule 416(a) under the Securities Act.</w:t>
      </w:r>
    </w:p>
    <w:p>
      <w:pPr>
        <w:spacing w:after="0" w:line="18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On March 23, 2022, the Company filed with the SEC a Registration Statement on Form S-8 (Registration No. 333-263792) registering an aggregate of 3,765,966 shares of Common Stock issuable under the 2022 Plan (the “2022 Plan Registration Statement”).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filing this Post-Effective Amendment No. 1 to the 2022 Plan Registration Statement (this “Post-Effective Amendment No. 1”), pursuant to the undertaking in Item 512(a)(1)(iii) of SEC Regulation S-K, which requires the Company to disclose a material change in the plan of distribution as it was originally disclosed in the 2022 Plan Registration Statement, to reflect that the Company’s authority to grant new awards under the 2022 Plan terminated and to add the 2026 Plan and reflect that, as of the Effective Date, the previously registered 2022 Plan Carryover Shares and any 2022 Plan Unused Award Shares previously included in the 2022 Plan Registration Statement may be issued under the 2026 Plan, a copy of which is incorporated herein by reference as an exhibit hereto along with a new opinion as the validity of the previously registered 2022 Plan Carryover Shares and any 2022 Plan Unused Award Shares issuable pursuant to the 2026 Plan.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amends and supplements the items listed below. All other items of the 2022 Plan Registration Statement are incorporated herein by reference without change (the 2022 Plan Registration Statement as amended by this Post-Effective Amendment No. 1, collectively the “Amended 2022 Plan Registration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additional shares of Common Stock are being registered hereby.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0712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5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under Rule 428 under the Securities Act and the Note to Part I of Form S-8, this Registration Statement omits the information specified in Part I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rules of the SEC allow the Registrant to incorporate by reference information into this Registration Statement. This means that the Registrant may disclose important information to you by referring you to another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previously filed by the Registrant with the SEC are incorporated by reference into this Registration Statement:</w:t>
      </w:r>
    </w:p>
    <w:p>
      <w:pPr>
        <w:spacing w:after="0" w:line="225"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w:t>
      </w:r>
      <w:hyperlink r:id="rId19">
        <w:r>
          <w:rPr>
            <w:rFonts w:ascii="Times New Roman" w:cs="Times New Roman" w:eastAsia="Times New Roman" w:hAnsi="Times New Roman"/>
            <w:sz w:val="18"/>
            <w:szCs w:val="18"/>
            <w:u w:val="single" w:color="auto"/>
            <w:color w:val="0000EE"/>
          </w:rPr>
          <w:t>October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1-8649);</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quarterly period ended </w:t>
      </w:r>
      <w:hyperlink r:id="rId20">
        <w:r>
          <w:rPr>
            <w:rFonts w:ascii="Times New Roman" w:cs="Times New Roman" w:eastAsia="Times New Roman" w:hAnsi="Times New Roman"/>
            <w:sz w:val="18"/>
            <w:szCs w:val="18"/>
            <w:u w:val="single" w:color="auto"/>
            <w:color w:val="0000EE"/>
          </w:rPr>
          <w:t>January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1-8649);</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Form 8-K filed on </w:t>
      </w:r>
      <w:hyperlink r:id="rId21">
        <w:r>
          <w:rPr>
            <w:rFonts w:ascii="Times New Roman" w:cs="Times New Roman" w:eastAsia="Times New Roman" w:hAnsi="Times New Roman"/>
            <w:sz w:val="18"/>
            <w:szCs w:val="18"/>
            <w:u w:val="single" w:color="auto"/>
            <w:color w:val="0000EE"/>
          </w:rPr>
          <w:t>December 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March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1-8649) and Amendment No. 1 to Current Report on Form 8-K/A filed on </w:t>
      </w:r>
      <w:hyperlink r:id="rId23">
        <w:r>
          <w:rPr>
            <w:rFonts w:ascii="Times New Roman" w:cs="Times New Roman" w:eastAsia="Times New Roman" w:hAnsi="Times New Roman"/>
            <w:sz w:val="18"/>
            <w:szCs w:val="18"/>
            <w:u w:val="single" w:color="auto"/>
            <w:color w:val="0000EE"/>
          </w:rPr>
          <w:t>February 17, 2026</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Definitive Proxy Statement on Schedule 14A, filed on </w:t>
      </w:r>
      <w:hyperlink r:id="rId24">
        <w:r>
          <w:rPr>
            <w:rFonts w:ascii="Times New Roman" w:cs="Times New Roman" w:eastAsia="Times New Roman" w:hAnsi="Times New Roman"/>
            <w:sz w:val="18"/>
            <w:szCs w:val="18"/>
            <w:u w:val="single" w:color="auto"/>
            <w:color w:val="0000EE"/>
          </w:rPr>
          <w:t>February 3, 2026</w:t>
        </w:r>
      </w:hyperlink>
      <w:r>
        <w:rPr>
          <w:rFonts w:ascii="Times New Roman" w:cs="Times New Roman" w:eastAsia="Times New Roman" w:hAnsi="Times New Roman"/>
          <w:sz w:val="18"/>
          <w:szCs w:val="18"/>
          <w:color w:val="auto"/>
        </w:rPr>
        <w:t>, for the Company’s 2026 Annual Meeting of Stockholders held on March 17, 2026;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Description of Securities Registered Pursuant to Section 12 of the Securities Exchange Act of 1934 filed as Exhibit </w:t>
      </w:r>
      <w:hyperlink r:id="rId25">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8-K as filed with the SEC on March 20, 2026, including any amendments or reports filed for the purpose of updating such description (File No. 1-8649).</w:t>
      </w:r>
    </w:p>
    <w:p>
      <w:pPr>
        <w:spacing w:after="0" w:line="17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all documents filed with the SEC by the Registrant (other than portions of such documents which are furnished and not filed) pursuant to Sections 13(a), 13(c), 14 and 15(d) of the Securities Exchange Act of 1934, as amended (the “Exchange Act”) on or after the date of this Post-Effective Amendment No. 1 and prior to the filing of a post-effective amendment to the Amended 2022 Plan Registration Statement which indicates that all securities offered hereby have been sold or which deregisters all such securities then remaining unsold, shall be incorporated or deemed to be incorporated by reference in the Amended 2022 Plan Registration Statement and to be a part hereof from the time of filing of such documents.</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the documents incorporated or deemed to be incorporated by reference in the Amended 2022 Plan Registration Statement shall be deemed to be modified or superseded for purposes of the Amended 2022 Plan Registration Statement to the extent that a statement contained in the Amended 2022 Plan Registration Statement or in any other subsequently filed document which also is incorporated or deemed to be incorporated by reference in Amended 2022 Plan Registration Statement modifies or supersedes such statement. Any such statement so modified or superseded shall not be deemed, except as so modified or superseded, to constitute a part of the Amended 2022 Plan Registration Statement.</w:t>
      </w:r>
    </w:p>
    <w:p>
      <w:pPr>
        <w:spacing w:after="0" w:line="17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 of counsel as to the legality of the securities being registered, which is Exhibit 5.1 to this Registration Statement, is rendered by Joanna M. Totsky, Vice President, General Counsel and Corporate Secretary of the Registrant. Ms. Totsky is eligible to participate in the 2026 Plan and beneficially owns, or has rights to acquire, an aggregate of less than 0.5% of the Registrant’s outstanding Common Stock.</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General Corporation Law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145(a) of the General Corporation Law of the State of Delaware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Additionally,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action, suit or proceeding referred to in subsections (a) and (b) of Section 145, or in defense of any claim, issue or matter therein.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any breach of the director’s or officer’s duty of loyalty to the corporation or its stockholders; for acts or omissions not in good faith or which involve intentional misconduct or a knowing violation of law; for unlawful payments of dividends or unlawful stock repurchases, redemptions or other distributions, in the case of a director; for any transaction from which the director or officer derived an improper personal benefit; or, in any action by or in the right of the corporation, in the case of an officer. No such provision shall eliminate or limit the liability of a director or officer for any act or omission occurring prior to the date when such provision becomes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Registrant’s Restated Certificate of Incorporation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Article X of the Registrant’s Restated Certificate of Incorporation mandates indemnification of a director or officer of the Registrant or a person serving at the request of the Registrant as a director, officer, employee, or agent of another entity to the fullest extent authorized by the DGCL against expenses, liability and loss and authorizes the Board of Directors to express such rights in written contracts.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Article X of the Registrant’s Restated Certificate of Incorporation provides, in accordance with Section 102(b)(7) of the DGCL, for the elimination of the personal liability of a director or officer to the Registrant or its stockholders for monetary damages for breach of fiduciary duty as a director or officer under certain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non-employee directors pursuant to which the Registrant has agreed to indemnify each such director to the fullest extent permitted by law against any expenses, judgments, fines, penalties, and amounts paid or owing that arise out of events or occurrences related to such director’s status, capacities, and activities with the Registrant.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also maintains liability insurance policies which provide for indemnification of a director or officer of the Registrant or a person serving at the request of the Registrant as a director, officer, employee, or agent of another entity against certain liabilities under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The Toro Company 2022 Equity and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23.21 of The Toro Company 2022 Equity and Incentive Plan provides that subject to any limitations and requirements of Delaware law, each individual who is or will have been a member of the Board of Directors, or a committee appointed by the Board of Directors, or an officer or employee of the Registrant to whom authority was delegated in accordance with Article 3 of the 2022 Plan, and acting in good faith will be indemnified and held harmless by the Registrant against and from any loss, cost, liability or expense that may be imposed upon or reasonably incurred by such individual in connection with or resulting from any claim, action, suit or proceeding to which such individual may be a party or in which such individual may be involved by reason of any action taken or failure to act under the 2022 Plan and against and from any and all amounts paid by such individual in settlement thereof, with the Registrant’s approval, or paid by such individual in satisfaction of any judgment in any such action, suit or proceeding against such individual, provided such individual will give the Registrant an opportunity, at its own expense, to handle and defend the same before such individual undertakes to handle and defend it on such individual’s own behalf.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Toro Company 2026 Equity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20.22 of The Toro Company 2026 Equity Plan provides that subject to any limitations and requirements of Delaware law, each individual who is or will have been a member of the Board of Directors, or a committee appointed by the Board of Directors, or an officer or employee of the Registrant to whom authority was delegated in accordance with Article 3 of the 2026 Plan, and acting in good faith will be indemnified and held harmless by the Registrant against and from any loss, cost, liability or expense that may be imposed upon or reasonably incurred by such individual in connection with or resulting from any claim, action, suit or proceeding to which such individual may be a party or in which such individual may be involved by reason of any action taken or failure to act under the 2026 Plan and against and from any and all amounts paid by such individual in settlement thereof, with the Registrant’s approval, or paid by such individual in satisfaction of any judgment in any such action, suit or proceeding against such individual, provided such individual will give the Registrant an opportunity, at its own expense, to handle and defend the same before such individual undertakes to handle and defend it on such individual’s own behalf.</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discussion of Sections 102(b)(7) and 145 of the DGCL, the Registrant’s Restated Certificate of Incorporation, indemnification agreements, insurance policies, the 2022 Plan and the 2026 Plan is not intended to be exhaustive and is qualified in its entirety by the DGCL, Registrant’s Restated Certificate of Incorporation, indemnification agreements, insurance policies, the 2022 Plan and the 2026 Plan.</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Registrant understands that it is the position of the SEC that insofar as the foregoing provisions may be invoked to disclaim liability for damages arising under the Securities Act, that such provisions are against public policy as expressed in the Securities Act and are therefore unenforceable.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Post-Effective Amendment No. 1:</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4" w:lineRule="exact"/>
        <w:rPr>
          <w:sz w:val="20"/>
          <w:szCs w:val="20"/>
          <w:color w:val="auto"/>
        </w:rPr>
      </w:pPr>
    </w:p>
    <w:p>
      <w:pPr>
        <w:ind w:left="1140" w:hanging="739"/>
        <w:spacing w:after="0" w:line="261" w:lineRule="auto"/>
        <w:tabs>
          <w:tab w:leader="none" w:pos="1120" w:val="left"/>
        </w:tabs>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color w:val="0000EE"/>
        </w:rPr>
        <w:tab/>
        <w:t>Restated Certificate of Incorporation of The Toro Company (incorporated by reference to Exhibit 3.2 to Registrant’s Current Report on Form 8-K as filed with the SEC on March 20, 2026, SEC File No. 1-8649)</w:t>
      </w:r>
    </w:p>
    <w:p>
      <w:pPr>
        <w:ind w:left="1140" w:right="20" w:hanging="739"/>
        <w:spacing w:after="0" w:line="250" w:lineRule="auto"/>
        <w:tabs>
          <w:tab w:leader="none" w:pos="1120" w:val="left"/>
        </w:tabs>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color w:val="0000EE"/>
        </w:rPr>
        <w:tab/>
        <w:t>Amended and Restated Bylaws of The Toro Company (incorporated by reference to Exhibit 3.3 to Registrant’s Current Report on Form 8-K as filed with the SEC on March 20, 2026, SEC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Counsel Regarding Legality (filed herewith)</w:t>
      </w:r>
    </w:p>
    <w:p>
      <w:pPr>
        <w:spacing w:after="0" w:line="9"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Counsel (included as part of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color w:val="auto"/>
        </w:rPr>
        <w:t>Consent of KPMG LLP (filed herewith)</w:t>
      </w:r>
    </w:p>
    <w:p>
      <w:pPr>
        <w:spacing w:after="0" w:line="9"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8"/>
          <w:szCs w:val="18"/>
          <w:color w:val="auto"/>
        </w:rPr>
        <w:t>Power of Attorney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40" w:right="20" w:hanging="784"/>
        <w:spacing w:after="0" w:line="260" w:lineRule="auto"/>
        <w:tabs>
          <w:tab w:leader="none" w:pos="1120" w:val="left"/>
        </w:tabs>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color w:val="0000EE"/>
        </w:rPr>
        <w:tab/>
        <w:t>The Toro Company 2026 Equity Plan (incorporated by reference to Exhibit 10.1 to Registrant’s Current Report on Form 8-K as filed with the SEC on March 20, 2026, SEC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Amended 2022 Plan Registration Statement:</w:t>
      </w:r>
    </w:p>
    <w:p>
      <w:pPr>
        <w:spacing w:after="0" w:line="16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55" w:lineRule="auto"/>
        <w:tabs>
          <w:tab w:leader="none" w:pos="257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2022 Plan Registration Statement (or the most recent post-effective amendment thereof) which, individually or in the aggregate, represent a fundamental change in the information set forth in the 2022 Plan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2022 Plan Registration Statement; and</w:t>
      </w:r>
    </w:p>
    <w:p>
      <w:pPr>
        <w:spacing w:after="0" w:line="188" w:lineRule="exact"/>
        <w:rPr>
          <w:rFonts w:ascii="Times New Roman" w:cs="Times New Roman" w:eastAsia="Times New Roman" w:hAnsi="Times New Roman"/>
          <w:sz w:val="18"/>
          <w:szCs w:val="18"/>
          <w:color w:val="auto"/>
        </w:rPr>
      </w:pPr>
    </w:p>
    <w:p>
      <w:pPr>
        <w:ind w:left="1300" w:right="260" w:firstLine="652"/>
        <w:spacing w:after="0" w:line="282" w:lineRule="auto"/>
        <w:tabs>
          <w:tab w:leader="none" w:pos="25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2022 Plan Registration Statement or any material change to such information in the 2022 Plan Registration Statement;</w:t>
      </w:r>
    </w:p>
    <w:p>
      <w:pPr>
        <w:spacing w:after="0" w:line="160"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periodic reports filed with or furnished to the SEC by the Registrant pursuant to Section 13 or Section 15(d) of the Exchange Act that are incorporated by reference in the 2022 Plan Registration Statement;</w:t>
      </w:r>
    </w:p>
    <w:p>
      <w:pPr>
        <w:spacing w:after="0" w:line="175" w:lineRule="exact"/>
        <w:rPr>
          <w:sz w:val="20"/>
          <w:szCs w:val="20"/>
          <w:color w:val="auto"/>
        </w:rPr>
      </w:pPr>
    </w:p>
    <w:p>
      <w:pPr>
        <w:jc w:val="both"/>
        <w:ind w:left="660" w:firstLine="644"/>
        <w:spacing w:after="0" w:line="266" w:lineRule="auto"/>
        <w:tabs>
          <w:tab w:leader="none" w:pos="19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0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80" w:firstLine="656"/>
        <w:spacing w:after="0" w:line="258" w:lineRule="auto"/>
        <w:tabs>
          <w:tab w:leader="none" w:pos="13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Amended 2022 Plan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right="60" w:firstLine="656"/>
        <w:spacing w:after="0" w:line="254" w:lineRule="auto"/>
        <w:tabs>
          <w:tab w:leader="none" w:pos="13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the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be signed on its behalf by the undersigned, thereunto duly authorized, in the City of Bloomington, State of Minnesota, on March 20,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Angela C. Drake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has been signed by the following persons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32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14"/>
        </w:trPr>
        <w:tc>
          <w:tcPr>
            <w:tcW w:w="1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Richard M. Olson</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 and Director (principal executiveMarch 20, 2026</w:t>
            </w:r>
          </w:p>
        </w:tc>
      </w:tr>
      <w:tr>
        <w:trPr>
          <w:trHeight w:val="255"/>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20" w:type="dxa"/>
            <w:vAlign w:val="bottom"/>
            <w:tcBorders>
              <w:bottom w:val="single" w:sz="8" w:color="auto"/>
            </w:tcBorders>
          </w:tcPr>
          <w:p>
            <w:pPr>
              <w:spacing w:after="0"/>
              <w:rPr>
                <w:sz w:val="22"/>
                <w:szCs w:val="22"/>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3320" w:type="dxa"/>
            <w:vAlign w:val="bottom"/>
          </w:tcPr>
          <w:p>
            <w:pPr>
              <w:spacing w:after="0"/>
              <w:rPr>
                <w:sz w:val="22"/>
                <w:szCs w:val="22"/>
                <w:color w:val="auto"/>
              </w:rPr>
            </w:pPr>
          </w:p>
        </w:tc>
      </w:tr>
      <w:tr>
        <w:trPr>
          <w:trHeight w:val="234"/>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Richard M. Olson</w:t>
            </w:r>
          </w:p>
        </w:tc>
        <w:tc>
          <w:tcPr>
            <w:tcW w:w="476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34"/>
        </w:trPr>
        <w:tc>
          <w:tcPr>
            <w:tcW w:w="120" w:type="dxa"/>
            <w:vAlign w:val="bottom"/>
          </w:tcPr>
          <w:p>
            <w:pPr>
              <w:spacing w:after="0"/>
              <w:rPr>
                <w:sz w:val="24"/>
                <w:szCs w:val="24"/>
                <w:color w:val="auto"/>
              </w:rPr>
            </w:pPr>
          </w:p>
        </w:tc>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/s/Angela C. Drake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33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March 20, 2026</w:t>
            </w:r>
          </w:p>
        </w:tc>
      </w:tr>
      <w:tr>
        <w:trPr>
          <w:trHeight w:val="234"/>
        </w:trPr>
        <w:tc>
          <w:tcPr>
            <w:tcW w:w="1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Angela C. Drake</w:t>
            </w:r>
          </w:p>
        </w:tc>
        <w:tc>
          <w:tcPr>
            <w:tcW w:w="4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320" w:type="dxa"/>
            <w:vAlign w:val="bottom"/>
          </w:tcPr>
          <w:p>
            <w:pPr>
              <w:spacing w:after="0"/>
              <w:rPr>
                <w:sz w:val="20"/>
                <w:szCs w:val="20"/>
                <w:color w:val="auto"/>
              </w:rPr>
            </w:pPr>
          </w:p>
        </w:tc>
      </w:tr>
      <w:tr>
        <w:trPr>
          <w:trHeight w:val="434"/>
        </w:trPr>
        <w:tc>
          <w:tcPr>
            <w:tcW w:w="120" w:type="dxa"/>
            <w:vAlign w:val="bottom"/>
          </w:tcPr>
          <w:p>
            <w:pPr>
              <w:spacing w:after="0"/>
              <w:rPr>
                <w:sz w:val="24"/>
                <w:szCs w:val="24"/>
                <w:color w:val="auto"/>
              </w:rPr>
            </w:pPr>
          </w:p>
        </w:tc>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Angela C. Drake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33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March 20, 2026</w:t>
            </w:r>
          </w:p>
        </w:tc>
      </w:tr>
      <w:tr>
        <w:trPr>
          <w:trHeight w:val="198"/>
        </w:trPr>
        <w:tc>
          <w:tcPr>
            <w:tcW w:w="120" w:type="dxa"/>
            <w:vAlign w:val="bottom"/>
          </w:tcPr>
          <w:p>
            <w:pPr>
              <w:spacing w:after="0"/>
              <w:rPr>
                <w:sz w:val="17"/>
                <w:szCs w:val="17"/>
                <w:color w:val="auto"/>
              </w:rPr>
            </w:pPr>
          </w:p>
        </w:tc>
        <w:tc>
          <w:tcPr>
            <w:tcW w:w="3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Angela C. Drake</w:t>
            </w:r>
          </w:p>
        </w:tc>
        <w:tc>
          <w:tcPr>
            <w:tcW w:w="47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attorney in fact for Dianne C. Craig,</w:t>
            </w:r>
          </w:p>
        </w:tc>
        <w:tc>
          <w:tcPr>
            <w:tcW w:w="47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Ellis, Eric P. Hansotia, Jeffrey L.</w:t>
            </w:r>
          </w:p>
        </w:tc>
        <w:tc>
          <w:tcPr>
            <w:tcW w:w="4760" w:type="dxa"/>
            <w:vAlign w:val="bottom"/>
          </w:tcPr>
          <w:p>
            <w:pPr>
              <w:spacing w:after="0"/>
              <w:rPr>
                <w:sz w:val="20"/>
                <w:szCs w:val="20"/>
                <w:color w:val="auto"/>
              </w:rPr>
            </w:pPr>
          </w:p>
        </w:tc>
        <w:tc>
          <w:tcPr>
            <w:tcW w:w="3320" w:type="dxa"/>
            <w:vAlign w:val="bottom"/>
          </w:tcPr>
          <w:p>
            <w:pPr>
              <w:spacing w:after="0"/>
              <w:rPr>
                <w:sz w:val="20"/>
                <w:szCs w:val="20"/>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Harmening, D. Christian Koch, Joyce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Mullen, James C. O’Rourke, and Jill 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Pemberton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Exhibits 5.1 and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8111 Lyndale Avenue South, Bloomington, Minnesota 55420-1196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Bloomington, Minnesota 55420</w:t>
      </w:r>
    </w:p>
    <w:p>
      <w:pPr>
        <w:sectPr>
          <w:pgSz w:w="11900" w:h="16838" w:orient="portrait"/>
          <w:cols w:equalWidth="0" w:num="1">
            <w:col w:w="11240"/>
          </w:cols>
          <w:pgMar w:left="320" w:top="266"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840"/>
        <w:spacing w:after="0" w:line="282" w:lineRule="auto"/>
        <w:rPr>
          <w:sz w:val="20"/>
          <w:szCs w:val="20"/>
          <w:color w:val="auto"/>
        </w:rPr>
      </w:pPr>
      <w:r>
        <w:rPr>
          <w:rFonts w:ascii="Times New Roman" w:cs="Times New Roman" w:eastAsia="Times New Roman" w:hAnsi="Times New Roman"/>
          <w:sz w:val="18"/>
          <w:szCs w:val="18"/>
          <w:color w:val="auto"/>
        </w:rPr>
        <w:t>Post-Effective Amendment No. 1 to the Registration Statement on Form S-8 for The Toro Company 2022 Equity and Incentive Plan</w:t>
      </w:r>
    </w:p>
    <w:p>
      <w:pPr>
        <w:spacing w:after="0" w:line="162" w:lineRule="exact"/>
        <w:rPr>
          <w:sz w:val="20"/>
          <w:szCs w:val="20"/>
          <w:color w:val="auto"/>
        </w:rPr>
      </w:pPr>
    </w:p>
    <w:p>
      <w:pPr>
        <w:sectPr>
          <w:pgSz w:w="11900" w:h="16838" w:orient="portrait"/>
          <w:cols w:equalWidth="0" w:num="2">
            <w:col w:w="260" w:space="400"/>
            <w:col w:w="105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am the Vice President, General Counsel and Corporate Secretary of The Toro Company (the “Company”). On March 20, 2026, the Company filed with the Securities and Exchange Commission (the “SEC”) a Post-Effective Amendment No. 1 (the “Post-Effective Amendment No. 1”) to the Registration Statement on Form S-8 relating to The Toro Company 2022 Equity and Incentive Plan (the “2022 Plan”) previously filed by the Company with the SEC on March 23, 2022, which Registration Statement on Form S-8 registered under the Securities Act of 1933, as amended (the “Securities Act”), an aggregate of 3,765,966 shares of the Company’s common stock, par value $0.01 per share (“Common Stock”), issuable pursuant to awards under the 2022 Plan. The Post-Effective Amendment No. 1 reflects that as of March 17, 2026 (the “Effective Date”), the date of stockholder approval of The Toro Company 2026 Equity Plan (the “2026 Plan”), the Company’s authority to grant new awards under the 2022 Plan terminated and all shares of Common Stock remaining available for issuance under the 2022 Plan but not subject to outstanding awards under the 2022 Plan as of the Effective Date became available for issuance under the 2026 Plan (the “2022 Plan Carryover Shares”), as well as shares of Common Stock subject to awards outstanding under the 2022 Plan as of the Effective Date but only to the extent such awards are subsequently forfeited, cancelled, expire, or otherwise terminate without the issuance of such shares of Common Stock after the Effective Date (the “2022 Plan Unused Award Shares” and together with the 2022 Plan Carryover Shares, the “Shares”). Please be advised that as counsel to the Company, upon examination of such corporate documents and records as I have deemed necessary or appropriate for the purpose of rendering this opinion, it is my opinion that the Shares registered pursuant to the 2022 Plan Registration Statement, as amended by the Post-Effective Amendment No. 1, when issued in accordance with the provisions of the 2026 Plan and proper corporate authorizations, will be legally issued, fully paid and non-assessable.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(including the statutory provisions, all applicable provisions of the Delaware Constitution and reported judicial decisions interpreting the foregoing), and I am expressing no opinion as to the effect of the laws of any other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above-captioned Post-Effective Amendment No. 1,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 as amended.</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Joanna M. Totsky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December 17, 2025, with respect to the consolidated financial statements of The Toro Company and subsidiaries, and the effectiveness of internal control over financial reporting,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directors of The Toro Company, a Delaware corporation (the “Company”), hereby authorize and appoint Richard M. Olson and Angela C. Drake, each of them severally, the individual’s true and lawful attorneys-in-fact and agents, with power to act with or without the other, and with full power of substitution and resubstitution, for the person and in his or her name, place and stead, in any and all capacities, to sign his or her name to a Post-Effective Amendment No. 1 (the “Post-Effective Amendment No. 1”) to a Registration Statement on Form S-8 relating to The Toro Company 2022 Equity and Incentive Plan (the “Registration Statement”) and any and all additional amendments thereto (including without limitation additional post-effective amendments to register or de-register shares), provided that the Post-Effective Amendment No. 1 and any future amendment, in final form, be approved by said attorney-in-fact; and his or her name, when thus signed, shall have the same force and effect as though I had manually signed said document or documents.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20, 2026</w:t>
            </w: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6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45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Dianne C. Craig</w:t>
            </w:r>
          </w:p>
        </w:tc>
        <w:tc>
          <w:tcPr>
            <w:tcW w:w="10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Dianne C. Craig</w:t>
            </w:r>
          </w:p>
        </w:tc>
        <w:tc>
          <w:tcPr>
            <w:tcW w:w="10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L. Ellis</w:t>
            </w:r>
          </w:p>
        </w:tc>
        <w:tc>
          <w:tcPr>
            <w:tcW w:w="10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Gary L. Ellis</w:t>
            </w:r>
          </w:p>
        </w:tc>
        <w:tc>
          <w:tcPr>
            <w:tcW w:w="10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P. Hansotia</w:t>
            </w:r>
          </w:p>
        </w:tc>
        <w:tc>
          <w:tcPr>
            <w:tcW w:w="10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Eric P. Hansotia</w:t>
            </w:r>
          </w:p>
        </w:tc>
        <w:tc>
          <w:tcPr>
            <w:tcW w:w="10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L. Harmening</w:t>
            </w:r>
          </w:p>
        </w:tc>
        <w:tc>
          <w:tcPr>
            <w:tcW w:w="10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Jeffrey L. Harmening</w:t>
            </w:r>
          </w:p>
        </w:tc>
        <w:tc>
          <w:tcPr>
            <w:tcW w:w="10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 Christian Koch</w:t>
            </w:r>
          </w:p>
        </w:tc>
        <w:tc>
          <w:tcPr>
            <w:tcW w:w="10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 Christian Koch</w:t>
            </w:r>
          </w:p>
        </w:tc>
        <w:tc>
          <w:tcPr>
            <w:tcW w:w="10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Joyce A. Mullen</w:t>
            </w:r>
          </w:p>
        </w:tc>
        <w:tc>
          <w:tcPr>
            <w:tcW w:w="10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Joyce A. Mullen</w:t>
            </w:r>
          </w:p>
        </w:tc>
        <w:tc>
          <w:tcPr>
            <w:tcW w:w="10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O’Rourke</w:t>
            </w:r>
          </w:p>
        </w:tc>
        <w:tc>
          <w:tcPr>
            <w:tcW w:w="10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James C. O’Rourke</w:t>
            </w:r>
          </w:p>
        </w:tc>
        <w:tc>
          <w:tcPr>
            <w:tcW w:w="10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Jill M. Pemberton</w:t>
            </w:r>
          </w:p>
        </w:tc>
        <w:tc>
          <w:tcPr>
            <w:tcW w:w="10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Jill M. Pemberton</w:t>
            </w:r>
          </w:p>
        </w:tc>
        <w:tc>
          <w:tcPr>
            <w:tcW w:w="10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2"/>
        </w:trPr>
        <w:tc>
          <w:tcPr>
            <w:tcW w:w="5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19" Type="http://schemas.openxmlformats.org/officeDocument/2006/relationships/hyperlink" Target="https://www.sec.gov/ix?doc=/Archives/edgar/data/737758/000073775825000115/ttc-20251031.htm#i48d5f3126f774e7d8644348e10cb5871_193" TargetMode="External"/><Relationship Id="rId20" Type="http://schemas.openxmlformats.org/officeDocument/2006/relationships/hyperlink" Target="https://www.sec.gov/ix?doc=/Archives/edgar/data/0000737758/000073775826000009/ttc-20260130.htm" TargetMode="External"/><Relationship Id="rId21" Type="http://schemas.openxmlformats.org/officeDocument/2006/relationships/hyperlink" Target="https://www.sec.gov/ix?doc=/Archives/edgar/data/737758/000162828025056159/ttc-20251208.htm" TargetMode="External"/><Relationship Id="rId22" Type="http://schemas.openxmlformats.org/officeDocument/2006/relationships/hyperlink" Target="https://www.sec.gov/ix?doc=/Archives/edgar/data/0000737758/000162828026019979/ttc-20260317.htm" TargetMode="External"/><Relationship Id="rId23" Type="http://schemas.openxmlformats.org/officeDocument/2006/relationships/hyperlink" Target="https://www.sec.gov/ix?doc=/Archives/edgar/data/737758/000162828026008467/ttc-20251208.htm" TargetMode="External"/><Relationship Id="rId24" Type="http://schemas.openxmlformats.org/officeDocument/2006/relationships/hyperlink" Target="https://www.sec.gov/ix?doc=/Archives/edgar/data/737758/000162828026004993/ttc-20260202.htm" TargetMode="External"/><Relationship Id="rId25" Type="http://schemas.openxmlformats.org/officeDocument/2006/relationships/hyperlink" Target="https://www.sec.gov/Archives/edgar/data/737758/000162828026019979/ex41ttcdescriptionofsecuri.htm" TargetMode="External"/><Relationship Id="rId30" Type="http://schemas.openxmlformats.org/officeDocument/2006/relationships/hyperlink" Target="https://www.sec.gov/Archives/edgar/data/737758/000162828026019979/ex32ttcrestatedcharter2025.htm" TargetMode="External"/><Relationship Id="rId31" Type="http://schemas.openxmlformats.org/officeDocument/2006/relationships/hyperlink" Target="https://www.sec.gov/Archives/edgar/data/737758/000162828026019979/ex33ttcbylawamendmentsasap.htm" TargetMode="External"/><Relationship Id="rId35" Type="http://schemas.openxmlformats.org/officeDocument/2006/relationships/hyperlink" Target="https://www.sec.gov/Archives/edgar/data/737758/000162828026019979/ex101ttc2026equity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2026-03-20T16:23:53Z</dcterms:created>
  <dcterms:modified xsi:type="dcterms:W3CDTF">2026-03-20T16:23:53Z</dcterms:modified>
</cp:coreProperties>
</file>