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2</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jc w:val="center"/>
        <w:ind w:right="1659"/>
        <w:spacing w:after="0"/>
        <w:rPr>
          <w:sz w:val="20"/>
          <w:szCs w:val="20"/>
          <w:color w:val="auto"/>
        </w:rPr>
      </w:pPr>
      <w:r>
        <w:rPr>
          <w:rFonts w:ascii="Courier New" w:cs="Courier New" w:eastAsia="Courier New" w:hAnsi="Courier New"/>
          <w:sz w:val="18"/>
          <w:szCs w:val="18"/>
          <w:color w:val="auto"/>
        </w:rPr>
        <w:t>Schedule TO/A</w:t>
      </w:r>
    </w:p>
    <w:p>
      <w:pPr>
        <w:jc w:val="center"/>
        <w:ind w:right="1779"/>
        <w:spacing w:after="0" w:line="237" w:lineRule="auto"/>
        <w:rPr>
          <w:sz w:val="20"/>
          <w:szCs w:val="20"/>
          <w:color w:val="auto"/>
        </w:rPr>
      </w:pPr>
      <w:r>
        <w:rPr>
          <w:rFonts w:ascii="Courier New" w:cs="Courier New" w:eastAsia="Courier New" w:hAnsi="Courier New"/>
          <w:sz w:val="18"/>
          <w:szCs w:val="18"/>
          <w:color w:val="auto"/>
        </w:rPr>
        <w:t>Tender Offer Statement Under Section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14(d)(1) or 13(e)(1) of the 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 (Offeror)</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(Name of Filing Person (Identifying Status as Offeror, Issuer or Other Person))</w:t>
      </w:r>
    </w:p>
    <w:p>
      <w:pPr>
        <w:spacing w:after="0" w:line="2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$1.00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891092108</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 Lawrence McIntyre</w:t>
      </w:r>
    </w:p>
    <w:p>
      <w:pPr>
        <w:jc w:val="center"/>
        <w:ind w:right="1659"/>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7" w:lineRule="auto"/>
        <w:rPr>
          <w:sz w:val="20"/>
          <w:szCs w:val="20"/>
          <w:color w:val="auto"/>
        </w:rPr>
      </w:pPr>
      <w:r>
        <w:rPr>
          <w:rFonts w:ascii="Courier New" w:cs="Courier New" w:eastAsia="Courier New" w:hAnsi="Courier New"/>
          <w:sz w:val="18"/>
          <w:szCs w:val="18"/>
          <w:color w:val="auto"/>
        </w:rPr>
        <w:t>8111 Lyndale Avenue South, Bloomington, Minnesota 55420-1196</w:t>
      </w:r>
    </w:p>
    <w:p>
      <w:pPr>
        <w:jc w:val="center"/>
        <w:ind w:right="1659"/>
        <w:spacing w:after="0" w:line="238" w:lineRule="auto"/>
        <w:rPr>
          <w:sz w:val="20"/>
          <w:szCs w:val="20"/>
          <w:color w:val="auto"/>
        </w:rPr>
      </w:pPr>
      <w:r>
        <w:rPr>
          <w:rFonts w:ascii="Courier New" w:cs="Courier New" w:eastAsia="Courier New" w:hAnsi="Courier New"/>
          <w:sz w:val="18"/>
          <w:szCs w:val="18"/>
          <w:color w:val="auto"/>
        </w:rPr>
        <w:t>Telephone: (952) 888-8801</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to Receive Notices and Communications on Behalf of Filing Persons)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Richard D. Katcher, Esq.</w:t>
      </w:r>
    </w:p>
    <w:p>
      <w:pPr>
        <w:ind w:left="2640"/>
        <w:spacing w:after="0" w:line="238" w:lineRule="auto"/>
        <w:rPr>
          <w:sz w:val="20"/>
          <w:szCs w:val="20"/>
          <w:color w:val="auto"/>
        </w:rPr>
      </w:pPr>
      <w:r>
        <w:rPr>
          <w:rFonts w:ascii="Courier New" w:cs="Courier New" w:eastAsia="Courier New" w:hAnsi="Courier New"/>
          <w:sz w:val="18"/>
          <w:szCs w:val="18"/>
          <w:color w:val="auto"/>
        </w:rPr>
        <w:t>Wachtell, Lipton, Rosen &amp; Katz</w:t>
      </w:r>
    </w:p>
    <w:p>
      <w:pPr>
        <w:ind w:left="3280"/>
        <w:spacing w:after="0"/>
        <w:rPr>
          <w:sz w:val="20"/>
          <w:szCs w:val="20"/>
          <w:color w:val="auto"/>
        </w:rPr>
      </w:pPr>
      <w:r>
        <w:rPr>
          <w:rFonts w:ascii="Courier New" w:cs="Courier New" w:eastAsia="Courier New" w:hAnsi="Courier New"/>
          <w:sz w:val="18"/>
          <w:szCs w:val="18"/>
          <w:color w:val="auto"/>
        </w:rPr>
        <w:t>51 West 52nd Street</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10019</w:t>
      </w:r>
    </w:p>
    <w:p>
      <w:pPr>
        <w:ind w:left="2960"/>
        <w:spacing w:after="0" w:line="238" w:lineRule="auto"/>
        <w:rPr>
          <w:sz w:val="20"/>
          <w:szCs w:val="20"/>
          <w:color w:val="auto"/>
        </w:rPr>
      </w:pPr>
      <w:r>
        <w:rPr>
          <w:rFonts w:ascii="Courier New" w:cs="Courier New" w:eastAsia="Courier New" w:hAnsi="Courier New"/>
          <w:sz w:val="18"/>
          <w:szCs w:val="18"/>
          <w:color w:val="auto"/>
        </w:rPr>
        <w:t>Telephone: (212) 403-1000</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Calculation of Filing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tabs>
          <w:tab w:leader="none" w:pos="4000" w:val="left"/>
        </w:tabs>
        <w:rPr>
          <w:sz w:val="20"/>
          <w:szCs w:val="20"/>
          <w:color w:val="auto"/>
        </w:rPr>
      </w:pPr>
      <w:r>
        <w:rPr>
          <w:rFonts w:ascii="Courier New" w:cs="Courier New" w:eastAsia="Courier New" w:hAnsi="Courier New"/>
          <w:sz w:val="18"/>
          <w:szCs w:val="18"/>
          <w:color w:val="auto"/>
        </w:rPr>
        <w:t>$150,000,000</w:t>
      </w:r>
      <w:r>
        <w:rPr>
          <w:sz w:val="20"/>
          <w:szCs w:val="20"/>
          <w:color w:val="auto"/>
        </w:rPr>
        <w:tab/>
      </w:r>
      <w:r>
        <w:rPr>
          <w:rFonts w:ascii="Courier New" w:cs="Courier New" w:eastAsia="Courier New" w:hAnsi="Courier New"/>
          <w:sz w:val="16"/>
          <w:szCs w:val="16"/>
          <w:color w:val="auto"/>
        </w:rPr>
        <w:t>$19,005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right="1779" w:hanging="532"/>
        <w:spacing w:after="0" w:line="27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solely for purposes of determining the amount of the filing fee. Pursuant to Rule 0-11(b)(1) of the Securities Exchange Act of 1934, as amended, the Transaction Valuation was calculated assuming that 2,500,000 outstanding shares of common stock, par value $1.00 per share, are being purchased at the maximum possible tender offer price of $60.00 per share.</w:t>
      </w:r>
    </w:p>
    <w:p>
      <w:pPr>
        <w:spacing w:after="0" w:line="185" w:lineRule="exact"/>
        <w:rPr>
          <w:sz w:val="24"/>
          <w:szCs w:val="24"/>
          <w:color w:val="auto"/>
        </w:rPr>
      </w:pPr>
    </w:p>
    <w:p>
      <w:pPr>
        <w:ind w:left="540" w:right="177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filing fee, calculated in accordance with Rule 0-11(b)(1) of the Securities Exchange Act of 1934, as amended, and Fee Advisory #7 for Fiscal Year 2004 issued by the Securities Exchange Commission, equals $126.70 per million of the value of the transaction.</w:t>
      </w:r>
    </w:p>
    <w:p>
      <w:pPr>
        <w:spacing w:after="0" w:line="207" w:lineRule="exact"/>
        <w:rPr>
          <w:sz w:val="24"/>
          <w:szCs w:val="24"/>
          <w:color w:val="auto"/>
        </w:rPr>
      </w:pPr>
    </w:p>
    <w:p>
      <w:pPr>
        <w:ind w:left="740" w:right="1779" w:hanging="732"/>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  $19,005</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or Registration No.:  Schedule TO</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  The Toro Company</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  March 17, 2004</w:t>
      </w:r>
    </w:p>
    <w:p>
      <w:pPr>
        <w:spacing w:after="0" w:line="207" w:lineRule="exact"/>
        <w:rPr>
          <w:sz w:val="24"/>
          <w:szCs w:val="24"/>
          <w:color w:val="auto"/>
        </w:rPr>
      </w:pPr>
    </w:p>
    <w:p>
      <w:pPr>
        <w:ind w:left="740" w:right="1879" w:hanging="732"/>
        <w:spacing w:after="0" w:line="235" w:lineRule="auto"/>
        <w:tabs>
          <w:tab w:leader="none" w:pos="21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6" w:lineRule="exact"/>
        <w:rPr>
          <w:sz w:val="24"/>
          <w:szCs w:val="24"/>
          <w:color w:val="auto"/>
        </w:rPr>
      </w:pPr>
    </w:p>
    <w:p>
      <w:pPr>
        <w:ind w:left="740" w:right="187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tabs>
          <w:tab w:leader="none" w:pos="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third-party tender offer subject to Rule 14d-1.</w:t>
      </w:r>
    </w:p>
    <w:p>
      <w:pPr>
        <w:ind w:left="740" w:hanging="732"/>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going-private transaction subject to Rule 13e-3.</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amendment to Schedule 13D under Rule 13d-2.</w:t>
      </w:r>
    </w:p>
    <w:p>
      <w:pPr>
        <w:spacing w:after="0" w:line="4" w:lineRule="exact"/>
        <w:rPr>
          <w:rFonts w:ascii="Courier New" w:cs="Courier New" w:eastAsia="Courier New" w:hAnsi="Courier New"/>
          <w:sz w:val="18"/>
          <w:szCs w:val="18"/>
          <w:color w:val="auto"/>
        </w:rPr>
      </w:pPr>
    </w:p>
    <w:p>
      <w:pPr>
        <w:ind w:right="2099" w:firstLine="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ectPr>
          <w:pgSz w:w="11900" w:h="16838" w:orient="portrait"/>
          <w:cols w:equalWidth="0" w:num="1">
            <w:col w:w="10219"/>
          </w:cols>
          <w:pgMar w:left="240" w:top="244" w:right="1440" w:bottom="836" w:gutter="0" w:footer="0" w:header="0"/>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AMENDMENT NO. 2 TO SCHEDULE TO</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Amendment No. 2 amends and supplements the Tender Offer Statement on Schedule TO originally filed with the Securities and Exchange Commission on March 17, 2004, as amended by Amendment No. 1 filed on March 22, 2004 (as amended, the "Schedule TO") by The Toro Company, a Delaware corporation (the "Company"), relating to the offer by the Company to purchase up to 2,500,000 shares of its common stock, $1.00 par value per share, including the associated preferred stock purchase rights (together, the "Shares"), or such lesser number of Shares as is properly tendered and not properly withdrawn, at a price determined by the Company between $56.50 and $60.00 per Share, net to the seller in cash, without interest, on the terms and subject to the conditions set forth in an Offer to Purchase, dated March 17, 2004 and in the related Letter of Transmittal (which, as amended or supplemented from time to time, together constitute the "Offer"). This Amendment No. 2 is intended to satisfy the reporting requirements of Rule 13e-4(c)(3) of the Securities Exchange Act of 1934, as amended. Copies of the Offer to Purchase and the related Letter of Transmittal were previously filed with the Schedule TO as Exhibits (a)(1)(A) and (a)(1)(B), respectively.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information in the Offer is incorporated in this Amendment No. 2 to the Schedule TO by reference in response to all of the applicable items in the Schedule TO, except that such information is hereby amended and supplemented to the extent specifically provided 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1 THROUGH 11.</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Items 1 through 11 of the Schedule TO, which incorporate by reference the information contained in the Offer to Purchase and the Letter of Transmittal, copies of which were filed with the original Schedule TO as Exhibits (a)(1)(A) and (a)(1)(B), respectively, are hereby amended as follows:</w:t>
      </w:r>
    </w:p>
    <w:p>
      <w:pPr>
        <w:spacing w:after="0" w:line="182" w:lineRule="exact"/>
        <w:rPr>
          <w:sz w:val="20"/>
          <w:szCs w:val="20"/>
          <w:color w:val="auto"/>
        </w:rPr>
      </w:pPr>
    </w:p>
    <w:p>
      <w:pPr>
        <w:ind w:left="1060" w:right="1779" w:hanging="1052"/>
        <w:spacing w:after="0" w:line="272"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sentence of the Section entitled "Forward-Looking Statements" on page ii of the Offer to Purchase is amended by deleting the following clause: "within the meaning of Section 27A of the Securities Act of 1933 and Section 21E of the Securities Exchange Act of 1934." The Private Securities Litigation Reform Act of 1995 does not apply to statements made in connection with a tender offer.</w:t>
      </w:r>
    </w:p>
    <w:p>
      <w:pPr>
        <w:spacing w:after="0" w:line="185" w:lineRule="exact"/>
        <w:rPr>
          <w:rFonts w:ascii="Courier New" w:cs="Courier New" w:eastAsia="Courier New" w:hAnsi="Courier New"/>
          <w:sz w:val="16"/>
          <w:szCs w:val="16"/>
          <w:color w:val="auto"/>
        </w:rPr>
      </w:pPr>
    </w:p>
    <w:p>
      <w:pPr>
        <w:ind w:left="1060" w:right="1779" w:hanging="1052"/>
        <w:spacing w:after="0" w:line="272"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answer to the question "When will Toro pay for the shares I tender?" set forth in the "Summary Term Sheet" on page 5 of the Offer to Purchase is amended by adding the following proviso at the end of the answer "; provided, however, that we do not expect to announce the results of pro ration and begin paying for tendered shares until at least five business days after the expiration of the tender offer".</w:t>
      </w:r>
    </w:p>
    <w:p>
      <w:pPr>
        <w:spacing w:after="0" w:line="185" w:lineRule="exact"/>
        <w:rPr>
          <w:rFonts w:ascii="Courier New" w:cs="Courier New" w:eastAsia="Courier New" w:hAnsi="Courier New"/>
          <w:sz w:val="16"/>
          <w:szCs w:val="16"/>
          <w:color w:val="auto"/>
        </w:rPr>
      </w:pPr>
    </w:p>
    <w:p>
      <w:pPr>
        <w:ind w:left="1060" w:right="2099" w:hanging="1052"/>
        <w:spacing w:after="0" w:line="279"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last sentence of the fourth paragraph of Section 3 ("Procedures for Tendering Shares - Proper Tender of Shares") on page 11 of the Offer to Purchase is amended to read in its entirety as follows:</w:t>
      </w:r>
    </w:p>
    <w:p>
      <w:pPr>
        <w:spacing w:after="0" w:line="178" w:lineRule="exact"/>
        <w:rPr>
          <w:rFonts w:ascii="Courier New" w:cs="Courier New" w:eastAsia="Courier New" w:hAnsi="Courier New"/>
          <w:sz w:val="16"/>
          <w:szCs w:val="16"/>
          <w:color w:val="auto"/>
        </w:rPr>
      </w:pPr>
    </w:p>
    <w:p>
      <w:pPr>
        <w:ind w:left="106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"Note that this election could have the effect of decreasing the price at which Toro purchases tendered shares because shares tendered using this election will be available for purchase at the minimum price of $56.50 per share and, as a result, it is possible that this election could result in Toro purchasing tendered shares at the minimum price of $56.50 per share."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2" w:name="page3"/>
    <w:bookmarkEnd w:id="2"/>
    <w:p>
      <w:pPr>
        <w:ind w:left="1052" w:right="1879" w:hanging="1052"/>
        <w:spacing w:after="0" w:line="237" w:lineRule="auto"/>
        <w:tabs>
          <w:tab w:leader="none" w:pos="10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sentence in the last paragraph on page 14 of the Offer to Purchase appearing under the caption "Procedures for Tendering Shares - Determination of Validity; Rejection of Shares; Waiver of Defects; No Obligation to Give notice of Defects" is amended by deleting the clause "any of the conditions of the tender offer or".</w:t>
      </w:r>
    </w:p>
    <w:p>
      <w:pPr>
        <w:spacing w:after="0" w:line="208" w:lineRule="exact"/>
        <w:rPr>
          <w:rFonts w:ascii="Courier New" w:cs="Courier New" w:eastAsia="Courier New" w:hAnsi="Courier New"/>
          <w:sz w:val="18"/>
          <w:szCs w:val="18"/>
          <w:color w:val="auto"/>
        </w:rPr>
      </w:pPr>
    </w:p>
    <w:p>
      <w:pPr>
        <w:ind w:left="1052" w:right="2099" w:hanging="1052"/>
        <w:spacing w:after="0" w:line="290" w:lineRule="auto"/>
        <w:tabs>
          <w:tab w:leader="none" w:pos="105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last paragraph in Section 4 ("Withdrawal Rights") on page 16 of the Offer to Purchase is amended by deleting it in its entirety.</w:t>
      </w:r>
    </w:p>
    <w:p>
      <w:pPr>
        <w:spacing w:after="0" w:line="169" w:lineRule="exact"/>
        <w:rPr>
          <w:rFonts w:ascii="Courier New" w:cs="Courier New" w:eastAsia="Courier New" w:hAnsi="Courier New"/>
          <w:sz w:val="16"/>
          <w:szCs w:val="16"/>
          <w:color w:val="auto"/>
        </w:rPr>
      </w:pPr>
    </w:p>
    <w:p>
      <w:pPr>
        <w:ind w:left="1052" w:right="1779" w:hanging="1052"/>
        <w:spacing w:after="0" w:line="237" w:lineRule="auto"/>
        <w:tabs>
          <w:tab w:leader="none" w:pos="10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the first paragraph of Section 7 ("Conditions of the Tender Offer") on page 18 of the Offer to Purchase is amended by replacing the clause "before the payment date" with the clause "before the expiration date" and by deleting the parenthetical "(including any action or omission to act by Toro)".</w:t>
      </w:r>
    </w:p>
    <w:p>
      <w:pPr>
        <w:spacing w:after="0" w:line="208" w:lineRule="exact"/>
        <w:rPr>
          <w:rFonts w:ascii="Courier New" w:cs="Courier New" w:eastAsia="Courier New" w:hAnsi="Courier New"/>
          <w:sz w:val="18"/>
          <w:szCs w:val="18"/>
          <w:color w:val="auto"/>
        </w:rPr>
      </w:pPr>
    </w:p>
    <w:p>
      <w:pPr>
        <w:ind w:left="105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the last paragraph of Section 7 ("Conditions of the Tender Offer") on page 20 of the Offer to Purchase is amended by deleting the parenthetical "(including any action or inaction by Toro)" and by replacing the clause "before the payment date" with the clause "before the expiration date".</w:t>
      </w:r>
    </w:p>
    <w:p>
      <w:pPr>
        <w:spacing w:after="0" w:line="208" w:lineRule="exact"/>
        <w:rPr>
          <w:rFonts w:ascii="Courier New" w:cs="Courier New" w:eastAsia="Courier New" w:hAnsi="Courier New"/>
          <w:sz w:val="18"/>
          <w:szCs w:val="18"/>
          <w:color w:val="auto"/>
        </w:rPr>
      </w:pPr>
    </w:p>
    <w:p>
      <w:pPr>
        <w:ind w:left="1052" w:right="1779" w:hanging="1052"/>
        <w:spacing w:after="0" w:line="237" w:lineRule="auto"/>
        <w:tabs>
          <w:tab w:leader="none" w:pos="10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sentence of the last paragraph of Section 10 ("Certain Information Concerning Toro - Incorporation by Reference") on page 24 of the Offer to Purchase is amended by deleting the phrase "and any additional documents that we may file with the Securities and Exchange Commission between the date of this offer to purchase and the expiration of the tender offer".</w:t>
      </w:r>
    </w:p>
    <w:p>
      <w:pPr>
        <w:spacing w:after="0" w:line="209" w:lineRule="exact"/>
        <w:rPr>
          <w:rFonts w:ascii="Courier New" w:cs="Courier New" w:eastAsia="Courier New" w:hAnsi="Courier New"/>
          <w:sz w:val="18"/>
          <w:szCs w:val="18"/>
          <w:color w:val="auto"/>
        </w:rPr>
      </w:pPr>
    </w:p>
    <w:p>
      <w:pPr>
        <w:jc w:val="both"/>
        <w:ind w:left="1052" w:right="1879" w:hanging="1052"/>
        <w:spacing w:after="0" w:line="236" w:lineRule="auto"/>
        <w:tabs>
          <w:tab w:leader="none" w:pos="10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April 5, 2004, the reported closing price of the Shares on the New York Stock Exchange was $62.90 per Share. Toro urges stockholders to obtain current market quotations for the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1128"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THE TORO COMPANY</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300"/>
        <w:spacing w:after="0"/>
        <w:tabs>
          <w:tab w:leader="none" w:pos="9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J. Lawrence McIntyre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 Lawrence McIntyre</w:t>
      </w:r>
    </w:p>
    <w:p>
      <w:pPr>
        <w:spacing w:after="0" w:line="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 Secretary and</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ectPr>
          <w:pgSz w:w="11900" w:h="16838" w:orient="portrait"/>
          <w:cols w:equalWidth="0" w:num="2">
            <w:col w:w="4320" w:space="120"/>
            <w:col w:w="5779"/>
          </w:cols>
          <w:pgMar w:left="240" w:top="919" w:right="1440" w:bottom="1440" w:gutter="0" w:footer="0" w:header="0"/>
          <w:type w:val="continuous"/>
        </w:sectPr>
      </w:pP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6, 2004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2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upperLetter"/>
      <w:start w:val="2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2019-12-13T13:42:22Z</dcterms:created>
  <dcterms:modified xsi:type="dcterms:W3CDTF">2019-12-13T13:42:22Z</dcterms:modified>
</cp:coreProperties>
</file>