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ttc0203201710q.htm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194945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100965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3, 2017</w:t>
      </w:r>
    </w:p>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o  Transition Report Pursuant to Section 13 or 15(d) of the Securities Exchange Act of 1934</w:t>
      </w:r>
    </w:p>
    <w:p>
      <w:pPr>
        <w:sectPr>
          <w:pgSz w:w="11900" w:h="16838" w:orient="portrait"/>
          <w:cols w:equalWidth="0" w:num="1">
            <w:col w:w="11420"/>
          </w:cols>
          <w:pgMar w:left="240" w:top="229" w:right="239" w:bottom="1440" w:gutter="0" w:footer="0" w:header="0"/>
        </w:sectPr>
      </w:pPr>
    </w:p>
    <w:p>
      <w:pPr>
        <w:spacing w:after="0" w:line="26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11" w:lineRule="exact"/>
        <w:rPr>
          <w:sz w:val="24"/>
          <w:szCs w:val="24"/>
          <w:color w:val="auto"/>
        </w:rPr>
      </w:pPr>
    </w:p>
    <w:p>
      <w:pPr>
        <w:sectPr>
          <w:pgSz w:w="11900" w:h="16838" w:orient="portrait"/>
          <w:cols w:equalWidth="0" w:num="2">
            <w:col w:w="6360" w:space="500"/>
            <w:col w:w="4560"/>
          </w:cols>
          <w:pgMar w:left="240" w:top="229" w:right="239" w:bottom="144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229" w:right="239" w:bottom="1440" w:gutter="0" w:footer="0" w:header="0"/>
          <w:type w:val="continuous"/>
        </w:sectPr>
      </w:pPr>
    </w:p>
    <w:p>
      <w:pPr>
        <w:spacing w:after="0" w:line="363"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7"/>
          <w:szCs w:val="17"/>
          <w:b w:val="1"/>
          <w:bCs w:val="1"/>
          <w:color w:val="auto"/>
        </w:rPr>
        <w:t>1-8649</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67" w:lineRule="exact"/>
        <w:rPr>
          <w:sz w:val="24"/>
          <w:szCs w:val="24"/>
          <w:color w:val="auto"/>
        </w:rPr>
      </w:pPr>
    </w:p>
    <w:p>
      <w:pPr>
        <w:sectPr>
          <w:pgSz w:w="11900" w:h="16838" w:orient="portrait"/>
          <w:cols w:equalWidth="0" w:num="3">
            <w:col w:w="4680" w:space="720"/>
            <w:col w:w="2960" w:space="720"/>
            <w:col w:w="2340"/>
          </w:cols>
          <w:pgMar w:left="240" w:top="229" w:right="2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3">
            <w:col w:w="3940" w:space="720"/>
            <w:col w:w="2660" w:space="720"/>
            <w:col w:w="3380"/>
          </w:cols>
          <w:pgMar w:left="240" w:top="229" w:right="239" w:bottom="1440" w:gutter="0" w:footer="0" w:header="0"/>
          <w:type w:val="continuous"/>
        </w:sectPr>
      </w:pP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Bloomington, Minnesota 55420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Number: (952) 888-8801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type w:val="continuous"/>
        </w:sectPr>
      </w:pPr>
    </w:p>
    <w:p>
      <w:pPr>
        <w:spacing w:after="0" w:line="32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0" w:lineRule="exact"/>
        <w:rPr>
          <w:sz w:val="24"/>
          <w:szCs w:val="24"/>
          <w:color w:val="auto"/>
        </w:rPr>
      </w:pPr>
    </w:p>
    <w:p>
      <w:pPr>
        <w:sectPr>
          <w:pgSz w:w="11900" w:h="16838" w:orient="portrait"/>
          <w:cols w:equalWidth="0" w:num="2">
            <w:col w:w="7180" w:space="720"/>
            <w:col w:w="3520"/>
          </w:cols>
          <w:pgMar w:left="240" w:top="229" w:right="239" w:bottom="1440" w:gutter="0" w:footer="0" w:header="0"/>
          <w:type w:val="continuous"/>
        </w:sectPr>
      </w:pPr>
    </w:p>
    <w:p>
      <w:pPr>
        <w:spacing w:after="0" w:line="13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74" w:lineRule="exact"/>
        <w:rPr>
          <w:sz w:val="24"/>
          <w:szCs w:val="24"/>
          <w:color w:val="auto"/>
        </w:rPr>
      </w:pPr>
    </w:p>
    <w:p>
      <w:pPr>
        <w:sectPr>
          <w:pgSz w:w="11900" w:h="16838" w:orient="portrait"/>
          <w:cols w:equalWidth="0" w:num="2">
            <w:col w:w="6800" w:space="720"/>
            <w:col w:w="3900"/>
          </w:cols>
          <w:pgMar w:left="240" w:top="229" w:right="2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ectPr>
          <w:pgSz w:w="11900" w:h="16838" w:orient="portrait"/>
          <w:cols w:equalWidth="0" w:num="1">
            <w:col w:w="11420"/>
          </w:cols>
          <w:pgMar w:left="240" w:top="229" w:right="239" w:bottom="1440" w:gutter="0" w:footer="0" w:header="0"/>
          <w:type w:val="continuous"/>
        </w:sectPr>
      </w:pPr>
    </w:p>
    <w:p>
      <w:pPr>
        <w:spacing w:after="0" w:line="2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March 1, 2017 was 107,582,096.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473"/>
        </w:trPr>
        <w:tc>
          <w:tcPr>
            <w:tcW w:w="1380" w:type="dxa"/>
            <w:vAlign w:val="bottom"/>
            <w:gridSpan w:val="5"/>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p>
        </w:tc>
        <w:tc>
          <w:tcPr>
            <w:tcW w:w="8520" w:type="dxa"/>
            <w:vAlign w:val="bottom"/>
            <w:gridSpan w:val="16"/>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Item 1.</w:t>
              </w:r>
            </w:hyperlink>
          </w:p>
        </w:tc>
        <w:tc>
          <w:tcPr>
            <w:tcW w:w="80" w:type="dxa"/>
            <w:vAlign w:val="bottom"/>
            <w:tcBorders>
              <w:top w:val="single" w:sz="8" w:color="0000EE"/>
            </w:tcBorders>
          </w:tcPr>
          <w:p>
            <w:pPr>
              <w:spacing w:after="0"/>
              <w:rPr>
                <w:sz w:val="24"/>
                <w:szCs w:val="24"/>
                <w:color w:val="auto"/>
              </w:rPr>
            </w:pPr>
          </w:p>
        </w:tc>
        <w:tc>
          <w:tcPr>
            <w:tcW w:w="760" w:type="dxa"/>
            <w:vAlign w:val="bottom"/>
            <w:gridSpan w:val="3"/>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940" w:type="dxa"/>
            <w:vAlign w:val="bottom"/>
            <w:tcBorders>
              <w:top w:val="single" w:sz="8" w:color="0000EE"/>
            </w:tcBorders>
            <w:gridSpan w:val="3"/>
          </w:tcPr>
          <w:p>
            <w:pPr>
              <w:spacing w:after="0"/>
              <w:rPr>
                <w:sz w:val="24"/>
                <w:szCs w:val="24"/>
                <w:color w:val="auto"/>
              </w:rPr>
            </w:pPr>
          </w:p>
        </w:tc>
        <w:tc>
          <w:tcPr>
            <w:tcW w:w="6080" w:type="dxa"/>
            <w:vAlign w:val="bottom"/>
            <w:gridSpan w:val="8"/>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Earnings (Unaudited)</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Comprehensive Income (Unaudited)</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0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(Unaudited</w:t>
              </w:r>
            </w:hyperlink>
            <w:r>
              <w:rPr>
                <w:rFonts w:ascii="Times New Roman" w:cs="Times New Roman" w:eastAsia="Times New Roman" w:hAnsi="Times New Roman"/>
                <w:sz w:val="18"/>
                <w:szCs w:val="18"/>
                <w:color w:val="000000"/>
              </w:rPr>
              <w:t>)</w:t>
            </w:r>
          </w:p>
        </w:tc>
        <w:tc>
          <w:tcPr>
            <w:tcW w:w="26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(Unaudited)</w:t>
              </w:r>
            </w:hyperlink>
          </w:p>
        </w:tc>
        <w:tc>
          <w:tcPr>
            <w:tcW w:w="3540" w:type="dxa"/>
            <w:vAlign w:val="bottom"/>
            <w:gridSpan w:val="4"/>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 (Unaudited)</w:t>
              </w:r>
            </w:hyperlink>
          </w:p>
        </w:tc>
        <w:tc>
          <w:tcPr>
            <w:tcW w:w="326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17">
              <w:r>
                <w:rPr>
                  <w:rFonts w:ascii="Times New Roman" w:cs="Times New Roman" w:eastAsia="Times New Roman" w:hAnsi="Times New Roman"/>
                  <w:sz w:val="18"/>
                  <w:szCs w:val="18"/>
                  <w:b w:val="1"/>
                  <w:bCs w:val="1"/>
                  <w:color w:val="0000EE"/>
                  <w:w w:val="96"/>
                </w:rPr>
                <w:t>Item 2.</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6">
              <w:r>
                <w:rPr>
                  <w:rFonts w:ascii="Times New Roman" w:cs="Times New Roman" w:eastAsia="Times New Roman" w:hAnsi="Times New Roman"/>
                  <w:sz w:val="18"/>
                  <w:szCs w:val="18"/>
                  <w:b w:val="1"/>
                  <w:bCs w:val="1"/>
                  <w:color w:val="0000EE"/>
                  <w:w w:val="96"/>
                </w:rPr>
                <w:t>Item 3.</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9"/>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gridSpan w:val="5"/>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7">
              <w:r>
                <w:rPr>
                  <w:rFonts w:ascii="Times New Roman" w:cs="Times New Roman" w:eastAsia="Times New Roman" w:hAnsi="Times New Roman"/>
                  <w:sz w:val="18"/>
                  <w:szCs w:val="18"/>
                  <w:b w:val="1"/>
                  <w:bCs w:val="1"/>
                  <w:color w:val="0000EE"/>
                  <w:w w:val="96"/>
                </w:rPr>
                <w:t>Item 4.</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6"/>
          </w:tcPr>
          <w:p>
            <w:pPr>
              <w:spacing w:after="0"/>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Controls and Procedures</w:t>
              </w:r>
            </w:hyperlink>
          </w:p>
        </w:tc>
        <w:tc>
          <w:tcPr>
            <w:tcW w:w="2540" w:type="dxa"/>
            <w:vAlign w:val="bottom"/>
            <w:gridSpan w:val="3"/>
          </w:tcPr>
          <w:p>
            <w:pPr>
              <w:spacing w:after="0"/>
              <w:rPr>
                <w:sz w:val="24"/>
                <w:szCs w:val="24"/>
                <w:color w:val="auto"/>
              </w:rPr>
            </w:pPr>
          </w:p>
        </w:tc>
        <w:tc>
          <w:tcPr>
            <w:tcW w:w="38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0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4"/>
              </w:rPr>
            </w:pPr>
            <w:hyperlink w:anchor="page28">
              <w:r>
                <w:rPr>
                  <w:rFonts w:ascii="Times New Roman" w:cs="Times New Roman" w:eastAsia="Times New Roman" w:hAnsi="Times New Roman"/>
                  <w:sz w:val="18"/>
                  <w:szCs w:val="18"/>
                  <w:b w:val="1"/>
                  <w:bCs w:val="1"/>
                  <w:color w:val="0000EE"/>
                  <w:w w:val="94"/>
                </w:rPr>
                <w:t>PART II.</w:t>
              </w:r>
            </w:hyperlink>
          </w:p>
        </w:tc>
        <w:tc>
          <w:tcPr>
            <w:tcW w:w="680" w:type="dxa"/>
            <w:vAlign w:val="bottom"/>
          </w:tcPr>
          <w:p>
            <w:pPr>
              <w:spacing w:after="0"/>
              <w:rPr>
                <w:sz w:val="24"/>
                <w:szCs w:val="24"/>
                <w:color w:val="auto"/>
              </w:rPr>
            </w:pPr>
          </w:p>
        </w:tc>
        <w:tc>
          <w:tcPr>
            <w:tcW w:w="21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28">
              <w:r>
                <w:rPr>
                  <w:rFonts w:ascii="Times New Roman" w:cs="Times New Roman" w:eastAsia="Times New Roman" w:hAnsi="Times New Roman"/>
                  <w:sz w:val="18"/>
                  <w:szCs w:val="18"/>
                  <w:b w:val="1"/>
                  <w:bCs w:val="1"/>
                  <w:color w:val="0000EE"/>
                  <w:w w:val="99"/>
                </w:rPr>
                <w:t>OTHER INFORMATION:</w:t>
              </w:r>
            </w:hyperlink>
          </w:p>
        </w:tc>
        <w:tc>
          <w:tcPr>
            <w:tcW w:w="640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8">
              <w:r>
                <w:rPr>
                  <w:rFonts w:ascii="Times New Roman" w:cs="Times New Roman" w:eastAsia="Times New Roman" w:hAnsi="Times New Roman"/>
                  <w:sz w:val="18"/>
                  <w:szCs w:val="18"/>
                  <w:b w:val="1"/>
                  <w:bCs w:val="1"/>
                  <w:color w:val="0000EE"/>
                  <w:w w:val="96"/>
                </w:rPr>
                <w:t>Item 1.</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5"/>
          </w:tcPr>
          <w:p>
            <w:pPr>
              <w:spacing w:after="0"/>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Legal Proceedings</w:t>
              </w:r>
            </w:hyperlink>
          </w:p>
        </w:tc>
        <w:tc>
          <w:tcPr>
            <w:tcW w:w="6840" w:type="dxa"/>
            <w:vAlign w:val="bottom"/>
            <w:gridSpan w:val="10"/>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gridSpan w:val="5"/>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Item 1A.</w:t>
              </w:r>
            </w:hyperlink>
          </w:p>
        </w:tc>
        <w:tc>
          <w:tcPr>
            <w:tcW w:w="340" w:type="dxa"/>
            <w:vAlign w:val="bottom"/>
          </w:tcPr>
          <w:p>
            <w:pPr>
              <w:spacing w:after="0"/>
              <w:rPr>
                <w:sz w:val="24"/>
                <w:szCs w:val="24"/>
                <w:color w:val="auto"/>
              </w:rPr>
            </w:pPr>
          </w:p>
        </w:tc>
        <w:tc>
          <w:tcPr>
            <w:tcW w:w="8180" w:type="dxa"/>
            <w:vAlign w:val="bottom"/>
            <w:gridSpan w:val="15"/>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Risk Factors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28</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8">
              <w:r>
                <w:rPr>
                  <w:rFonts w:ascii="Times New Roman" w:cs="Times New Roman" w:eastAsia="Times New Roman" w:hAnsi="Times New Roman"/>
                  <w:sz w:val="18"/>
                  <w:szCs w:val="18"/>
                  <w:b w:val="1"/>
                  <w:bCs w:val="1"/>
                  <w:color w:val="0000EE"/>
                  <w:w w:val="96"/>
                </w:rPr>
                <w:t>Item 2.</w:t>
              </w:r>
            </w:hyperlink>
          </w:p>
        </w:tc>
        <w:tc>
          <w:tcPr>
            <w:tcW w:w="12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Unregistered Sales of Equity Securities and Use of Proceeds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9">
              <w:r>
                <w:rPr>
                  <w:rFonts w:ascii="Times New Roman" w:cs="Times New Roman" w:eastAsia="Times New Roman" w:hAnsi="Times New Roman"/>
                  <w:sz w:val="18"/>
                  <w:szCs w:val="18"/>
                  <w:b w:val="1"/>
                  <w:bCs w:val="1"/>
                  <w:color w:val="0000EE"/>
                  <w:w w:val="96"/>
                </w:rPr>
                <w:t>Item 6.</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Exhibits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Signatures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32</w:t>
              </w:r>
            </w:hyperlink>
          </w:p>
        </w:tc>
      </w:tr>
      <w:tr>
        <w:trPr>
          <w:trHeight w:val="72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and shares in thousands, except per share data)</w:t>
      </w:r>
    </w:p>
    <w:p>
      <w:pPr>
        <w:spacing w:after="0" w:line="214"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70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515,839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486,398</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322,359</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303,744</w:t>
            </w:r>
          </w:p>
        </w:tc>
      </w:tr>
      <w:tr>
        <w:trPr>
          <w:trHeight w:val="27"/>
        </w:trPr>
        <w:tc>
          <w:tcPr>
            <w:tcW w:w="7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193,480</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182,654</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132,910</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128,815</w:t>
            </w:r>
          </w:p>
        </w:tc>
      </w:tr>
      <w:tr>
        <w:trPr>
          <w:trHeight w:val="27"/>
        </w:trPr>
        <w:tc>
          <w:tcPr>
            <w:tcW w:w="7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earnings</w:t>
            </w:r>
          </w:p>
        </w:tc>
        <w:tc>
          <w:tcPr>
            <w:tcW w:w="1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60,570</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53,839</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7"/>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6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3,866</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4,512</w:t>
            </w:r>
          </w:p>
        </w:tc>
      </w:tr>
      <w:tr>
        <w:trPr>
          <w:trHeight w:val="237"/>
        </w:trPr>
        <w:tc>
          <w:tcPr>
            <w:tcW w:w="7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59,553</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53,697</w:t>
            </w:r>
          </w:p>
        </w:tc>
      </w:tr>
      <w:tr>
        <w:trPr>
          <w:trHeight w:val="27"/>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14,563</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14,436</w:t>
            </w:r>
          </w:p>
        </w:tc>
      </w:tr>
      <w:tr>
        <w:trPr>
          <w:trHeight w:val="237"/>
        </w:trPr>
        <w:tc>
          <w:tcPr>
            <w:tcW w:w="7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6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44,990</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39,261</w:t>
            </w:r>
          </w:p>
        </w:tc>
      </w:tr>
      <w:tr>
        <w:trPr>
          <w:trHeight w:val="67"/>
        </w:trPr>
        <w:tc>
          <w:tcPr>
            <w:tcW w:w="70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78"/>
        </w:trPr>
        <w:tc>
          <w:tcPr>
            <w:tcW w:w="70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earnings per share of common stock</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7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70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earnings per share of common stock</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0.35</w:t>
            </w:r>
          </w:p>
        </w:tc>
      </w:tr>
      <w:tr>
        <w:trPr>
          <w:trHeight w:val="27"/>
        </w:trPr>
        <w:tc>
          <w:tcPr>
            <w:tcW w:w="7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70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 Basic</w:t>
            </w:r>
          </w:p>
        </w:tc>
        <w:tc>
          <w:tcPr>
            <w:tcW w:w="160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108,627</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110,029</w:t>
            </w:r>
          </w:p>
        </w:tc>
      </w:tr>
      <w:tr>
        <w:trPr>
          <w:trHeight w:val="27"/>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 Diluted</w:t>
            </w:r>
          </w:p>
        </w:tc>
        <w:tc>
          <w:tcPr>
            <w:tcW w:w="160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110,774</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112,326</w:t>
            </w:r>
          </w:p>
        </w:tc>
      </w:tr>
      <w:tr>
        <w:trPr>
          <w:trHeight w:val="27"/>
        </w:trPr>
        <w:tc>
          <w:tcPr>
            <w:tcW w:w="7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and per share data have been adjusted for all periods presented to reflect a two-for-one stock split effective September 16, 2016.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4"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20" w:type="dxa"/>
            <w:vAlign w:val="bottom"/>
          </w:tcPr>
          <w:p>
            <w:pPr>
              <w:spacing w:after="0"/>
              <w:rPr>
                <w:sz w:val="13"/>
                <w:szCs w:val="13"/>
                <w:color w:val="auto"/>
              </w:rPr>
            </w:pPr>
          </w:p>
        </w:tc>
        <w:tc>
          <w:tcPr>
            <w:tcW w:w="12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66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44,990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39,261</w:t>
            </w: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 net of tax:</w:t>
            </w:r>
          </w:p>
        </w:tc>
        <w:tc>
          <w:tcPr>
            <w:tcW w:w="1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9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 net of tax of $285 and $338, respectively</w:t>
            </w:r>
          </w:p>
        </w:tc>
        <w:tc>
          <w:tcPr>
            <w:tcW w:w="198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6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9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338</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37"/>
        </w:trPr>
        <w:tc>
          <w:tcPr>
            <w:tcW w:w="6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45,328</w:t>
            </w: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33,411</w:t>
            </w:r>
          </w:p>
        </w:tc>
      </w:tr>
      <w:tr>
        <w:trPr>
          <w:trHeight w:val="27"/>
        </w:trPr>
        <w:tc>
          <w:tcPr>
            <w:tcW w:w="6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2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00" w:type="dxa"/>
            <w:vAlign w:val="bottom"/>
          </w:tcPr>
          <w:p>
            <w:pPr>
              <w:spacing w:after="0"/>
              <w:rPr>
                <w:sz w:val="13"/>
                <w:szCs w:val="13"/>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01"/>
        </w:trPr>
        <w:tc>
          <w:tcPr>
            <w:tcW w:w="662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auto"/>
              </w:rPr>
              <w:t>ASSETS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158,893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118,140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273,555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183,850</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190,297</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163,265</w:t>
            </w:r>
          </w:p>
        </w:tc>
      </w:tr>
      <w:tr>
        <w:trPr>
          <w:trHeight w:val="243"/>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402,103</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422,036</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307,034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36,470</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36,983</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35,155</w:t>
            </w:r>
          </w:p>
        </w:tc>
      </w:tr>
      <w:tr>
        <w:trPr>
          <w:trHeight w:val="237"/>
        </w:trPr>
        <w:tc>
          <w:tcPr>
            <w:tcW w:w="66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781,316</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767,456</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779,009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855,826</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811,222</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838,036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628,909</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589,699</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615,998</w:t>
            </w:r>
          </w:p>
        </w:tc>
      </w:tr>
      <w:tr>
        <w:trPr>
          <w:trHeight w:val="237"/>
        </w:trPr>
        <w:tc>
          <w:tcPr>
            <w:tcW w:w="66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226,917</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221,523</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222,038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Long-term deferred income taxes</w:t>
            </w: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56,864</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66,000</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57,228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25,788</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24,352</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23,422</w:t>
            </w:r>
          </w:p>
        </w:tc>
      </w:tr>
      <w:tr>
        <w:trPr>
          <w:trHeight w:val="243"/>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201,246</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195,222</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194,782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110,782</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116,123</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108,093</w:t>
            </w:r>
          </w:p>
        </w:tc>
      </w:tr>
      <w:tr>
        <w:trPr>
          <w:trHeight w:val="237"/>
        </w:trPr>
        <w:tc>
          <w:tcPr>
            <w:tcW w:w="66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1,402,913</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1,390,676</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1,384,572</w:t>
            </w:r>
          </w:p>
        </w:tc>
      </w:tr>
      <w:tr>
        <w:trPr>
          <w:trHeight w:val="67"/>
        </w:trPr>
        <w:tc>
          <w:tcPr>
            <w:tcW w:w="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03"/>
        </w:trPr>
        <w:tc>
          <w:tcPr>
            <w:tcW w:w="662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60" w:type="dxa"/>
            <w:vAlign w:val="bottom"/>
            <w:tcBorders>
              <w:top w:val="single" w:sz="8" w:color="auto"/>
            </w:tcBorders>
          </w:tcPr>
          <w:p>
            <w:pPr>
              <w:spacing w:after="0"/>
              <w:rPr>
                <w:sz w:val="4"/>
                <w:szCs w:val="4"/>
                <w:color w:val="auto"/>
              </w:rPr>
            </w:pPr>
          </w:p>
        </w:tc>
        <w:tc>
          <w:tcPr>
            <w:tcW w:w="2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22,960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23,398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22,484</w:t>
            </w:r>
          </w:p>
        </w:tc>
      </w:tr>
      <w:tr>
        <w:trPr>
          <w:trHeight w:val="243"/>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52,912</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232,440</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211,216</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174,668</w:t>
            </w:r>
          </w:p>
        </w:tc>
      </w:tr>
      <w:tr>
        <w:trPr>
          <w:trHeight w:val="243"/>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263,724</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262,888</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266,687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519,124</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550,414</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463,839</w:t>
            </w:r>
          </w:p>
        </w:tc>
      </w:tr>
      <w:tr>
        <w:trPr>
          <w:trHeight w:val="291"/>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315,314</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337,969</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328,477</w:t>
            </w:r>
          </w:p>
        </w:tc>
      </w:tr>
      <w:tr>
        <w:trPr>
          <w:trHeight w:val="243"/>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25,172</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11,246</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11,830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30,267</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31,118</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30,391</w:t>
            </w:r>
          </w:p>
        </w:tc>
      </w:tr>
      <w:tr>
        <w:trPr>
          <w:trHeight w:val="297"/>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5"/>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Preferred stock, par value $1.00 per share, authorized 1,000,000 voting and 850,000 non-</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voting shares, none issued and outstanding</w:t>
            </w:r>
          </w:p>
        </w:tc>
        <w:tc>
          <w:tcPr>
            <w:tcW w:w="38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66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par value $1.00 per share, authorized 175,000,000 shares; issued and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66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107,575,440 shares as of February 3, 2017, 108,965,108 shares as of</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1"/>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29, 2016, and 108,427,393 shares as of October 31, 2016</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107,575</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108,965</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108,427</w:t>
            </w:r>
          </w:p>
        </w:tc>
      </w:tr>
      <w:tr>
        <w:trPr>
          <w:trHeight w:val="243"/>
        </w:trPr>
        <w:tc>
          <w:tcPr>
            <w:tcW w:w="6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443,559</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386,657</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480,044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(38,098)</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(35,693)</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r>
      <w:tr>
        <w:trPr>
          <w:trHeight w:val="237"/>
        </w:trPr>
        <w:tc>
          <w:tcPr>
            <w:tcW w:w="66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513,036</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459,929</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550,035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1,402,913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1,390,676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1,384,572</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and per share data have been adjusted for all periods presented to reflect a two-for-one stock split effective September 16, 2016.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spacing w:after="0" w:line="230"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7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44,990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39,261</w:t>
            </w: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income from finance affiliate</w:t>
            </w:r>
          </w:p>
        </w:tc>
        <w:tc>
          <w:tcPr>
            <w:tcW w:w="1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depreciation, amortization, and impairment loss</w:t>
            </w:r>
          </w:p>
        </w:tc>
        <w:tc>
          <w:tcPr>
            <w:tcW w:w="1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16,516</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15,741</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3,618</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2,477</w:t>
            </w: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deferred income taxes</w:t>
            </w:r>
          </w:p>
        </w:tc>
        <w:tc>
          <w:tcPr>
            <w:tcW w:w="1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393</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acquisitions:</w:t>
            </w:r>
          </w:p>
        </w:tc>
        <w:tc>
          <w:tcPr>
            <w:tcW w:w="1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w:t>
            </w: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(90,560)</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(92,918)</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w:t>
            </w: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deferred revenue, and other long-term liabilities</w:t>
            </w:r>
          </w:p>
        </w:tc>
        <w:tc>
          <w:tcPr>
            <w:tcW w:w="1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66,128</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59,581</w:t>
            </w:r>
          </w:p>
        </w:tc>
      </w:tr>
      <w:tr>
        <w:trPr>
          <w:trHeight w:val="237"/>
        </w:trPr>
        <w:tc>
          <w:tcPr>
            <w:tcW w:w="73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15,392</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4,531</w:t>
            </w:r>
          </w:p>
        </w:tc>
      </w:tr>
      <w:tr>
        <w:trPr>
          <w:trHeight w:val="27"/>
        </w:trPr>
        <w:tc>
          <w:tcPr>
            <w:tcW w:w="7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7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asset disposals</w:t>
            </w:r>
          </w:p>
        </w:tc>
        <w:tc>
          <w:tcPr>
            <w:tcW w:w="1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from finance affiliate, net</w:t>
            </w:r>
          </w:p>
        </w:tc>
        <w:tc>
          <w:tcPr>
            <w:tcW w:w="1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765</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a business</w:t>
            </w:r>
          </w:p>
        </w:tc>
        <w:tc>
          <w:tcPr>
            <w:tcW w:w="1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3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r>
      <w:tr>
        <w:trPr>
          <w:trHeight w:val="27"/>
        </w:trPr>
        <w:tc>
          <w:tcPr>
            <w:tcW w:w="7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7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short-term debt</w:t>
            </w:r>
          </w:p>
        </w:tc>
        <w:tc>
          <w:tcPr>
            <w:tcW w:w="1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51,789</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(13,371)</w:t>
            </w: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3,128</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2,495</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1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(67,718)</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(27,485)</w:t>
            </w:r>
          </w:p>
        </w:tc>
      </w:tr>
      <w:tr>
        <w:trPr>
          <w:trHeight w:val="27"/>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1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(16,496)</w:t>
            </w:r>
          </w:p>
        </w:tc>
      </w:tr>
      <w:tr>
        <w:trPr>
          <w:trHeight w:val="237"/>
        </w:trPr>
        <w:tc>
          <w:tcPr>
            <w:tcW w:w="73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(96,286)</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7"/>
        </w:trPr>
        <w:tc>
          <w:tcPr>
            <w:tcW w:w="7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7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1,832</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7"/>
        </w:trPr>
        <w:tc>
          <w:tcPr>
            <w:tcW w:w="7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7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(114,662)</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w:t>
            </w:r>
          </w:p>
        </w:tc>
      </w:tr>
      <w:tr>
        <w:trPr>
          <w:trHeight w:val="27"/>
        </w:trPr>
        <w:tc>
          <w:tcPr>
            <w:tcW w:w="7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beginning of the fiscal period</w:t>
            </w:r>
          </w:p>
        </w:tc>
        <w:tc>
          <w:tcPr>
            <w:tcW w:w="1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273,555</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126,275</w:t>
            </w:r>
          </w:p>
        </w:tc>
      </w:tr>
      <w:tr>
        <w:trPr>
          <w:trHeight w:val="237"/>
        </w:trPr>
        <w:tc>
          <w:tcPr>
            <w:tcW w:w="7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end of the fiscal period</w:t>
            </w: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158,893</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118,140</w:t>
            </w:r>
          </w:p>
        </w:tc>
      </w:tr>
      <w:tr>
        <w:trPr>
          <w:trHeight w:val="27"/>
        </w:trPr>
        <w:tc>
          <w:tcPr>
            <w:tcW w:w="7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three months ended February 3, 2017, cannot be annualized to determine the expected results for the fiscal year ending October 31, 2017.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notes included in the company’s Annual Report on Form 10-K for the fiscal year ended October 31, 2016. The policies described in that report are used for preparing quarterly reports.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Adopted</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Financial Accounting Standards Board ("FASB") issued Accounting Standards Update ("ASU") No. 2015-03, </w:t>
      </w:r>
      <w:r>
        <w:rPr>
          <w:rFonts w:ascii="Times New Roman" w:cs="Times New Roman" w:eastAsia="Times New Roman" w:hAnsi="Times New Roman"/>
          <w:sz w:val="18"/>
          <w:szCs w:val="18"/>
          <w:i w:val="1"/>
          <w:iCs w:val="1"/>
          <w:color w:val="auto"/>
        </w:rPr>
        <w:t>Interest-Imputation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(Subtopic 835-30): Simplifying the Presentation of Debt Issuance Costs</w:t>
      </w:r>
      <w:r>
        <w:rPr>
          <w:rFonts w:ascii="Times New Roman" w:cs="Times New Roman" w:eastAsia="Times New Roman" w:hAnsi="Times New Roman"/>
          <w:sz w:val="18"/>
          <w:szCs w:val="18"/>
          <w:color w:val="auto"/>
        </w:rPr>
        <w:t>. This amended guidance requires that debt issuance costs related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debt liability be presented in the balance sheet as a direct deduction from the carrying amount of the related debt liability. This amended guidance was retrospectively adopted in the first quarter of fiscal 2017. Prior periods have been retrospectively adjusted for the adoption of this amended guidance and are reclassified in the consolidated balance sheets presentation as a direct deduction from the carrying amount of the related debt liability. The adoption of this guidance did not have a material impact on the company's consolidated financial statements.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2015-05, </w:t>
      </w:r>
      <w:r>
        <w:rPr>
          <w:rFonts w:ascii="Times New Roman" w:cs="Times New Roman" w:eastAsia="Times New Roman" w:hAnsi="Times New Roman"/>
          <w:sz w:val="18"/>
          <w:szCs w:val="18"/>
          <w:i w:val="1"/>
          <w:iCs w:val="1"/>
          <w:color w:val="auto"/>
        </w:rPr>
        <w:t>Customer’s Accounting for Fees Paid in a Cloud Computing Arrangement</w:t>
      </w:r>
      <w:r>
        <w:rPr>
          <w:rFonts w:ascii="Times New Roman" w:cs="Times New Roman" w:eastAsia="Times New Roman" w:hAnsi="Times New Roman"/>
          <w:sz w:val="18"/>
          <w:szCs w:val="18"/>
          <w:color w:val="auto"/>
        </w:rPr>
        <w:t>. This amended guidance requires customers to determine whether or not an arrangement contains a software license element. If the arrangement contains a software element, the related fees paid should be accounted for as an acquisition of a software license. If the arrangement does not contain a software license, it is accounted for as a service contract. This amended guidance was adopted in the first quarter of fiscal 2017. The adoption of this guidance did not have an impact on the company's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Stock-based Compensation: Improvements to Employee Share-based Payment Accounting.</w:t>
      </w:r>
      <w:r>
        <w:rPr>
          <w:rFonts w:ascii="Times New Roman" w:cs="Times New Roman" w:eastAsia="Times New Roman" w:hAnsi="Times New Roman"/>
          <w:sz w:val="18"/>
          <w:szCs w:val="18"/>
          <w:color w:val="auto"/>
        </w:rPr>
        <w:t xml:space="preserve"> This amended guidance simplifies several aspects of the accounting for share-based payment transactions, including the accounting for income taxes, forfeitures, statutory tax withholding requirements, and statement of cash flow classification. The company elected to early adopt this amended guidance effective November 1, 2016, which is the first quarter of fiscal 2017.</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early adoption resulted in the following:</w:t>
      </w:r>
    </w:p>
    <w:p>
      <w:pPr>
        <w:spacing w:after="0" w:line="225" w:lineRule="exact"/>
        <w:rPr>
          <w:sz w:val="20"/>
          <w:szCs w:val="20"/>
          <w:color w:val="auto"/>
        </w:rPr>
      </w:pPr>
    </w:p>
    <w:p>
      <w:pPr>
        <w:jc w:val="both"/>
        <w:ind w:left="680" w:hanging="321"/>
        <w:spacing w:after="0" w:line="255"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discrete tax benefit of $4.9 million related to the excess tax benefit on share-based awards within income tax expense for the three months ended February 3, 2017. Prior to the adoption of this standard, these tax benefits were included in additional paid-in capital on the consolidated balance sheets. Adoption of this standard could add increased volatility to the company's provision for income taxes mainly due to timing of stock option exercises, vesting of restricted stock units and common stock price.</w:t>
      </w:r>
    </w:p>
    <w:p>
      <w:pPr>
        <w:spacing w:after="0" w:line="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elected not to change its policy on accounting for forfeitures and will continue to estimate a requisite forfeiture rate.</w:t>
      </w:r>
    </w:p>
    <w:p>
      <w:pPr>
        <w:spacing w:after="0" w:line="9" w:lineRule="exact"/>
        <w:rPr>
          <w:rFonts w:ascii="Times New Roman" w:cs="Times New Roman" w:eastAsia="Times New Roman" w:hAnsi="Times New Roman"/>
          <w:sz w:val="18"/>
          <w:szCs w:val="18"/>
          <w:color w:val="auto"/>
        </w:rPr>
      </w:pPr>
    </w:p>
    <w:p>
      <w:pPr>
        <w:jc w:val="both"/>
        <w:ind w:left="680" w:right="20" w:hanging="321"/>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elected to change its policy on tax withholding requirements and will allow participants to withhold up to the maximum statutory rate prospectively on new awards. As of November 1, 2016, the company did not have any outstanding liabilities on awards which would require a cumulative-effect adjustment to retained earnings.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4"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 longer presents the cash received from excess tax benefits within cash flows from financing activities as this benefit is now reflected within cash flows from operating activities in the consolidated statements of cash flows. The company elected to apply this change retrospectively and the change resulted in a $4.9 million and $3.4 million increase in cash flows from operating activities for the three months ended February 3, 2017 and January 29, 2016, respectively.</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Income Taxes (Topic 740): Intra-Entity Transfers of Assets Other Than Inventory.</w:t>
      </w:r>
      <w:r>
        <w:rPr>
          <w:rFonts w:ascii="Times New Roman" w:cs="Times New Roman" w:eastAsia="Times New Roman" w:hAnsi="Times New Roman"/>
          <w:sz w:val="18"/>
          <w:szCs w:val="18"/>
          <w:color w:val="auto"/>
        </w:rPr>
        <w:t xml:space="preserve"> This amended guidance removes the prohibition against the immediate recognition of the current and deferred tax effects of intra-entity transfers of assets other than inventory. This amended guidance was early adopted in the first quarter of fiscal 2017 using a modified retrospective basis. The company recorded a cumulative effect adjustment to the beginning balance of its retained earnings in the first quarter of fiscal 2017 for remaining unamortized deferred tax expense of intra-entity transfers of fixed assets totaling $2.4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2017, during the first quarter of fiscal 2017, the company completed the acquisition of all the outstanding shares of Regnerbau Calw GmbH (Perrot), a privately held manufacturer of professional irrigation equipment. The addition of these products broadens and strengthens the company's irrigation solutions for the sport, agricultural, and industrial markets. The acquisition was funded with existing foreign cash and cash equivalents.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of this acquisition was allocated to the identifiable assets acquired and liabilities assumed based on estimates of their fair value, with the excess purchase price recorded as goodwill. As of February 3, 2017, the company has not yet finalized the purchase accounting for the acquisition, but expects to finalize such purchase accounting in fiscal 2017. This acquisition was immaterial based on the company's consolidated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 in Joint Venture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2009, the company and TCF Inventory Finance, Inc. (“TCFIF”), a subsidiary of TCF National Bank, established Red Iron Acceptance, LLC (“Red Iron”), a joint venture in the form of a Delaware limited liability company that primarily provides inventory financing to certain distributors and dealers of the company’s products in the U.S. On November 29, 2016, the company entered into amended agreements for its Red Iron joint venture with TCFIF. As a result, the amended term of Red Iron will continue until October 31, 2024, subject to two-year extensions thereafter. Either the company or TCFIF may elect not to extend the amended term or any subsequent term by giving one-year written notice to the other party.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$550 million secured revolving credit facility established under a credit agreement between Red Iron and TCFIF. The company’s total investment in Red Iron as of February 3, 2017 was $20.8 million. The company has not guaranteed the outstanding indebtedness of Red Iron. The company has agreed to repurchase products repossessed by Red Iron and the TCFIF Canadian affiliate, up to a maximum aggregate amount of $7.5 million in a calendar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dealers and distributors, Red Iron provides loans to the dealers and distributors for the advances paid by Red Iron to the company. The net amount of receivables financed for dealers and distributors under this arrangement for the three months ended February 3, 2017 and January 29, 2016 was $375.0 million and $336.1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2017, Red Iron’s total assets were $403.0 million and total liabilities were $356.9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320" w:type="dxa"/>
            <w:vAlign w:val="bottom"/>
          </w:tcPr>
          <w:p>
            <w:pPr>
              <w:spacing w:after="0"/>
              <w:rPr>
                <w:sz w:val="13"/>
                <w:szCs w:val="13"/>
                <w:color w:val="auto"/>
              </w:rPr>
            </w:pPr>
          </w:p>
        </w:tc>
        <w:tc>
          <w:tcPr>
            <w:tcW w:w="12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20" w:type="dxa"/>
            <w:vAlign w:val="bottom"/>
          </w:tcPr>
          <w:p>
            <w:pPr>
              <w:spacing w:after="0"/>
              <w:rPr>
                <w:sz w:val="13"/>
                <w:szCs w:val="13"/>
                <w:color w:val="auto"/>
              </w:rPr>
            </w:pPr>
          </w:p>
        </w:tc>
        <w:tc>
          <w:tcPr>
            <w:tcW w:w="12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20" w:type="dxa"/>
            <w:vAlign w:val="bottom"/>
          </w:tcPr>
          <w:p>
            <w:pPr>
              <w:spacing w:after="0"/>
              <w:rPr>
                <w:sz w:val="13"/>
                <w:szCs w:val="13"/>
                <w:color w:val="auto"/>
              </w:rPr>
            </w:pPr>
          </w:p>
        </w:tc>
        <w:tc>
          <w:tcPr>
            <w:tcW w:w="12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468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107,170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115,373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90,463</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 and service parts</w:t>
            </w:r>
          </w:p>
        </w:tc>
        <w:tc>
          <w:tcPr>
            <w:tcW w:w="232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353,290</w:t>
            </w:r>
          </w:p>
        </w:tc>
        <w:tc>
          <w:tcPr>
            <w:tcW w:w="3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370,703</w:t>
            </w:r>
          </w:p>
        </w:tc>
        <w:tc>
          <w:tcPr>
            <w:tcW w:w="3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274,929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FIFO value</w:t>
            </w:r>
          </w:p>
        </w:tc>
        <w:tc>
          <w:tcPr>
            <w:tcW w:w="2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460,460</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486,076</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365,392</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adjustment to LIFO value</w:t>
            </w:r>
          </w:p>
        </w:tc>
        <w:tc>
          <w:tcPr>
            <w:tcW w:w="232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58,357</w:t>
            </w:r>
          </w:p>
        </w:tc>
        <w:tc>
          <w:tcPr>
            <w:tcW w:w="3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64,040</w:t>
            </w:r>
          </w:p>
        </w:tc>
        <w:tc>
          <w:tcPr>
            <w:tcW w:w="3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58,358</w:t>
            </w:r>
          </w:p>
        </w:tc>
        <w:tc>
          <w:tcPr>
            <w:tcW w:w="0" w:type="dxa"/>
            <w:vAlign w:val="bottom"/>
          </w:tcPr>
          <w:p>
            <w:pPr>
              <w:spacing w:after="0"/>
              <w:rPr>
                <w:sz w:val="1"/>
                <w:szCs w:val="1"/>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 net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402,103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422,036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307,034</w:t>
            </w:r>
          </w:p>
        </w:tc>
        <w:tc>
          <w:tcPr>
            <w:tcW w:w="0" w:type="dxa"/>
            <w:vAlign w:val="bottom"/>
          </w:tcPr>
          <w:p>
            <w:pPr>
              <w:spacing w:after="0"/>
              <w:rPr>
                <w:sz w:val="1"/>
                <w:szCs w:val="1"/>
                <w:color w:val="auto"/>
              </w:rPr>
            </w:pPr>
          </w:p>
        </w:tc>
      </w:tr>
      <w:tr>
        <w:trPr>
          <w:trHeight w:val="20"/>
        </w:trPr>
        <w:tc>
          <w:tcPr>
            <w:tcW w:w="468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net carrying amount of goodwill for the first three months of fiscal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920" w:type="dxa"/>
            <w:vAlign w:val="bottom"/>
            <w:tcBorders>
              <w:bottom w:val="single" w:sz="8" w:color="auto"/>
            </w:tcBorders>
            <w:gridSpan w:val="2"/>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Professional Segment</w:t>
            </w:r>
          </w:p>
        </w:tc>
        <w:tc>
          <w:tcPr>
            <w:tcW w:w="160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Residential Segment</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2"/>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October 31, 2016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184,338</w:t>
            </w: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10,444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194,782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acquired</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6,151</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6,151</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6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
        </w:trPr>
        <w:tc>
          <w:tcPr>
            <w:tcW w:w="6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February 3, 2017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190,757</w:t>
            </w:r>
          </w:p>
        </w:tc>
        <w:tc>
          <w:tcPr>
            <w:tcW w:w="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10,489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201,246</w:t>
            </w:r>
          </w:p>
        </w:tc>
        <w:tc>
          <w:tcPr>
            <w:tcW w:w="0" w:type="dxa"/>
            <w:vAlign w:val="bottom"/>
          </w:tcPr>
          <w:p>
            <w:pPr>
              <w:spacing w:after="0"/>
              <w:rPr>
                <w:sz w:val="1"/>
                <w:szCs w:val="1"/>
                <w:color w:val="auto"/>
              </w:rPr>
            </w:pPr>
          </w:p>
        </w:tc>
      </w:tr>
      <w:tr>
        <w:trPr>
          <w:trHeight w:val="20"/>
        </w:trPr>
        <w:tc>
          <w:tcPr>
            <w:tcW w:w="6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other intangible assets as of February 3, 2017 were as follows:</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2"/>
                <w:szCs w:val="12"/>
                <w:color w:val="auto"/>
              </w:rPr>
            </w:pPr>
          </w:p>
        </w:tc>
        <w:tc>
          <w:tcPr>
            <w:tcW w:w="1320" w:type="dxa"/>
            <w:vAlign w:val="bottom"/>
          </w:tcPr>
          <w:p>
            <w:pPr>
              <w:jc w:val="center"/>
              <w:ind w:right="112"/>
              <w:spacing w:after="0" w:line="14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Pr>
          <w:p>
            <w:pPr>
              <w:spacing w:after="0"/>
              <w:rPr>
                <w:sz w:val="12"/>
                <w:szCs w:val="12"/>
                <w:color w:val="auto"/>
              </w:rPr>
            </w:pPr>
          </w:p>
        </w:tc>
        <w:tc>
          <w:tcPr>
            <w:tcW w:w="1300" w:type="dxa"/>
            <w:vAlign w:val="bottom"/>
          </w:tcPr>
          <w:p>
            <w:pPr>
              <w:jc w:val="right"/>
              <w:ind w:right="272"/>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2"/>
                <w:szCs w:val="12"/>
                <w:color w:val="auto"/>
              </w:rPr>
            </w:pPr>
          </w:p>
        </w:tc>
        <w:tc>
          <w:tcPr>
            <w:tcW w:w="112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3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15,142</w:t>
            </w: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6,879</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Customer-related</w:t>
            </w:r>
          </w:p>
        </w:tc>
        <w:tc>
          <w:tcPr>
            <w:tcW w:w="6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87,285</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71,768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30,058</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5,539</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29,469</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24,894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3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amortizable</w:t>
            </w:r>
          </w:p>
        </w:tc>
        <w:tc>
          <w:tcPr>
            <w:tcW w:w="6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169,633</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(63,193)</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106,440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Non-amortizable - trade names</w:t>
            </w: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4,342</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37"/>
        </w:trPr>
        <w:tc>
          <w:tcPr>
            <w:tcW w:w="6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173,975</w:t>
            </w:r>
          </w:p>
        </w:tc>
        <w:tc>
          <w:tcPr>
            <w:tcW w:w="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(63,193)</w:t>
            </w:r>
          </w:p>
        </w:tc>
        <w:tc>
          <w:tcPr>
            <w:tcW w:w="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110,782</w:t>
            </w:r>
          </w:p>
        </w:tc>
        <w:tc>
          <w:tcPr>
            <w:tcW w:w="0" w:type="dxa"/>
            <w:vAlign w:val="bottom"/>
          </w:tcPr>
          <w:p>
            <w:pPr>
              <w:spacing w:after="0"/>
              <w:rPr>
                <w:sz w:val="1"/>
                <w:szCs w:val="1"/>
                <w:color w:val="auto"/>
              </w:rPr>
            </w:pPr>
          </w:p>
        </w:tc>
      </w:tr>
      <w:tr>
        <w:trPr>
          <w:trHeight w:val="27"/>
        </w:trPr>
        <w:tc>
          <w:tcPr>
            <w:tcW w:w="6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intangible assets as of October 31,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380" w:type="dxa"/>
            <w:vAlign w:val="bottom"/>
          </w:tcPr>
          <w:p>
            <w:pPr>
              <w:spacing w:after="0"/>
              <w:rPr>
                <w:sz w:val="13"/>
                <w:szCs w:val="13"/>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Pr>
          <w:p>
            <w:pPr>
              <w:spacing w:after="0"/>
              <w:rPr>
                <w:sz w:val="13"/>
                <w:szCs w:val="13"/>
                <w:color w:val="auto"/>
              </w:rPr>
            </w:pPr>
          </w:p>
        </w:tc>
        <w:tc>
          <w:tcPr>
            <w:tcW w:w="13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4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15,151</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6,886</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Customer-related</w:t>
            </w:r>
          </w:p>
        </w:tc>
        <w:tc>
          <w:tcPr>
            <w:tcW w:w="23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84,353</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69,919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28,648</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3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28,715</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24,480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amortizable</w:t>
            </w: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164,553</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(60,728)</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103,825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Non-amortizable - trade names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4,268</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37"/>
        </w:trPr>
        <w:tc>
          <w:tcPr>
            <w:tcW w:w="4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168,821</w:t>
            </w: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(60,728)</w:t>
            </w:r>
          </w:p>
        </w:tc>
        <w:tc>
          <w:tcPr>
            <w:tcW w:w="4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108,093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during the first three months of fiscal 2017 was $2.4 million, compared to $3.2 million for the same period last fiscal year. Estimated amortization expense for the remainder of fiscal 2017 and succeeding fiscal years is as follows: fiscal 2017 (remainder), $7.5 million; fiscal 2018, $8.0 million; fiscal 2019, $7.1 million; fiscal 2020, $6.5 million; fiscal 2021, $6.1 million; fiscal 2022, $6.0 million; and after fiscal 2022, $65.2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accumulated other comprehensive loss (“AOCL”), net of tax,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20" w:type="dxa"/>
            <w:vAlign w:val="bottom"/>
          </w:tcPr>
          <w:p>
            <w:pPr>
              <w:spacing w:after="0"/>
              <w:rPr>
                <w:sz w:val="13"/>
                <w:szCs w:val="13"/>
                <w:color w:val="auto"/>
              </w:rPr>
            </w:pPr>
          </w:p>
        </w:tc>
        <w:tc>
          <w:tcPr>
            <w:tcW w:w="128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00" w:type="dxa"/>
            <w:vAlign w:val="bottom"/>
          </w:tcPr>
          <w:p>
            <w:pPr>
              <w:spacing w:after="0"/>
              <w:rPr>
                <w:sz w:val="13"/>
                <w:szCs w:val="13"/>
                <w:color w:val="auto"/>
              </w:rPr>
            </w:pPr>
          </w:p>
        </w:tc>
        <w:tc>
          <w:tcPr>
            <w:tcW w:w="124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31,177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29,393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6,495</w:t>
            </w:r>
          </w:p>
        </w:tc>
        <w:tc>
          <w:tcPr>
            <w:tcW w:w="320" w:type="dxa"/>
            <w:vAlign w:val="bottom"/>
          </w:tcPr>
          <w:p>
            <w:pPr>
              <w:spacing w:after="0"/>
              <w:rPr>
                <w:sz w:val="21"/>
                <w:szCs w:val="21"/>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5,112</w:t>
            </w:r>
          </w:p>
        </w:tc>
        <w:tc>
          <w:tcPr>
            <w:tcW w:w="3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5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1,188</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5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38,098</w:t>
            </w: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35,693</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38,436</w:t>
            </w:r>
          </w:p>
        </w:tc>
        <w:tc>
          <w:tcPr>
            <w:tcW w:w="0" w:type="dxa"/>
            <w:vAlign w:val="bottom"/>
          </w:tcPr>
          <w:p>
            <w:pPr>
              <w:spacing w:after="0"/>
              <w:rPr>
                <w:sz w:val="1"/>
                <w:szCs w:val="1"/>
                <w:color w:val="auto"/>
              </w:rPr>
            </w:pPr>
          </w:p>
        </w:tc>
      </w:tr>
      <w:tr>
        <w:trPr>
          <w:trHeight w:val="27"/>
        </w:trPr>
        <w:tc>
          <w:tcPr>
            <w:tcW w:w="67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8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components and activity of AOCL for the first three months of fiscal 2017 are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7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tcPr>
          <w:p>
            <w:pPr>
              <w:jc w:val="center"/>
              <w:ind w:right="197"/>
              <w:spacing w:after="0" w:line="145"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Pr>
          <w:p>
            <w:pPr>
              <w:spacing w:after="0"/>
              <w:rPr>
                <w:sz w:val="12"/>
                <w:szCs w:val="12"/>
                <w:color w:val="auto"/>
              </w:rPr>
            </w:pPr>
          </w:p>
        </w:tc>
        <w:tc>
          <w:tcPr>
            <w:tcW w:w="1300" w:type="dxa"/>
            <w:vAlign w:val="bottom"/>
          </w:tcPr>
          <w:p>
            <w:pPr>
              <w:jc w:val="center"/>
              <w:ind w:right="136"/>
              <w:spacing w:after="0" w:line="145"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320" w:type="dxa"/>
            <w:vAlign w:val="bottom"/>
          </w:tcPr>
          <w:p>
            <w:pPr>
              <w:spacing w:after="0"/>
              <w:rPr>
                <w:sz w:val="12"/>
                <w:szCs w:val="12"/>
                <w:color w:val="auto"/>
              </w:rPr>
            </w:pPr>
          </w:p>
        </w:tc>
        <w:tc>
          <w:tcPr>
            <w:tcW w:w="1280" w:type="dxa"/>
            <w:vAlign w:val="bottom"/>
          </w:tcPr>
          <w:p>
            <w:pPr>
              <w:jc w:val="center"/>
              <w:ind w:right="196"/>
              <w:spacing w:after="0" w:line="145"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2"/>
                <w:szCs w:val="12"/>
                <w:color w:val="auto"/>
              </w:rPr>
            </w:pPr>
          </w:p>
        </w:tc>
        <w:tc>
          <w:tcPr>
            <w:tcW w:w="154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2"/>
                <w:szCs w:val="12"/>
                <w:color w:val="auto"/>
              </w:rPr>
            </w:pPr>
          </w:p>
        </w:tc>
        <w:tc>
          <w:tcPr>
            <w:tcW w:w="13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20" w:type="dxa"/>
            <w:vAlign w:val="bottom"/>
          </w:tcPr>
          <w:p>
            <w:pPr>
              <w:spacing w:after="0"/>
              <w:rPr>
                <w:sz w:val="12"/>
                <w:szCs w:val="12"/>
                <w:color w:val="auto"/>
              </w:rPr>
            </w:pPr>
          </w:p>
        </w:tc>
        <w:tc>
          <w:tcPr>
            <w:tcW w:w="12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00" w:type="dxa"/>
            <w:vAlign w:val="bottom"/>
          </w:tcPr>
          <w:p>
            <w:pPr>
              <w:spacing w:after="0"/>
              <w:rPr>
                <w:sz w:val="12"/>
                <w:szCs w:val="12"/>
                <w:color w:val="auto"/>
              </w:rPr>
            </w:pPr>
          </w:p>
        </w:tc>
        <w:tc>
          <w:tcPr>
            <w:tcW w:w="12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October 31, 2016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31,430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6,359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647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38,436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540" w:type="dxa"/>
            <w:vAlign w:val="bottom"/>
          </w:tcPr>
          <w:p>
            <w:pPr>
              <w:spacing w:after="0"/>
              <w:rPr>
                <w:sz w:val="21"/>
                <w:szCs w:val="21"/>
                <w:color w:val="auto"/>
              </w:rPr>
            </w:pPr>
          </w:p>
        </w:tc>
        <w:tc>
          <w:tcPr>
            <w:tcW w:w="15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1"/>
                <w:szCs w:val="21"/>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5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5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February 3, 2017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31,177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6,495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426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38,098</w:t>
            </w:r>
          </w:p>
        </w:tc>
        <w:tc>
          <w:tcPr>
            <w:tcW w:w="0" w:type="dxa"/>
            <w:vAlign w:val="bottom"/>
          </w:tcPr>
          <w:p>
            <w:pPr>
              <w:spacing w:after="0"/>
              <w:rPr>
                <w:sz w:val="1"/>
                <w:szCs w:val="1"/>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for the first three months of fiscal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00" w:type="dxa"/>
            <w:vAlign w:val="bottom"/>
          </w:tcPr>
          <w:p>
            <w:pPr>
              <w:spacing w:after="0"/>
              <w:rPr>
                <w:sz w:val="13"/>
                <w:szCs w:val="13"/>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2"/>
                <w:szCs w:val="12"/>
                <w:color w:val="auto"/>
              </w:rPr>
            </w:pPr>
          </w:p>
        </w:tc>
        <w:tc>
          <w:tcPr>
            <w:tcW w:w="14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Pr>
          <w:p>
            <w:pPr>
              <w:spacing w:after="0"/>
              <w:rPr>
                <w:sz w:val="12"/>
                <w:szCs w:val="12"/>
                <w:color w:val="auto"/>
              </w:rPr>
            </w:pPr>
          </w:p>
        </w:tc>
        <w:tc>
          <w:tcPr>
            <w:tcW w:w="13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00" w:type="dxa"/>
            <w:vAlign w:val="bottom"/>
          </w:tcPr>
          <w:p>
            <w:pPr>
              <w:spacing w:after="0"/>
              <w:rPr>
                <w:sz w:val="12"/>
                <w:szCs w:val="12"/>
                <w:color w:val="auto"/>
              </w:rPr>
            </w:pPr>
          </w:p>
        </w:tc>
        <w:tc>
          <w:tcPr>
            <w:tcW w:w="126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44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October 31, 2015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24,328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5,386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29,843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54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5,065</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165</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5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894</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5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5,065</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1,059</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29, 2016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29,393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5,112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1,188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35,693</w:t>
            </w:r>
          </w:p>
        </w:tc>
        <w:tc>
          <w:tcPr>
            <w:tcW w:w="0" w:type="dxa"/>
            <w:vAlign w:val="bottom"/>
          </w:tcPr>
          <w:p>
            <w:pPr>
              <w:spacing w:after="0"/>
              <w:rPr>
                <w:sz w:val="1"/>
                <w:szCs w:val="1"/>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expense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 grant because generally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executive officers, other employees, and non-employee directors are expected to exercise their stock options, which is primarily based on historical experience. Separate groups of employees and non-employee directors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16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Fiscal 2016</w:t>
            </w:r>
          </w:p>
        </w:tc>
      </w:tr>
      <w:tr>
        <w:trPr>
          <w:trHeight w:val="249"/>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3900" w:type="dxa"/>
            <w:vAlign w:val="bottom"/>
            <w:tcBorders>
              <w:bottom w:val="single" w:sz="8" w:color="CCEEFF"/>
            </w:tcBorders>
            <w:shd w:val="clear" w:color="auto" w:fill="CCEEFF"/>
          </w:tcPr>
          <w:p>
            <w:pPr>
              <w:jc w:val="center"/>
              <w:ind w:left="2093"/>
              <w:spacing w:after="0"/>
              <w:rPr>
                <w:sz w:val="20"/>
                <w:szCs w:val="20"/>
                <w:color w:val="auto"/>
              </w:rPr>
            </w:pPr>
            <w:r>
              <w:rPr>
                <w:rFonts w:ascii="Times New Roman" w:cs="Times New Roman" w:eastAsia="Times New Roman" w:hAnsi="Times New Roman"/>
                <w:sz w:val="18"/>
                <w:szCs w:val="18"/>
                <w:color w:val="auto"/>
              </w:rPr>
              <w:t>6.02</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5.98</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900" w:type="dxa"/>
            <w:vAlign w:val="bottom"/>
          </w:tcPr>
          <w:p>
            <w:pPr>
              <w:jc w:val="center"/>
              <w:ind w:left="2093"/>
              <w:spacing w:after="0"/>
              <w:rPr>
                <w:sz w:val="20"/>
                <w:szCs w:val="20"/>
                <w:color w:val="auto"/>
              </w:rPr>
            </w:pPr>
            <w:r>
              <w:rPr>
                <w:rFonts w:ascii="Times New Roman" w:cs="Times New Roman" w:eastAsia="Times New Roman" w:hAnsi="Times New Roman"/>
                <w:sz w:val="18"/>
                <w:szCs w:val="18"/>
                <w:color w:val="auto"/>
              </w:rPr>
              <w:t>22.15%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24.06%</w:t>
            </w:r>
          </w:p>
        </w:tc>
      </w:tr>
      <w:tr>
        <w:trPr>
          <w:trHeight w:val="27"/>
        </w:trPr>
        <w:tc>
          <w:tcPr>
            <w:tcW w:w="5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3900" w:type="dxa"/>
            <w:vAlign w:val="bottom"/>
            <w:tcBorders>
              <w:bottom w:val="single" w:sz="8" w:color="CCEEFF"/>
            </w:tcBorders>
            <w:shd w:val="clear" w:color="auto" w:fill="CCEEFF"/>
          </w:tcPr>
          <w:p>
            <w:pPr>
              <w:jc w:val="center"/>
              <w:ind w:left="2093"/>
              <w:spacing w:after="0"/>
              <w:rPr>
                <w:sz w:val="20"/>
                <w:szCs w:val="20"/>
                <w:color w:val="auto"/>
              </w:rPr>
            </w:pPr>
            <w:r>
              <w:rPr>
                <w:rFonts w:ascii="Times New Roman" w:cs="Times New Roman" w:eastAsia="Times New Roman" w:hAnsi="Times New Roman"/>
                <w:sz w:val="18"/>
                <w:szCs w:val="18"/>
                <w:color w:val="auto"/>
              </w:rPr>
              <w:t>2.03%</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00" w:type="dxa"/>
            <w:vAlign w:val="bottom"/>
          </w:tcPr>
          <w:p>
            <w:pPr>
              <w:jc w:val="center"/>
              <w:ind w:left="2093"/>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w:t>
            </w:r>
          </w:p>
        </w:tc>
      </w:tr>
      <w:tr>
        <w:trPr>
          <w:trHeight w:val="27"/>
        </w:trPr>
        <w:tc>
          <w:tcPr>
            <w:tcW w:w="5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3900" w:type="dxa"/>
            <w:vAlign w:val="bottom"/>
            <w:shd w:val="clear" w:color="auto" w:fill="CCEEFF"/>
          </w:tcPr>
          <w:p>
            <w:pPr>
              <w:jc w:val="center"/>
              <w:ind w:left="2093"/>
              <w:spacing w:after="0"/>
              <w:rPr>
                <w:sz w:val="20"/>
                <w:szCs w:val="20"/>
                <w:color w:val="auto"/>
              </w:rPr>
            </w:pPr>
            <w:r>
              <w:rPr>
                <w:rFonts w:ascii="Times New Roman" w:cs="Times New Roman" w:eastAsia="Times New Roman" w:hAnsi="Times New Roman"/>
                <w:sz w:val="18"/>
                <w:szCs w:val="18"/>
                <w:color w:val="auto"/>
                <w:w w:val="96"/>
              </w:rPr>
              <w:t>$12.55</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$8.79</w:t>
            </w:r>
          </w:p>
        </w:tc>
      </w:tr>
      <w:tr>
        <w:trPr>
          <w:trHeight w:val="27"/>
        </w:trPr>
        <w:tc>
          <w:tcPr>
            <w:tcW w:w="588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three months of each of fiscal 2017 and 2016 was $54.52 and $38.89,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2010 plan, restricted stock and restricted stock unit awards are generally granted to certain employees that are not executive officers. Occasionally, restricted stock or restricted stock unit awards may be granted, including to executive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 share weighted-average fair value of restricted stock unit awards granted during the first three months of fiscal 2017 and 2016 was $56.67 and $38.62,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Per Share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basic and diluted weighted-average shares of common stock outstanding are as follows:</w:t>
      </w:r>
    </w:p>
    <w:p>
      <w:pPr>
        <w:spacing w:after="0" w:line="232"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7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15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8160" w:type="dxa"/>
            <w:vAlign w:val="bottom"/>
            <w:tcBorders>
              <w:bottom w:val="single" w:sz="8" w:color="auto"/>
            </w:tcBorders>
            <w:gridSpan w:val="4"/>
            <w:vMerge w:val="continue"/>
          </w:tcPr>
          <w:p>
            <w:pPr>
              <w:spacing w:after="0"/>
              <w:rPr>
                <w:sz w:val="16"/>
                <w:szCs w:val="16"/>
                <w:color w:val="auto"/>
              </w:rPr>
            </w:pPr>
          </w:p>
        </w:tc>
        <w:tc>
          <w:tcPr>
            <w:tcW w:w="17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5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01"/>
        </w:trPr>
        <w:tc>
          <w:tcPr>
            <w:tcW w:w="816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i w:val="1"/>
                <w:iCs w:val="1"/>
                <w:color w:val="auto"/>
              </w:rPr>
              <w:t>Basic</w:t>
            </w: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58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w:t>
            </w:r>
          </w:p>
        </w:tc>
        <w:tc>
          <w:tcPr>
            <w:tcW w:w="17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108,585</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109,955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Assumed issuance of contingent shares</w:t>
            </w:r>
          </w:p>
        </w:tc>
        <w:tc>
          <w:tcPr>
            <w:tcW w:w="176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42</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7"/>
        </w:trPr>
        <w:tc>
          <w:tcPr>
            <w:tcW w:w="81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and assumed issuance of contingent shares</w:t>
            </w:r>
          </w:p>
        </w:tc>
        <w:tc>
          <w:tcPr>
            <w:tcW w:w="176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108,627</w:t>
            </w:r>
          </w:p>
        </w:tc>
        <w:tc>
          <w:tcPr>
            <w:tcW w:w="15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110,029</w:t>
            </w:r>
          </w:p>
        </w:tc>
        <w:tc>
          <w:tcPr>
            <w:tcW w:w="0" w:type="dxa"/>
            <w:vAlign w:val="bottom"/>
          </w:tcPr>
          <w:p>
            <w:pPr>
              <w:spacing w:after="0"/>
              <w:rPr>
                <w:sz w:val="1"/>
                <w:szCs w:val="1"/>
                <w:color w:val="auto"/>
              </w:rPr>
            </w:pPr>
          </w:p>
        </w:tc>
      </w:tr>
      <w:tr>
        <w:trPr>
          <w:trHeight w:val="67"/>
        </w:trPr>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160" w:type="dxa"/>
            <w:vAlign w:val="bottom"/>
            <w:gridSpan w:val="4"/>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i w:val="1"/>
                <w:iCs w:val="1"/>
                <w:color w:val="auto"/>
              </w:rPr>
              <w:t>Diluted</w:t>
            </w:r>
          </w:p>
        </w:tc>
        <w:tc>
          <w:tcPr>
            <w:tcW w:w="17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758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and assumed issuance of contingent shares</w:t>
            </w:r>
          </w:p>
        </w:tc>
        <w:tc>
          <w:tcPr>
            <w:tcW w:w="17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108,627</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110,029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76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2,147</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18"/>
        </w:trPr>
        <w:tc>
          <w:tcPr>
            <w:tcW w:w="81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assumed issuance of contingent shares, and effect of</w:t>
            </w:r>
          </w:p>
        </w:tc>
        <w:tc>
          <w:tcPr>
            <w:tcW w:w="17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dilutive securities</w:t>
            </w:r>
          </w:p>
        </w:tc>
        <w:tc>
          <w:tcPr>
            <w:tcW w:w="17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110,774</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112,326</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5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and per share data have been adjusted for all periods presented to reflect a two-for-one stock split effective September 16, 2016.</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Incremental shares from options and restricted stock units are computed by the treasury stock method. Options to purchase 317,757 and 398,562 shares of common stock during the first three months of fiscal 2017 and 2016, respectively, were excluded from the diluted net earnings per share because they were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Data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the company-owned domestic distributorship, has been combined with the company’s corporate activities and elimination of intersegment revenues and expenses that is shown as “Other” in the following tables due to the insignificance of the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February 3, 2017</w:t>
            </w:r>
          </w:p>
        </w:tc>
        <w:tc>
          <w:tcPr>
            <w:tcW w:w="15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371,809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140,390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3,640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515,839</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Intersegment gross sales</w:t>
            </w:r>
          </w:p>
        </w:tc>
        <w:tc>
          <w:tcPr>
            <w:tcW w:w="150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4,556</w:t>
            </w: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4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68,166</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16,558</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59,553</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50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854,384</w:t>
            </w: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243,145</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305,384</w:t>
            </w:r>
          </w:p>
        </w:tc>
        <w:tc>
          <w:tcPr>
            <w:tcW w:w="4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1,402,913</w:t>
            </w:r>
          </w:p>
        </w:tc>
      </w:tr>
      <w:tr>
        <w:trPr>
          <w:trHeight w:val="162"/>
        </w:trPr>
        <w:tc>
          <w:tcPr>
            <w:tcW w:w="39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254"/>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January 29, 2016</w:t>
            </w:r>
          </w:p>
        </w:tc>
        <w:tc>
          <w:tcPr>
            <w:tcW w:w="15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2"/>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338,836</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144,284</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3,278</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486,398</w:t>
            </w: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gross sales</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5,717</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50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61,592</w:t>
            </w: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16,739</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4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53,697</w:t>
            </w: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5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854,106</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263,407</w:t>
            </w: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273,163</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1,390,676</w:t>
            </w:r>
          </w:p>
        </w:tc>
      </w:tr>
      <w:tr>
        <w:trPr>
          <w:trHeight w:val="27"/>
        </w:trPr>
        <w:tc>
          <w:tcPr>
            <w:tcW w:w="39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the loss before income taxes included in “Other” shown above:</w:t>
      </w:r>
    </w:p>
    <w:p>
      <w:pPr>
        <w:spacing w:after="0" w:line="232"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60" w:type="dxa"/>
            <w:vAlign w:val="bottom"/>
          </w:tcPr>
          <w:p>
            <w:pPr>
              <w:spacing w:after="0"/>
              <w:rPr>
                <w:sz w:val="13"/>
                <w:szCs w:val="13"/>
                <w:color w:val="auto"/>
              </w:rPr>
            </w:pPr>
          </w:p>
        </w:tc>
        <w:tc>
          <w:tcPr>
            <w:tcW w:w="12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2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auto"/>
            </w:tcBorders>
            <w:vMerge w:val="continue"/>
          </w:tcPr>
          <w:p>
            <w:pPr>
              <w:spacing w:after="0"/>
              <w:rPr>
                <w:sz w:val="16"/>
                <w:szCs w:val="16"/>
                <w:color w:val="auto"/>
              </w:rPr>
            </w:pPr>
          </w:p>
        </w:tc>
        <w:tc>
          <w:tcPr>
            <w:tcW w:w="3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3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(24,783)</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6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3,673</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4,803</w:t>
            </w:r>
          </w:p>
        </w:tc>
        <w:tc>
          <w:tcPr>
            <w:tcW w:w="0" w:type="dxa"/>
            <w:vAlign w:val="bottom"/>
          </w:tcPr>
          <w:p>
            <w:pPr>
              <w:spacing w:after="0"/>
              <w:rPr>
                <w:sz w:val="1"/>
                <w:szCs w:val="1"/>
                <w:color w:val="auto"/>
              </w:rPr>
            </w:pPr>
          </w:p>
        </w:tc>
      </w:tr>
      <w:tr>
        <w:trPr>
          <w:trHeight w:val="237"/>
        </w:trPr>
        <w:tc>
          <w:tcPr>
            <w:tcW w:w="4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(25,171)</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Contingencies — Litigation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Warranty Guarantees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The company sells extended warranty coverage on select products for a prescribed period after the original warranty period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provisions, claims, and changes in estimates for the first three months of fiscal 2017 and 2016 were as follows:</w:t>
      </w:r>
    </w:p>
    <w:p>
      <w:pPr>
        <w:spacing w:after="0" w:line="232"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40" w:type="dxa"/>
            <w:vAlign w:val="bottom"/>
          </w:tcPr>
          <w:p>
            <w:pPr>
              <w:spacing w:after="0"/>
              <w:rPr>
                <w:sz w:val="13"/>
                <w:szCs w:val="13"/>
                <w:color w:val="auto"/>
              </w:rPr>
            </w:pPr>
          </w:p>
        </w:tc>
        <w:tc>
          <w:tcPr>
            <w:tcW w:w="12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2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4960" w:type="dxa"/>
            <w:vAlign w:val="bottom"/>
            <w:tcBorders>
              <w:bottom w:val="single" w:sz="8" w:color="auto"/>
            </w:tcBorders>
            <w:vMerge w:val="continue"/>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72,158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70,734</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provisions</w:t>
            </w:r>
          </w:p>
        </w:tc>
        <w:tc>
          <w:tcPr>
            <w:tcW w:w="364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9,615</w:t>
            </w:r>
          </w:p>
        </w:tc>
        <w:tc>
          <w:tcPr>
            <w:tcW w:w="3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8,940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claims</w:t>
            </w:r>
          </w:p>
        </w:tc>
        <w:tc>
          <w:tcPr>
            <w:tcW w:w="3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estimates</w:t>
            </w:r>
          </w:p>
        </w:tc>
        <w:tc>
          <w:tcPr>
            <w:tcW w:w="364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594</w:t>
            </w:r>
          </w:p>
        </w:tc>
        <w:tc>
          <w:tcPr>
            <w:tcW w:w="3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3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72,573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71,147</w:t>
            </w:r>
          </w:p>
        </w:tc>
        <w:tc>
          <w:tcPr>
            <w:tcW w:w="0" w:type="dxa"/>
            <w:vAlign w:val="bottom"/>
          </w:tcPr>
          <w:p>
            <w:pPr>
              <w:spacing w:after="0"/>
              <w:rPr>
                <w:sz w:val="1"/>
                <w:szCs w:val="1"/>
                <w:color w:val="auto"/>
              </w:rPr>
            </w:pP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Instruments and Hedging Activities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involves the use of forward currency contracts, that are intended to offset intercompany loan exposures. The company may also utilize cross currency swaps to offset intercompany loan exposures.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 hedges. </w:t>
      </w:r>
      <w:r>
        <w:rPr>
          <w:rFonts w:ascii="Times New Roman" w:cs="Times New Roman" w:eastAsia="Times New Roman" w:hAnsi="Times New Roman"/>
          <w:sz w:val="18"/>
          <w:szCs w:val="18"/>
          <w:color w:val="auto"/>
        </w:rPr>
        <w:t>The company recognizes all derivative instruments as either assets or liabilities at fair value on the consolidated balance sheet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foreign plant operations, and purchases from suppliers.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statements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sheets, recognizing future changes in the fair value in other income, net. For the first quarter of fiscal 2017, there were immaterial losses on forward contracts reclassified into earnings as a result of the discontinuance of cash flow hedges. As of February 3, 2017, the notional amount outstanding of forward contracts designated as cash flow hedges was $104.2 million.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not designated as hedging instruments. </w:t>
      </w:r>
      <w:r>
        <w:rPr>
          <w:rFonts w:ascii="Times New Roman" w:cs="Times New Roman" w:eastAsia="Times New Roman" w:hAnsi="Times New Roman"/>
          <w:sz w:val="18"/>
          <w:szCs w:val="18"/>
          <w:color w:val="auto"/>
        </w:rPr>
        <w:t>The company also enters into foreign currency contracts that include forward currency contracts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derivatives and consolidated 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60" w:type="dxa"/>
            <w:vAlign w:val="bottom"/>
          </w:tcPr>
          <w:p>
            <w:pPr>
              <w:spacing w:after="0"/>
              <w:rPr>
                <w:sz w:val="16"/>
                <w:szCs w:val="16"/>
                <w:color w:val="auto"/>
              </w:rPr>
            </w:pPr>
          </w:p>
        </w:tc>
        <w:tc>
          <w:tcPr>
            <w:tcW w:w="13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60" w:type="dxa"/>
            <w:vAlign w:val="bottom"/>
          </w:tcPr>
          <w:p>
            <w:pPr>
              <w:spacing w:after="0"/>
              <w:rPr>
                <w:sz w:val="16"/>
                <w:szCs w:val="16"/>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275"/>
        </w:trPr>
        <w:tc>
          <w:tcPr>
            <w:tcW w:w="5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February 3, 2017</w:t>
            </w: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January 29, 2016</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October 31, 2016</w:t>
            </w:r>
          </w:p>
        </w:tc>
      </w:tr>
      <w:tr>
        <w:trPr>
          <w:trHeight w:val="249"/>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Derivatives</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tc>
        <w:tc>
          <w:tcPr>
            <w:tcW w:w="1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3,393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1,535</w:t>
            </w:r>
          </w:p>
        </w:tc>
      </w:tr>
      <w:tr>
        <w:trPr>
          <w:trHeight w:val="27"/>
        </w:trPr>
        <w:tc>
          <w:tcPr>
            <w:tcW w:w="5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Cross currency contract</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tc>
        <w:tc>
          <w:tcPr>
            <w:tcW w:w="1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6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795</w:t>
            </w:r>
          </w:p>
        </w:tc>
        <w:tc>
          <w:tcPr>
            <w:tcW w:w="2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1,347</w:t>
            </w:r>
          </w:p>
        </w:tc>
        <w:tc>
          <w:tcPr>
            <w:tcW w:w="2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5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Cross currency contract</w:t>
            </w:r>
          </w:p>
        </w:tc>
        <w:tc>
          <w:tcPr>
            <w:tcW w:w="16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2,218</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2,347</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7,100</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1,967</w:t>
            </w:r>
          </w:p>
        </w:tc>
      </w:tr>
      <w:tr>
        <w:trPr>
          <w:trHeight w:val="67"/>
        </w:trPr>
        <w:tc>
          <w:tcPr>
            <w:tcW w:w="53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Derivatives</w:t>
            </w:r>
          </w:p>
        </w:tc>
        <w:tc>
          <w:tcPr>
            <w:tcW w:w="16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tc>
        <w:tc>
          <w:tcPr>
            <w:tcW w:w="1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973</w:t>
            </w:r>
          </w:p>
        </w:tc>
      </w:tr>
      <w:tr>
        <w:trPr>
          <w:trHeight w:val="27"/>
        </w:trPr>
        <w:tc>
          <w:tcPr>
            <w:tcW w:w="5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6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792</w:t>
            </w:r>
          </w:p>
        </w:tc>
      </w:tr>
      <w:tr>
        <w:trPr>
          <w:trHeight w:val="237"/>
        </w:trPr>
        <w:tc>
          <w:tcPr>
            <w:tcW w:w="5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1,504</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3,202</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1,765</w:t>
            </w:r>
          </w:p>
        </w:tc>
      </w:tr>
      <w:tr>
        <w:trPr>
          <w:trHeight w:val="27"/>
        </w:trPr>
        <w:tc>
          <w:tcPr>
            <w:tcW w:w="5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derivative instruments on the consolidated statements of earnings for the company’s derivatives designated as cash flow hedging instruments for the three months ended February 3, 2017 and January 29, 2016,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gridSpan w:val="5"/>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Ineffective Portion and excluded from</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Effective Portion</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Effectiveness Testing</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left="457"/>
              <w:spacing w:after="0" w:line="142" w:lineRule="exact"/>
              <w:rPr>
                <w:sz w:val="20"/>
                <w:szCs w:val="20"/>
                <w:color w:val="auto"/>
              </w:rPr>
            </w:pPr>
            <w:r>
              <w:rPr>
                <w:rFonts w:ascii="Times New Roman" w:cs="Times New Roman" w:eastAsia="Times New Roman" w:hAnsi="Times New Roman"/>
                <w:sz w:val="13"/>
                <w:szCs w:val="13"/>
                <w:b w:val="1"/>
                <w:bCs w:val="1"/>
                <w:color w:val="auto"/>
                <w:w w:val="98"/>
              </w:rPr>
              <w:t>Gain (Loss)</w:t>
            </w:r>
          </w:p>
        </w:tc>
        <w:tc>
          <w:tcPr>
            <w:tcW w:w="660" w:type="dxa"/>
            <w:vAlign w:val="bottom"/>
          </w:tcPr>
          <w:p>
            <w:pPr>
              <w:spacing w:after="0"/>
              <w:rPr>
                <w:sz w:val="12"/>
                <w:szCs w:val="12"/>
                <w:color w:val="auto"/>
              </w:rPr>
            </w:pPr>
          </w:p>
        </w:tc>
        <w:tc>
          <w:tcPr>
            <w:tcW w:w="1780" w:type="dxa"/>
            <w:vAlign w:val="bottom"/>
          </w:tcPr>
          <w:p>
            <w:pPr>
              <w:jc w:val="center"/>
              <w:ind w:left="57"/>
              <w:spacing w:after="0" w:line="142" w:lineRule="exact"/>
              <w:rPr>
                <w:sz w:val="20"/>
                <w:szCs w:val="20"/>
                <w:color w:val="auto"/>
              </w:rPr>
            </w:pPr>
            <w:r>
              <w:rPr>
                <w:rFonts w:ascii="Times New Roman" w:cs="Times New Roman" w:eastAsia="Times New Roman" w:hAnsi="Times New Roman"/>
                <w:sz w:val="13"/>
                <w:szCs w:val="13"/>
                <w:b w:val="1"/>
                <w:bCs w:val="1"/>
                <w:color w:val="auto"/>
                <w:w w:val="96"/>
              </w:rPr>
              <w:t>Location of Gain (Loss)</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Location of Gain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Recognized in OCI on</w:t>
            </w:r>
          </w:p>
        </w:tc>
        <w:tc>
          <w:tcPr>
            <w:tcW w:w="178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Reclassified from</w:t>
            </w:r>
          </w:p>
        </w:tc>
        <w:tc>
          <w:tcPr>
            <w:tcW w:w="260" w:type="dxa"/>
            <w:vAlign w:val="bottom"/>
          </w:tcPr>
          <w:p>
            <w:pPr>
              <w:spacing w:after="0"/>
              <w:rPr>
                <w:sz w:val="11"/>
                <w:szCs w:val="11"/>
                <w:color w:val="auto"/>
              </w:rPr>
            </w:pPr>
          </w:p>
        </w:tc>
        <w:tc>
          <w:tcPr>
            <w:tcW w:w="1920" w:type="dxa"/>
            <w:vAlign w:val="bottom"/>
            <w:gridSpan w:val="4"/>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Gain (Loss) Reclassified</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(Loss) Recognized in</w:t>
            </w:r>
          </w:p>
        </w:tc>
        <w:tc>
          <w:tcPr>
            <w:tcW w:w="220" w:type="dxa"/>
            <w:vAlign w:val="bottom"/>
          </w:tcPr>
          <w:p>
            <w:pPr>
              <w:spacing w:after="0"/>
              <w:rPr>
                <w:sz w:val="11"/>
                <w:szCs w:val="11"/>
                <w:color w:val="auto"/>
              </w:rPr>
            </w:pPr>
          </w:p>
        </w:tc>
        <w:tc>
          <w:tcPr>
            <w:tcW w:w="1780" w:type="dxa"/>
            <w:vAlign w:val="bottom"/>
            <w:gridSpan w:val="3"/>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Gain (Loss) Recognized</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8"/>
              </w:rPr>
              <w:t>Derivatives</w:t>
            </w:r>
          </w:p>
        </w:tc>
        <w:tc>
          <w:tcPr>
            <w:tcW w:w="6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AOCL into Income</w:t>
            </w: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from AOCL into Income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on Derivatives</w:t>
            </w: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in Income on Derivatives</w:t>
            </w:r>
          </w:p>
        </w:tc>
        <w:tc>
          <w:tcPr>
            <w:tcW w:w="0" w:type="dxa"/>
            <w:vAlign w:val="bottom"/>
          </w:tcPr>
          <w:p>
            <w:pPr>
              <w:spacing w:after="0"/>
              <w:rPr>
                <w:sz w:val="1"/>
                <w:szCs w:val="1"/>
                <w:color w:val="auto"/>
              </w:rPr>
            </w:pPr>
          </w:p>
        </w:tc>
      </w:tr>
      <w:tr>
        <w:trPr>
          <w:trHeight w:val="173"/>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20" w:type="dxa"/>
            <w:vAlign w:val="bottom"/>
          </w:tcPr>
          <w:p>
            <w:pPr>
              <w:spacing w:after="0"/>
              <w:rPr>
                <w:sz w:val="16"/>
                <w:szCs w:val="16"/>
                <w:color w:val="auto"/>
              </w:rPr>
            </w:pP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February 3,</w:t>
            </w:r>
          </w:p>
        </w:tc>
        <w:tc>
          <w:tcPr>
            <w:tcW w:w="1040" w:type="dxa"/>
            <w:vAlign w:val="bottom"/>
            <w:gridSpan w:val="2"/>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January 29,</w:t>
            </w: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7"/>
              <w:spacing w:after="0"/>
              <w:rPr>
                <w:sz w:val="20"/>
                <w:szCs w:val="20"/>
                <w:color w:val="auto"/>
              </w:rPr>
            </w:pPr>
            <w:r>
              <w:rPr>
                <w:rFonts w:ascii="Times New Roman" w:cs="Times New Roman" w:eastAsia="Times New Roman" w:hAnsi="Times New Roman"/>
                <w:sz w:val="12"/>
                <w:szCs w:val="12"/>
                <w:b w:val="1"/>
                <w:bCs w:val="1"/>
                <w:color w:val="auto"/>
              </w:rPr>
              <w:t>February 3,</w:t>
            </w:r>
          </w:p>
        </w:tc>
        <w:tc>
          <w:tcPr>
            <w:tcW w:w="20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January 29,</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February 3,</w:t>
            </w:r>
          </w:p>
        </w:tc>
        <w:tc>
          <w:tcPr>
            <w:tcW w:w="200" w:type="dxa"/>
            <w:vAlign w:val="bottom"/>
          </w:tcPr>
          <w:p>
            <w:pPr>
              <w:spacing w:after="0"/>
              <w:rPr>
                <w:sz w:val="16"/>
                <w:szCs w:val="16"/>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rPr>
              <w:t>January 29,</w:t>
            </w:r>
          </w:p>
        </w:tc>
        <w:tc>
          <w:tcPr>
            <w:tcW w:w="0" w:type="dxa"/>
            <w:vAlign w:val="bottom"/>
          </w:tcPr>
          <w:p>
            <w:pPr>
              <w:spacing w:after="0"/>
              <w:rPr>
                <w:sz w:val="1"/>
                <w:szCs w:val="1"/>
                <w:color w:val="auto"/>
              </w:rPr>
            </w:pPr>
          </w:p>
        </w:tc>
      </w:tr>
      <w:tr>
        <w:trPr>
          <w:trHeight w:val="84"/>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2017</w:t>
            </w:r>
          </w:p>
        </w:tc>
        <w:tc>
          <w:tcPr>
            <w:tcW w:w="380" w:type="dxa"/>
            <w:vAlign w:val="bottom"/>
          </w:tcPr>
          <w:p>
            <w:pPr>
              <w:spacing w:after="0"/>
              <w:rPr>
                <w:sz w:val="7"/>
                <w:szCs w:val="7"/>
                <w:color w:val="auto"/>
              </w:rPr>
            </w:pPr>
          </w:p>
        </w:tc>
        <w:tc>
          <w:tcPr>
            <w:tcW w:w="660" w:type="dxa"/>
            <w:vAlign w:val="bottom"/>
            <w:vMerge w:val="restart"/>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2016</w:t>
            </w:r>
          </w:p>
        </w:tc>
        <w:tc>
          <w:tcPr>
            <w:tcW w:w="1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vMerge w:val="restart"/>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2017</w:t>
            </w:r>
          </w:p>
        </w:tc>
        <w:tc>
          <w:tcPr>
            <w:tcW w:w="200" w:type="dxa"/>
            <w:vAlign w:val="bottom"/>
          </w:tcPr>
          <w:p>
            <w:pPr>
              <w:spacing w:after="0"/>
              <w:rPr>
                <w:sz w:val="7"/>
                <w:szCs w:val="7"/>
                <w:color w:val="auto"/>
              </w:rPr>
            </w:pPr>
          </w:p>
        </w:tc>
        <w:tc>
          <w:tcPr>
            <w:tcW w:w="780" w:type="dxa"/>
            <w:vAlign w:val="bottom"/>
            <w:vMerge w:val="restart"/>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restart"/>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2017</w:t>
            </w:r>
          </w:p>
        </w:tc>
        <w:tc>
          <w:tcPr>
            <w:tcW w:w="200" w:type="dxa"/>
            <w:vAlign w:val="bottom"/>
          </w:tcPr>
          <w:p>
            <w:pPr>
              <w:spacing w:after="0"/>
              <w:rPr>
                <w:sz w:val="7"/>
                <w:szCs w:val="7"/>
                <w:color w:val="auto"/>
              </w:rPr>
            </w:pPr>
          </w:p>
        </w:tc>
        <w:tc>
          <w:tcPr>
            <w:tcW w:w="780" w:type="dxa"/>
            <w:vAlign w:val="bottom"/>
            <w:vMerge w:val="restart"/>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2016</w:t>
            </w:r>
          </w:p>
        </w:tc>
        <w:tc>
          <w:tcPr>
            <w:tcW w:w="0" w:type="dxa"/>
            <w:vAlign w:val="bottom"/>
          </w:tcPr>
          <w:p>
            <w:pPr>
              <w:spacing w:after="0"/>
              <w:rPr>
                <w:sz w:val="1"/>
                <w:szCs w:val="1"/>
                <w:color w:val="auto"/>
              </w:rPr>
            </w:pPr>
          </w:p>
        </w:tc>
      </w:tr>
      <w:tr>
        <w:trPr>
          <w:trHeight w:val="91"/>
        </w:trPr>
        <w:tc>
          <w:tcPr>
            <w:tcW w:w="1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Forward currency contracts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(372)</w:t>
            </w:r>
          </w:p>
        </w:tc>
        <w:tc>
          <w:tcPr>
            <w:tcW w:w="380" w:type="dxa"/>
            <w:vAlign w:val="bottom"/>
            <w:vMerge w:val="restart"/>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565</w:t>
            </w:r>
          </w:p>
        </w:tc>
        <w:tc>
          <w:tcPr>
            <w:tcW w:w="1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sales</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439</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1,080</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income, net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397</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97"/>
        </w:trPr>
        <w:tc>
          <w:tcPr>
            <w:tcW w:w="196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780" w:type="dxa"/>
            <w:vAlign w:val="bottom"/>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Forward currency contracts</w:t>
            </w:r>
          </w:p>
        </w:tc>
        <w:tc>
          <w:tcPr>
            <w:tcW w:w="120" w:type="dxa"/>
            <w:vAlign w:val="bottom"/>
          </w:tcPr>
          <w:p>
            <w:pPr>
              <w:spacing w:after="0"/>
              <w:rPr>
                <w:sz w:val="15"/>
                <w:szCs w:val="15"/>
                <w:color w:val="auto"/>
              </w:rPr>
            </w:pPr>
          </w:p>
        </w:tc>
        <w:tc>
          <w:tcPr>
            <w:tcW w:w="8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(152)</w:t>
            </w:r>
          </w:p>
        </w:tc>
        <w:tc>
          <w:tcPr>
            <w:tcW w:w="38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(1,659)</w:t>
            </w:r>
          </w:p>
        </w:tc>
        <w:tc>
          <w:tcPr>
            <w:tcW w:w="1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Cost of sales</w:t>
            </w:r>
          </w:p>
        </w:tc>
        <w:tc>
          <w:tcPr>
            <w:tcW w:w="260" w:type="dxa"/>
            <w:vAlign w:val="bottom"/>
          </w:tcPr>
          <w:p>
            <w:pPr>
              <w:spacing w:after="0"/>
              <w:rPr>
                <w:sz w:val="15"/>
                <w:szCs w:val="15"/>
                <w:color w:val="auto"/>
              </w:rPr>
            </w:pPr>
          </w:p>
        </w:tc>
        <w:tc>
          <w:tcPr>
            <w:tcW w:w="8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(762)</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Cross currency contracts</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34</w:t>
            </w:r>
          </w:p>
        </w:tc>
        <w:tc>
          <w:tcPr>
            <w:tcW w:w="1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9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vMerge w:val="continue"/>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780" w:type="dxa"/>
            <w:vAlign w:val="bottom"/>
            <w:tcBorders>
              <w:bottom w:val="single" w:sz="8" w:color="auto"/>
            </w:tcBorders>
            <w:vMerge w:val="continue"/>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vMerge w:val="continue"/>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Total derivatives designated as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cash flow hedges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(524)</w:t>
            </w:r>
          </w:p>
        </w:tc>
        <w:tc>
          <w:tcPr>
            <w:tcW w:w="3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(1,060)</w:t>
            </w:r>
          </w:p>
        </w:tc>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397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3, 2017, the company expects to reclassify approximately $0.3 million of losses from AOCL to earnings during the next twelve months.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gain/(loss) of derivative instruments on the consolidated statements of earnings for the company’s derivatives not designated as hedging instruments.</w:t>
      </w:r>
    </w:p>
    <w:p>
      <w:pPr>
        <w:spacing w:after="0" w:line="16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4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320" w:type="dxa"/>
            <w:vAlign w:val="bottom"/>
          </w:tcPr>
          <w:p>
            <w:pPr>
              <w:spacing w:after="0"/>
              <w:rPr>
                <w:sz w:val="13"/>
                <w:szCs w:val="13"/>
                <w:color w:val="auto"/>
              </w:rPr>
            </w:pP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3"/>
                <w:szCs w:val="13"/>
                <w:color w:val="auto"/>
              </w:rPr>
            </w:pP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38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2"/>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38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 currency contracts</w:t>
            </w:r>
          </w:p>
        </w:tc>
        <w:tc>
          <w:tcPr>
            <w:tcW w:w="384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effects of the master netting arrangements on the fair value of the company’s derivative contracts that are recorded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February 3, 2017</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January 29, 2016</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October 31, 2016</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Forward currency contracts</w:t>
            </w:r>
          </w:p>
        </w:tc>
        <w:tc>
          <w:tcPr>
            <w:tcW w:w="1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Amounts of Recognized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4,740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2,264</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Liabilities Offset in the Balance Sheets</w:t>
            </w:r>
          </w:p>
        </w:tc>
        <w:tc>
          <w:tcPr>
            <w:tcW w:w="132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5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Amounts of Assets Presented in the Balance Sheets</w:t>
            </w:r>
          </w:p>
        </w:tc>
        <w:tc>
          <w:tcPr>
            <w:tcW w:w="1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2,347</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4,740</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1,967</w:t>
            </w:r>
          </w:p>
        </w:tc>
      </w:tr>
      <w:tr>
        <w:trPr>
          <w:trHeight w:val="237"/>
        </w:trPr>
        <w:tc>
          <w:tcPr>
            <w:tcW w:w="5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Cross currency contracts</w:t>
            </w:r>
          </w:p>
        </w:tc>
        <w:tc>
          <w:tcPr>
            <w:tcW w:w="1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Amounts of Recognized Assets</w:t>
            </w:r>
          </w:p>
        </w:tc>
        <w:tc>
          <w:tcPr>
            <w:tcW w:w="1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2,360</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Amounts of Assets Presented in the Balance Sheets</w:t>
            </w:r>
          </w:p>
        </w:tc>
        <w:tc>
          <w:tcPr>
            <w:tcW w:w="1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2,360</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1,967</w:t>
            </w: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Forward currency contracts</w:t>
            </w:r>
          </w:p>
        </w:tc>
        <w:tc>
          <w:tcPr>
            <w:tcW w:w="1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Amounts of Recognized Liabilities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Assets Offset in the Balance Sheets</w:t>
            </w:r>
          </w:p>
        </w:tc>
        <w:tc>
          <w:tcPr>
            <w:tcW w:w="1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Amounts of Liabilities Presented in the Balance Sheets</w:t>
            </w:r>
          </w:p>
        </w:tc>
        <w:tc>
          <w:tcPr>
            <w:tcW w:w="1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7"/>
        </w:trPr>
        <w:tc>
          <w:tcPr>
            <w:tcW w:w="5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Observable inputs other than Level 1 prices, such as quoted prices for similar assets or liabilities in active markets; quoted prices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reflecting management’s assumptions about the inputs used in pricing the asset or liability.</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February 3, 2017, January 29, 2016, and October 31, 2016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5"/>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r>
      <w:tr>
        <w:trPr>
          <w:trHeight w:val="264"/>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3, 2017</w:t>
            </w:r>
          </w:p>
        </w:tc>
        <w:tc>
          <w:tcPr>
            <w:tcW w:w="15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158,893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158,893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2,347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2,347</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161,240</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158,893</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2,347</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38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5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1,504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1,504</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1,017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1,017</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2,521</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2,521</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5"/>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gridSpan w:val="5"/>
          </w:tcPr>
          <w:p>
            <w:pPr>
              <w:spacing w:after="0" w:line="20" w:lineRule="exact"/>
              <w:rPr>
                <w:sz w:val="1"/>
                <w:szCs w:val="1"/>
                <w:color w:val="auto"/>
              </w:rPr>
            </w:pPr>
          </w:p>
        </w:tc>
      </w:tr>
      <w:tr>
        <w:trPr>
          <w:trHeight w:val="116"/>
        </w:trPr>
        <w:tc>
          <w:tcPr>
            <w:tcW w:w="38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gridSpan w:val="5"/>
          </w:tcPr>
          <w:p>
            <w:pPr>
              <w:spacing w:after="0"/>
              <w:rPr>
                <w:sz w:val="10"/>
                <w:szCs w:val="10"/>
                <w:color w:val="auto"/>
              </w:rPr>
            </w:pPr>
          </w:p>
        </w:tc>
      </w:tr>
      <w:tr>
        <w:trPr>
          <w:trHeight w:val="259"/>
        </w:trPr>
        <w:tc>
          <w:tcPr>
            <w:tcW w:w="3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320" w:type="dxa"/>
            <w:vAlign w:val="bottom"/>
            <w:tcBorders>
              <w:bottom w:val="single" w:sz="8" w:color="auto"/>
            </w:tcBorders>
            <w:gridSpan w:val="5"/>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r>
      <w:tr>
        <w:trPr>
          <w:trHeight w:val="264"/>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29, 2016</w:t>
            </w:r>
          </w:p>
        </w:tc>
        <w:tc>
          <w:tcPr>
            <w:tcW w:w="15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118,140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118,140</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4,740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4,740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Cross currency contracts</w:t>
            </w:r>
          </w:p>
        </w:tc>
        <w:tc>
          <w:tcPr>
            <w:tcW w:w="154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2,360</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2,360</w:t>
            </w:r>
          </w:p>
        </w:tc>
        <w:tc>
          <w:tcPr>
            <w:tcW w:w="40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125,240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118,140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7,100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3,202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3,202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54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1,524</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1,524</w:t>
            </w:r>
          </w:p>
        </w:tc>
        <w:tc>
          <w:tcPr>
            <w:tcW w:w="40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4,726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4,726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320" w:type="dxa"/>
            <w:vAlign w:val="bottom"/>
            <w:tcBorders>
              <w:top w:val="single" w:sz="8" w:color="auto"/>
              <w:bottom w:val="single" w:sz="8" w:color="auto"/>
            </w:tcBorders>
            <w:gridSpan w:val="5"/>
          </w:tcPr>
          <w:p>
            <w:pPr>
              <w:spacing w:after="0" w:line="20" w:lineRule="exact"/>
              <w:rPr>
                <w:sz w:val="1"/>
                <w:szCs w:val="1"/>
                <w:color w:val="auto"/>
              </w:rPr>
            </w:pPr>
          </w:p>
        </w:tc>
      </w:tr>
      <w:tr>
        <w:trPr>
          <w:trHeight w:val="116"/>
        </w:trPr>
        <w:tc>
          <w:tcPr>
            <w:tcW w:w="38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gridSpan w:val="5"/>
          </w:tcPr>
          <w:p>
            <w:pPr>
              <w:spacing w:after="0"/>
              <w:rPr>
                <w:sz w:val="10"/>
                <w:szCs w:val="10"/>
                <w:color w:val="auto"/>
              </w:rPr>
            </w:pPr>
          </w:p>
        </w:tc>
      </w:tr>
      <w:tr>
        <w:trPr>
          <w:trHeight w:val="259"/>
        </w:trPr>
        <w:tc>
          <w:tcPr>
            <w:tcW w:w="3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320" w:type="dxa"/>
            <w:vAlign w:val="bottom"/>
            <w:tcBorders>
              <w:bottom w:val="single" w:sz="8" w:color="auto"/>
            </w:tcBorders>
            <w:gridSpan w:val="5"/>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r>
      <w:tr>
        <w:trPr>
          <w:trHeight w:val="264"/>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2016</w:t>
            </w:r>
          </w:p>
        </w:tc>
        <w:tc>
          <w:tcPr>
            <w:tcW w:w="15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273,555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273,555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1,967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1,967</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275,522</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273,555</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1,967</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38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5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1,765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1,149</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1,149</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2,914</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2,914</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the three months ended February 3, 2017 and January 29, 2016, or the twelve months ended October 31, 2016.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all subsequent events and concluded that no subsequent events have occurred that would require recognition in the consolidated financial statements or disclosure in the notes to the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in six sections: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Overview</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Information</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should be read in conjunction with the MD&amp;A included in Part II, Item 7 of our Annual Report on Form 10-K for the fiscal year ended October 31, 2016. This discussion contains various “Forward-Looking Statements” within the meaning of</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Securities Litigation Reform Act of 1995 and we refer readers to the section titled “Forward-Looking Information” located at the end of Part I, Item 2 of this report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and marketing professional turf maintenance equipment and services, turf irrigation systems, landscaping equipment and lighting products, snow and ice management products, agricultural micro-irrigation systems, rental and specialty construction equipment, and residential yard and snow thrower products. We sell our products worldwide through a network of distributors, dealers, hardware retailers, home centers, mass retailers, and online.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 Shares and per share data have been adjusted for all periods presented to reflect a two-for-one stock split effective September 16,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first quarter of fiscal 2017, our net sales increased 6.1 percent with a net earnings increase of 14.6 percent, each as compared to the first quarter of fiscal 2016. Professional segment net sales increased 9.7 percent for the first quarter of fiscal 2017, primarily due to new product releases in our landscape contractor business, increased demand for our professional snow and ice management products, along with continued growth in our golf and grounds, micro-irrigation, and specialty construction businesses. Residential segment net sales were down 2.7 percent for the first quarter of fiscal 2017, primarily due to zero-turn radius riding mowers returning to a more normal shipment pattern, partially offset by higher demand of residential snow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foreign currency exchange rates resulted in a reduction of our net sales of approximately $3.7 million for the first quarter of fiscal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earnings growth in the first quarter of fiscal 2017 was primarily attributable to leveraging our selling, general and administrative (“SG&amp;A”) expenses over higher sales volumes, which resulted in a reduction of SG&amp;A expense as a percentage of net sales of 70 basis points for the first quarter comparison.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increased our first quarter of fiscal 2017 cash dividend by 16.7 percent to $0.175 per share compared to the $0.15 per share quarterly cash dividend paid in the first quarter of fiscal 2016.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levels decreased $19.9 million, or 4.7 percent, as of the end of the first quarter of fiscal 2017 due primarily to better inventory control initiatives during the first quarter of fiscal 2017. Receivables decreased $6.4 million, or 3.4 percent, largely due to timing of sales for the first quarter comparison. Field inventory levels were up slightly as of the end of the first quarter of fiscal 2017, due to strong demand and anticipated increased sales of new products as we move into our key selling season.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multi-year initiative, “Destination PRIME,” which began with our 2015 fiscal year, continues our journey into our second century. This is our final year of this three-year initiative, which is intended to help us drive revenue and earnings growth and further improve productivity, while also continuing our century-long commitment to innovation, relationships, and excellence. Through our Destination PRIME initiative, we strive to achieve our goals by pursuing a progression of annual milestones. Our organic revenue growth goal is to achieve five percent or more of organic revenue growth each fiscal year during this initiative. We define organic revenue growth as the increase in net sales, less net sales from acquisitions that occurred in the current fiscal year. Our operating earnings goal is to raise operating earnings as a percentage of net sales to more than 13 percent by the end of fiscal 2017. Additionally, our working capital goal is to drive down average net working capital as a percentage of net sales to 13 percent or less by the end of fiscal 2017. We define average net working capital as net accounts receivable plus net inventory less accounts payable as a percentage of net sales for a twelve month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Worldwide consolidated net sales for the first quarter of fiscal 2017 were $515.8 million, up 6.1 percent compared $486.4 million in the first quarter of fiscal 2016. This increase was driven primarily by new product releases of Professional segment landscape contractor equipment, favorable snowfalls and icy weather conditions which increased demand of Professional segment snow and ice management products and Residential segment snow thrower products, and continued growth in our golf and grounds, micro-irrigation, and specialty construction businesses. This increase in net sales was partially offset by lower Residential segment shipments of zero-turn radius riding mowers, as shipments returned to a more normal pattern in the first quarter of fiscal 2017 compared to the first quarter of fiscal 2016.</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International net sales were up 3.1 percent for the first quarter of fiscal 2017, mainly due to new project wins for our golf business, as well as growth of our micro-irrigation business. This increase was partially offset by unfavorable foreign currency exchange rate fluctuations.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operating costs and other income as a percentage of net sales:</w:t>
      </w:r>
    </w:p>
    <w:p>
      <w:pPr>
        <w:spacing w:after="0" w:line="232"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464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16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512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64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46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62.5</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62.4</w:t>
            </w:r>
          </w:p>
        </w:tc>
      </w:tr>
      <w:tr>
        <w:trPr>
          <w:trHeight w:val="27"/>
        </w:trPr>
        <w:tc>
          <w:tcPr>
            <w:tcW w:w="51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464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37.5</w:t>
            </w:r>
          </w:p>
        </w:tc>
        <w:tc>
          <w:tcPr>
            <w:tcW w:w="166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37.6</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SG&amp;A expense</w:t>
            </w:r>
          </w:p>
        </w:tc>
        <w:tc>
          <w:tcPr>
            <w:tcW w:w="46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25.8</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51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earnings</w:t>
            </w:r>
          </w:p>
        </w:tc>
        <w:tc>
          <w:tcPr>
            <w:tcW w:w="464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11.7</w:t>
            </w:r>
          </w:p>
        </w:tc>
        <w:tc>
          <w:tcPr>
            <w:tcW w:w="166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6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(0.9)</w:t>
            </w:r>
          </w:p>
        </w:tc>
        <w:tc>
          <w:tcPr>
            <w:tcW w:w="16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1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464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0.7</w:t>
            </w:r>
          </w:p>
        </w:tc>
        <w:tc>
          <w:tcPr>
            <w:tcW w:w="166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2.8</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51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464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8.7%</w:t>
            </w: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46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percentage of net sales, gross profit for the first quarter of fiscal 2017 decreased 10 basis points to 37.5 percent compared to 37.6 percent in the first quarter of fiscal 2016. The decrease for the first quarter fiscal 2017 comparison was primarily due to unfavorable foreign currency exchange rate fluctuations and higher commodity prices, partially offset by productivity improvements and segment mix.</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 increased $4.1 million, or 3.2 percent, for the first quarter of fiscal 2017. As a percentage of net sales, SG&amp;A expense decreased 70 basis points for the first quarter of fiscal 2017. The decrease as a percentage of net sales for the first quarter comparison was primarily due to the leveraging of expenses over higher sales volumes.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for the first quarter of fiscal 2017 increased slightly by $0.2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Other income, net for the first quarter of fiscal 2017 decreased $0.6 million compared to the same period last fiscal year. The decrease for the first quarter comparison was primarily due to a prior year litigation recovery and the sale of our Northwestern U.S. distribution company in the first quarter of fiscal 2016.</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effective tax rate for the first quarter of fiscal 2017 was 24.5 percent compared to 26.9 percent in the first quarter of 2016. The decrease was primarily driven by the adoption of ASU 2016-09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in the first quarter quarter of fiscal 2017, which resulted in a discrete tax benefit of $4.9 million related to stock-based compensation. The favorable impact of this benefit was partially offset by the retroactive reenactment of the domestic research tax credit of $2.3 million in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earnings for the first quarter of fiscal 2017 were $45.0 million, or $0.41 per diluted share, compared to $39.3 million, or $0.35 per diluted share, for the first quarter of fiscal 2016, resulting in a net earnings per diluted share increase of 17.1 percent. The primary factors contributing to the net earnings increase for the first quarter comparison included increased net sales, a decrease in our SG&amp;A expense as a percentage of net sales, and a lower effective tax rate. In addition, as a result of reduced shares outstanding from repurchases of our common stock, first quarter fiscal 2017 net earnings per diluted share were benefited by approximately $0.01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three reportable business segments: Professional, Residential, and Distribution. Our Distribution segment, which consists of our company-owned domestic distributorship,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February 3, 2017</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January 29, 2016</w:t>
            </w:r>
          </w:p>
        </w:tc>
        <w:tc>
          <w:tcPr>
            <w:tcW w:w="3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371,809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338,836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32,973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15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140,390</w:t>
            </w:r>
          </w:p>
        </w:tc>
        <w:tc>
          <w:tcPr>
            <w:tcW w:w="26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144,284</w:t>
            </w:r>
          </w:p>
        </w:tc>
        <w:tc>
          <w:tcPr>
            <w:tcW w:w="380" w:type="dxa"/>
            <w:vAlign w:val="bottom"/>
          </w:tcPr>
          <w:p>
            <w:pPr>
              <w:spacing w:after="0"/>
              <w:rPr>
                <w:sz w:val="21"/>
                <w:szCs w:val="21"/>
                <w:color w:val="auto"/>
              </w:rPr>
            </w:pPr>
          </w:p>
        </w:tc>
        <w:tc>
          <w:tcPr>
            <w:tcW w:w="14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(3,894)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3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3,640</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3,278</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362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7"/>
        </w:trPr>
        <w:tc>
          <w:tcPr>
            <w:tcW w:w="37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515,839</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486,398</w:t>
            </w:r>
          </w:p>
        </w:tc>
        <w:tc>
          <w:tcPr>
            <w:tcW w:w="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29,441</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67"/>
        </w:trPr>
        <w:tc>
          <w:tcPr>
            <w:tcW w:w="37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78"/>
        </w:trPr>
        <w:tc>
          <w:tcPr>
            <w:tcW w:w="37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Includes international sales of:</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131,242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127,246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3,996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
        </w:trPr>
        <w:tc>
          <w:tcPr>
            <w:tcW w:w="3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segment earnings (loss) before income taxes: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February 3, 2017</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January 29, 2016</w:t>
            </w: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68,166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61,592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6,574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200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16,558</w:t>
            </w:r>
          </w:p>
        </w:tc>
        <w:tc>
          <w:tcPr>
            <w:tcW w:w="240" w:type="dxa"/>
            <w:vAlign w:val="bottom"/>
          </w:tcPr>
          <w:p>
            <w:pPr>
              <w:spacing w:after="0"/>
              <w:rPr>
                <w:sz w:val="21"/>
                <w:szCs w:val="21"/>
                <w:color w:val="auto"/>
              </w:rPr>
            </w:pP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16,739</w:t>
            </w:r>
          </w:p>
        </w:tc>
        <w:tc>
          <w:tcPr>
            <w:tcW w:w="360" w:type="dxa"/>
            <w:vAlign w:val="bottom"/>
          </w:tcPr>
          <w:p>
            <w:pPr>
              <w:spacing w:after="0"/>
              <w:rPr>
                <w:sz w:val="21"/>
                <w:szCs w:val="21"/>
                <w:color w:val="auto"/>
              </w:rPr>
            </w:pPr>
          </w:p>
        </w:tc>
        <w:tc>
          <w:tcPr>
            <w:tcW w:w="14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(181)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(25,171)</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(537)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3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59,553</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53,697</w:t>
            </w: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rPr>
              <w:t>5,856</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7"/>
        </w:trPr>
        <w:tc>
          <w:tcPr>
            <w:tcW w:w="3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Segment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Worldwide net sales for our Professional segment in the first quarter of fiscal 2017 increased 9.7 percent. Professional segment net sales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positively impacted by the release of new products in our landscape contractor business, including the Toro-branded TITAN® HD and the Exmark-branded Radius® zero-turn radius riding mowers. We also experienced increased demand for our BOSS® snow and ice management products driven by more favorable snowfalls and icy weather conditions in many of our key markets. Additionally, we saw higher growth in our golf and grounds business with increased shipments of our GTX utility vehicle, as well as the success of our Aqua-Traxx® micro-irrigation tape products with flow control and our specialty construction compact utility loaders. This net sales increase for the first quarter of fiscal 2017 was slightly offset by the impact of unfavorable foreign currency exchange rate fluctuations.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Operating Earnings</w:t>
      </w:r>
      <w:r>
        <w:rPr>
          <w:rFonts w:ascii="Times New Roman" w:cs="Times New Roman" w:eastAsia="Times New Roman" w:hAnsi="Times New Roman"/>
          <w:sz w:val="18"/>
          <w:szCs w:val="18"/>
          <w:color w:val="auto"/>
        </w:rPr>
        <w:t>. Operating earnings for the Professional segment in the first quarter of fiscal 2017 increased by 10.7 percent compared to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fiscal 2016, and increased slightly to 18.3 percent as a percentage of net sales in the first quarter of fiscal 2017 compared to 18.2 percent in the first quarter of fiscal 2016. This increase was primarily due to leveraging SG&amp;A expenses over higher sales volumes, but was partially offset by lower gross margins mainly due to unfavorable foreign currency exchange rate fluctuations and slightly higher commodity prices.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Worldwide net sales for the Residential segment in the first quarter of fiscal 2017 decreased 2.7 percent. The sales decrease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comparison was primarily impacted by a shift in demand for zero-turn radius riding mowers that was experienced in the comparable period last year. Demand for zero-turn radius riding mowers returned to a more normal shipment pattern in the first quarter of fiscal 2017. This decrease in net sales was partially offset by increased demand of our snow products due to more favorable snowfalls across the Midwest and increased shipments of our walk power mowers in southern climates of the U.S, when compared to the prior year.</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Operating Earnings</w:t>
      </w:r>
      <w:r>
        <w:rPr>
          <w:rFonts w:ascii="Times New Roman" w:cs="Times New Roman" w:eastAsia="Times New Roman" w:hAnsi="Times New Roman"/>
          <w:sz w:val="18"/>
          <w:szCs w:val="18"/>
          <w:color w:val="auto"/>
        </w:rPr>
        <w:t>. Operating earnings for the Residential segment in the first quarter of fiscal 2017 decreased 1.1 percent. Expressed as a percentage of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Residential segment operating earnings increased to 11.8 percent from 11.6 percent when compared to the first quarter of fiscal 2016. The operating earnings decrease for the first quarter comparison was primarily driven by higher SG&amp;A expenses, which were partially offset by higher gross margins. Gross margins increased for the quarter comparison, mainly due to productivity improvements, partially offset by unfavorable foreign currency exchange rate fluctuations and slightly higher commodity prices.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Segment</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Other segment include sales from our wholly owned domestic distribution company less sales from the Professional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segments to the distribution company. The Other segment net sales in the first quarter of fiscal 2017 increased slightly by $0.4 million.</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Operating Loss</w:t>
      </w:r>
      <w:r>
        <w:rPr>
          <w:rFonts w:ascii="Times New Roman" w:cs="Times New Roman" w:eastAsia="Times New Roman" w:hAnsi="Times New Roman"/>
          <w:sz w:val="18"/>
          <w:szCs w:val="18"/>
          <w:color w:val="auto"/>
        </w:rPr>
        <w:t>. Operating loss for the Other segment for the first quarter of fiscal 2017 increased $0.5 million. The increase in operating loss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fiscal 2017 comparison was primarily attributable to the sale of our Northwestern U.S. distribution company early in the first quarter of fiscal 2016.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remainder of fiscal 2017, we plan to place continued emphasis on improving asset utilization with a focus on reducing the amount of working capital in the supply chain, adjusting production plans, and maintaining or improving order replenishment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service levels to end users. Our average net working capital as a percentage of net sales for the twelve months ended February 3, 2017, was 15.1 percent compared to 16.4 percent for the twelve months ended January 29, 2016. We calculate our average net working capital as net receivables plus net inventories, less accounts payable for a twelve month period as percentage of rolling twelve month net sales.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Inventory levels were down $19.9 million, or 4.7 percent, as of the end of the first quarter of fiscal 2017 compared to the end of the first quarter of fiscal 2016 due to inventory control initiatives centered on production management, increased emphasis on finished goods inventory and improved monitoring of product replenishment to our end users. Receivables as of the end of the first quarter of fiscal 2017 decreased $6.4 million, or 3.4 percent, compared to the end of the first quarter of fiscal 2016 primarily due to timing of sales for channels not financed with Red Iron. Our average days sales outstanding for receivables decreased to 30.8 days based on sales for the last twelve months ended February 3, 2017, compared to 33.4 days for the twelve months ended January 29, 2016. In addition, accounts payable increased as of the end of our first quarter of fiscal 2017 compared to the end of the first quarter of fiscal 2016 by $21.2 million, or 10.0 percent, due to working capital initiatives and increased purchases of commodities and components.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We believe that anticipated cash generated from operations, together with our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 As of February 3, 2017, cash and short-term investments held by our foreign subsidiaries was approximately $98.4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approved a cash dividend of $0.175 per share for the first quarter of fiscal 2017 that was paid on January 12, 2017. This was an increase of 16.7 percent over our cash dividend of $0.15 per share for the first quarter of fiscal 2016.</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Cash Flow</w:t>
      </w:r>
      <w:r>
        <w:rPr>
          <w:rFonts w:ascii="Times New Roman" w:cs="Times New Roman" w:eastAsia="Times New Roman" w:hAnsi="Times New Roman"/>
          <w:sz w:val="18"/>
          <w:szCs w:val="18"/>
          <w:color w:val="auto"/>
        </w:rPr>
        <w:t>. Cash provided by operating activities for the first three months of fiscal 2017 increased $10.9 million compared to the first three months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This three month comparison change was mainly due to improved working capital. Cash used for investing activities increased $27.2 million during the first three months of fiscal 2017 compared to the first three months of fiscal 2016, primarily due to cash utilized for an acquisition in the first quarter of fiscal 2017. Cash used for financing activities for the first three months of fiscal 2017 increased $93.2 million compared to the first three months of fiscal 2016 mainly due to more cash used for common stock repurchases and common stock dividends paid, partially offset by fiscal 2016 short-term borrowings.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Credit Lines and Other Capital Resources</w:t>
      </w:r>
      <w:r>
        <w:rPr>
          <w:rFonts w:ascii="Times New Roman" w:cs="Times New Roman" w:eastAsia="Times New Roman" w:hAnsi="Times New Roman"/>
          <w:sz w:val="18"/>
          <w:szCs w:val="18"/>
          <w:color w:val="auto"/>
        </w:rPr>
        <w:t>. Our businesses are seasonal, with accounts receivable balances historically increasing between January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$9.1 million. These facilities bear interest at various rates depending on the rates in their respective countries of operation. As of February 3, 2017, we had no outstanding short-term debt under these lines of credit compared to $52.9 million outstanding short-term debt as of January 29, 2016. As of February 3, 2017, we had $6.8 million of outstanding letters of credit and $152.3 million of unutilized availability under our credit agreements.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3, 2017, we had $338.3 million outstanding in long-term debt that includes $100.0 million of 7.8% debentures due June 15, 2027, $123.7 million of 6.625% senior notes due May 1, 2037, a $107.3 million term loan, and partially offsetting debt issuance costs and deferred charges of $2.9 million related to our outstanding long-term debt. The term loan bears interest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a LIBOR rate (or other rates quoted by the Administrative Agent, Bank of America, N.A.) plus a basis point spread defined in the credit agreement. The term loan can be repaid in part or in full at any time without penalty, but in any event must be paid in full by October 2019. We also have outstanding $10.2 million in a note due to the former owners of the BOSS business.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revolving and term loan credit facility contains standard covenants, including, without limitation, financial covenants, such as the maintenance of minimum interest coverage and maximum debt to earnings before interest, taxes, depreciation, and amortization (“EBITDA”)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our debt to EBITDA ratio from the previous quarter compliance certificate is less than or equal to 3.25, provided that immediately after giving effect of any such proposed action, no default or event of default would exist. As of February 3, 2017, we were not limited in the amount for payments of cash dividends and stock repurchases. We were in compliance with all covenants related to our credit agreement for our revolving credit facility as of February 3, 2017, and we expect to be in compliance with all covenants during the remainder of fiscal 2017. If we were out of compliance with any debt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the first quarter of fiscal 2017 by Standard and Poor’s Ratings Group at BBB and by Moody’s Investors Service at Baa3.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 Arrangements and Contractual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Red Iron joint venture with TCFIF provides inventory financing to certain distributors and dealers of our products in the U.S. that enables them carry representative inventories of our products. Some independent international dealers continue to finance their products with a third party finance company. This third party financing company purchased $7.4 million of receivables from us during the first three months of fiscal 2017. As of February 3, 2017, $11.1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effects of inflation, deflation, and changing prices. In the first three months of fiscal 2017, average prices paid for commodities and components we purchase were slightly higher compared to the average prices paid for commodities and components in the first three months of fiscal 2016. We intend to continue to closely follow prices of commodities and components that affect our product lines, and we anticipate average prices paid for some commodities and components to be slightly higher for the remainder of fiscal 2017 as compared to fiscal 2016. Historically, we have mitigated, and we currently expect to continue to mitigate, commodity price increases, in part, by collaborating with suppliers, reviewing alternative sourcing options, substituting materials, engaging in internal cost reduction efforts, and increasing prices on some of our products, all as appropriate.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our most recent Annual Report on Form 10-K for the fiscal year ended October 31, 2016 for a discussion of our critical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to be Adopted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that updates the principles for recognizing revenue. The core principle of the guidance is that an entity should recognize revenue to depict the 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 (Topic 606)</w:t>
      </w:r>
      <w:r>
        <w:rPr>
          <w:rFonts w:ascii="Times New Roman" w:cs="Times New Roman" w:eastAsia="Times New Roman" w:hAnsi="Times New Roman"/>
          <w:sz w:val="18"/>
          <w:szCs w:val="18"/>
          <w:color w:val="auto"/>
        </w:rPr>
        <w:t>, which deferred the effective date of this standard by one year. We expect to adopt this guidance on November 1,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required, based on the new effective date. The guidance permits the use of either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retrospective or cumulative effect transition method. We have not yet selected a transition method but plan to select a transition method no later than the fourth quarter of fiscal 2017. We are currently assessing our contracts with customers and related financial disclosures to evaluate the impact of the amended guidance on our existing revenue recognition policies and procedures.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xml:space="preserve"> (Topic 330):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This amended guidance changes the measurement principle for inventory from the lower of cost or market to lower of cost and net realizable value. The amended guidance will become effective for us commencing in the first quarter of fiscal 2018. Early adoption is permitted. We are currently evaluating the impact of this amended guidance on our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among other things, requires lessees to recognize most leases on-balance sheet. The standard requires the recognition of lease assets and lease liabilities by lessees for those leases classified as operating leases under previous GAAP. The amended guidance will become effective for us commencing in the first quarter of fiscal 2020. Entities are required to use a modified retrospective approach, with early adoption permitted. We are reviewing the revised guidance and assessing the impact on our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which amends guidance on the classification of certain cash receipts and payments in the statement of cash flows. The amended guidance will become effective for us commencing in the first quarter of fiscal 2019. Early adoption is permitted. We are currently evaluating the impact of this new standard on our consolidated financial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 which clarifies the definition of a business in Accounting Standards Codification 805. The amended guidance will become effective for us commencing in the first quarter of fiscal 2019. Early adoption is permitted. We are currently evaluating the impact of this new standard.</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which simplifies the accounting for goodwill impairments by eliminating step 2 from the goodwill impairment test. The amended guidance will become effective for us commencing in the first quarter of fiscal 2021. We are currently evaluating the impact of this new standard.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all other recently issued accounting pronouncements from the FASB that we have not noted above, will not have a material impact on our consolidated financial statements or do not apply to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62"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jc w:val="both"/>
        <w:ind w:left="660"/>
        <w:spacing w:after="0" w:line="288" w:lineRule="auto"/>
        <w:rPr>
          <w:sz w:val="20"/>
          <w:szCs w:val="20"/>
          <w:color w:val="auto"/>
        </w:rPr>
      </w:pPr>
      <w:r>
        <w:rPr>
          <w:rFonts w:ascii="Times New Roman" w:cs="Times New Roman" w:eastAsia="Times New Roman" w:hAnsi="Times New Roman"/>
          <w:sz w:val="18"/>
          <w:szCs w:val="18"/>
          <w:color w:val="auto"/>
        </w:rPr>
        <w:t>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2" w:lineRule="exact"/>
        <w:rPr>
          <w:sz w:val="20"/>
          <w:szCs w:val="20"/>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have affected our operating results and could continue to result in declines in our reported net sales and net earnings.</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or disruption in the availability, of raw materials, components, and parts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or increased tariffs, duties or other charges as a result of changes to international trade agreements may adversely affect our profit margins and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Professional segment net sales are dependent upon certain factors, including golf course revenues and the amount of investment in golf course renovations and improvements; the level of new golf course development and golf course closures; the level of property owners who outsource their lawn care and snow and ice removal activities; the level of residential and commercial construction; continued acceptance of and demand for micro-irrigation solutions for agricultural markets; the timing and occurrence of winter weather conditions; demand for our products in the rental and specialty construction market; availability of cash or credit to Professional segment customers on acceptable terms to finance new product purchases; and the amount of government revenues, budget, and spending levels for grounds maintenance equipment.</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Residential segment net sales are dependent upon consumers buying our products at dealers, mass retailers, and home centers, such as The Home Depot, Inc.; the amount of product placement at mass retailers and home centers; consumer confidence and spending levels, and changing buying patterns of customers.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 impact our financial performance, including profit margins and net earnings, as our Professional segment products generally have higher profit margins than our Residential segment products.</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grow our business in part through acquisitions and alliances, strong customer relations, and new joint ventures and partnerships, which could be risky and harm our business reputation, financial condition, and operating results, particularly if we are not able to successfully integrate such acquisitions and alliances, joint ventures, and partnerships. If previous or future acquisitions do not produce the expected results or integration into our operations takes more time than expected, our business could be harmed. We cannot guarantee previous or future acquisitions, alliances, joint ventures or partnerships will in fact produce any benefits.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levels to meet our customers' demand for our products is important for our business. If we underestimate or overestimate demand for our products and do not maintain appropriate inventory levels, our net sales and/or working capital could be negatively impacted.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policy changes between the U.S. and other countries, weakened international economic conditions, or the United Kingdom’s process for exiting the European Union;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net sales and business could suffer.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manufacture our products at and distribute our products from several locations in the United States and internationally. Any disruption at any of these facilities or our inability to cost-effectively expand existing facilities, open and manage new facilities, and/or move production between manufacturing facilities could adversely affect our business and operating results.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labor needs fluctuate throughout the year, with a sharp increase in the number of production staff, some of which may be new to our manufacturing processes and safety protocols, during periods of peak manufacturing activity and any failure by our production labor force to adequately and safely perform their jobs could adversely affect our business, operating results, and reputation.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information systems are critical to our business. If our information systems or those of our business partners or third party service providers fail to adequately perform, or if we, our business partners or third party service providers experience an interruption in their operation, including by theft, loss or damage from unauthorized access, security breaches, natural or man-made disasters, cyber attacks, computer viruses, phishing, power loss or other disruptive events, our business, reputation, financial condition, and operating results could be adversely affected.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in the U.S. or other countries in which we conduct business also may adversely affect our operating results, including, (i) taxation and tax policy changes, tax rate changes, new tax laws, revised tax law interpretations, which individually or in combination may cause our effective tax rate to increase,</w:t>
      </w:r>
    </w:p>
    <w:p>
      <w:pPr>
        <w:spacing w:after="0" w:line="2" w:lineRule="exact"/>
        <w:rPr>
          <w:rFonts w:ascii="Times New Roman" w:cs="Times New Roman" w:eastAsia="Times New Roman" w:hAnsi="Times New Roman"/>
          <w:sz w:val="18"/>
          <w:szCs w:val="18"/>
          <w:color w:val="auto"/>
        </w:rPr>
      </w:pPr>
    </w:p>
    <w:p>
      <w:pPr>
        <w:ind w:left="660" w:hanging="4"/>
        <w:spacing w:after="0" w:line="250" w:lineRule="auto"/>
        <w:tabs>
          <w:tab w:leader="none" w:pos="9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laws or regulations, which may cause us to incur higher employee healthcare and other costs, or (iii) changes to international trade agreements that could result in additional duties or other charges on raw materials, whole goods or components we import.</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climate change regulations may adversely impact our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enactments could impact the competitive landscape within our markets and affect demand for our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“conflict minerals” rules promulgated by the SEC, which has imposed costs on us and could raise reputational and other risks. We have, and we expect that we will continue to, incur additional costs and expenses, which may be significant in order to comply with these rules. Since our supply chain is complex, ultimately we may not be able to sufficiently verify the origin of the conflict minerals used in our products through the due diligence procedures that we implement or we may identify through our due diligence procedures that some or all of the conflict minerals in our products are sourced from covered regions, which may adversely affect our reputation with our customers, shareholders, and other stakeholders.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product liability claims, product quality issues, and other litigation from time to time that could adversely affect our business, reputation, operating results, or financial condition.</w:t>
      </w:r>
    </w:p>
    <w:p>
      <w:pPr>
        <w:jc w:val="both"/>
        <w:ind w:left="660" w:right="44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Red Iron joint venture, we are dependent upon the joint venture to provide competitive inventory financing programs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expanding and renovating our corporate facilities and could experience disruptions to our operations in connection with such efforts.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number of other factors that may adversely affect our operating results, financial condition, or business, such as: our ability to achieve the revenue growth, operating earnings, and working capital goals of our “Destination PRIME” initiative or any quarterly financial guidance; natural or man-made disasters or global pandemics that may result in shortages of raw materials and components, higher fuel and commodity costs, delays in shipments to customers, and increases in insurance premiums; financial viability of our distributors and dealers, changes in distributor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jc w:val="both"/>
        <w:ind w:left="660"/>
        <w:spacing w:after="0" w:line="305" w:lineRule="auto"/>
        <w:rPr>
          <w:sz w:val="20"/>
          <w:szCs w:val="20"/>
          <w:color w:val="auto"/>
        </w:rPr>
      </w:pPr>
      <w:r>
        <w:rPr>
          <w:rFonts w:ascii="Times New Roman" w:cs="Times New Roman" w:eastAsia="Times New Roman" w:hAnsi="Times New Roman"/>
          <w:sz w:val="18"/>
          <w:szCs w:val="18"/>
          <w:color w:val="auto"/>
        </w:rPr>
        <w:t>ownership, changes in channel distribution of our products, relationships with our distribution channel partners, our success in partnering with new dealers, and our customers’ ability to pay amounts owed to us; a decline in retail sales or financial difficulties of our distributors or dealers, which would cause us to repurchase financed product; new or revised accounting standards, including standards related to stock-based compensation and revenue recognition; and the threat of terrorist acts and war that may result in heightened security and higher costs for import and export shipments of components or finished goods, reduced leisure travel, and contraction of the U.S. and world economies.</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 See our most recent Annual Report on Form 10-K for discussion on equity market risk.</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Foreign Currency Exchange Rate Risk</w:t>
      </w:r>
      <w:r>
        <w:rPr>
          <w:rFonts w:ascii="Times New Roman" w:cs="Times New Roman" w:eastAsia="Times New Roman" w:hAnsi="Times New Roman"/>
          <w:sz w:val="18"/>
          <w:szCs w:val="18"/>
          <w:color w:val="auto"/>
        </w:rPr>
        <w:t>. In the normal course of business, we actively manage the exposure of our foreign currency exchange rate market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entering into various hedging instruments, authorized under company policies that place controls on these activities, with counterparties that are highly rated financial institutions. Our hedging activities involve primarily the use of forward currency contracts. We may also utilize cross currency swaps to offset intercompany loan exposures. We use derivative instruments only in an attempt to limit underlying exposure from currency fluctuations and to minimize earnings and cash flow volatility associated with foreign currency exchange rate fluctuations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Renminbi, the Romanian New Leu against the U.S. dollar, and the Romanian New Leu against the Euro, including exposure as a result of the volatility and uncertainty that may arise as a result of the United Kingdom’s process for exiting the European Union.</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 into various contracts, primarily forward contracts that change in value as foreign currency exchange rates fluctuate,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Note 12 entitled “Derivative Instruments and Hedging Activities.”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foreign currency exchange contracts held by us have maturity dates in fiscal 2017 and 2018. All items are non-trading and stated in U.S. dollars. Some derivative instruments we enter into do not meet the cash flow hedging criteria; therefore, changes in fair value are recorded in other income, net.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average contracted rate, notional amount, pre-tax value of derivative instruments in accumulated other comprehensive loss, and fair value impact of derivative instruments in other income, net as of and for the fiscal period ended February 3,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 except average</w:t>
            </w:r>
          </w:p>
        </w:tc>
        <w:tc>
          <w:tcPr>
            <w:tcW w:w="2340" w:type="dxa"/>
            <w:vAlign w:val="bottom"/>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vMerge w:val="restart"/>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36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Value in Accumulated</w:t>
            </w:r>
          </w:p>
        </w:tc>
        <w:tc>
          <w:tcPr>
            <w:tcW w:w="14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3560" w:type="dxa"/>
            <w:vAlign w:val="bottom"/>
            <w:vMerge w:val="continue"/>
          </w:tcPr>
          <w:p>
            <w:pPr>
              <w:spacing w:after="0"/>
              <w:rPr>
                <w:sz w:val="12"/>
                <w:szCs w:val="12"/>
                <w:color w:val="auto"/>
              </w:rPr>
            </w:pPr>
          </w:p>
        </w:tc>
        <w:tc>
          <w:tcPr>
            <w:tcW w:w="2340" w:type="dxa"/>
            <w:vAlign w:val="bottom"/>
          </w:tcPr>
          <w:p>
            <w:pPr>
              <w:jc w:val="center"/>
              <w:ind w:left="117"/>
              <w:spacing w:after="0" w:line="149" w:lineRule="exact"/>
              <w:rPr>
                <w:sz w:val="20"/>
                <w:szCs w:val="20"/>
                <w:color w:val="auto"/>
              </w:rPr>
            </w:pPr>
            <w:r>
              <w:rPr>
                <w:rFonts w:ascii="Times New Roman" w:cs="Times New Roman" w:eastAsia="Times New Roman" w:hAnsi="Times New Roman"/>
                <w:sz w:val="14"/>
                <w:szCs w:val="14"/>
                <w:b w:val="1"/>
                <w:bCs w:val="1"/>
                <w:color w:val="auto"/>
              </w:rPr>
              <w:t>Contracted</w:t>
            </w:r>
          </w:p>
        </w:tc>
        <w:tc>
          <w:tcPr>
            <w:tcW w:w="1680" w:type="dxa"/>
            <w:vAlign w:val="bottom"/>
            <w:vMerge w:val="continue"/>
          </w:tcPr>
          <w:p>
            <w:pPr>
              <w:spacing w:after="0"/>
              <w:rPr>
                <w:sz w:val="12"/>
                <w:szCs w:val="12"/>
                <w:color w:val="auto"/>
              </w:rPr>
            </w:pPr>
          </w:p>
        </w:tc>
        <w:tc>
          <w:tcPr>
            <w:tcW w:w="236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4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Impact (Loss)</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contracted rate)</w:t>
            </w:r>
          </w:p>
        </w:tc>
        <w:tc>
          <w:tcPr>
            <w:tcW w:w="2340" w:type="dxa"/>
            <w:vAlign w:val="bottom"/>
            <w:tcBorders>
              <w:bottom w:val="single" w:sz="8" w:color="auto"/>
            </w:tcBorders>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36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Buy US dollar/Sell Australian dollar</w:t>
            </w:r>
          </w:p>
        </w:tc>
        <w:tc>
          <w:tcPr>
            <w:tcW w:w="2340" w:type="dxa"/>
            <w:vAlign w:val="bottom"/>
            <w:tcBorders>
              <w:bottom w:val="single" w:sz="8" w:color="CCEEFF"/>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0.7478</w:t>
            </w:r>
          </w:p>
        </w:tc>
        <w:tc>
          <w:tcPr>
            <w:tcW w:w="168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41,817.7</w:t>
            </w:r>
          </w:p>
        </w:tc>
        <w:tc>
          <w:tcPr>
            <w:tcW w:w="23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14.9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Buy US dollar/Sell Canadian dollar</w:t>
            </w:r>
          </w:p>
        </w:tc>
        <w:tc>
          <w:tcPr>
            <w:tcW w:w="234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1.3008</w:t>
            </w:r>
          </w:p>
        </w:tc>
        <w:tc>
          <w:tcPr>
            <w:tcW w:w="16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6,342.4</w:t>
            </w:r>
          </w:p>
        </w:tc>
        <w:tc>
          <w:tcPr>
            <w:tcW w:w="236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18.1</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Buy US dollar/Sell Euro</w:t>
            </w:r>
          </w:p>
        </w:tc>
        <w:tc>
          <w:tcPr>
            <w:tcW w:w="2340" w:type="dxa"/>
            <w:vAlign w:val="bottom"/>
            <w:tcBorders>
              <w:bottom w:val="single" w:sz="8" w:color="CCEEFF"/>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1.1178</w:t>
            </w:r>
          </w:p>
        </w:tc>
        <w:tc>
          <w:tcPr>
            <w:tcW w:w="168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67,334.4</w:t>
            </w:r>
          </w:p>
        </w:tc>
        <w:tc>
          <w:tcPr>
            <w:tcW w:w="23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1,312.9</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1,537.1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Buy US dollar/Sell British pound</w:t>
            </w:r>
          </w:p>
        </w:tc>
        <w:tc>
          <w:tcPr>
            <w:tcW w:w="234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1.2928</w:t>
            </w:r>
          </w:p>
        </w:tc>
        <w:tc>
          <w:tcPr>
            <w:tcW w:w="16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38,345.9</w:t>
            </w:r>
          </w:p>
        </w:tc>
        <w:tc>
          <w:tcPr>
            <w:tcW w:w="236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311.0</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484.5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Buy Mexican peso/Sell US dollar</w:t>
            </w:r>
          </w:p>
        </w:tc>
        <w:tc>
          <w:tcPr>
            <w:tcW w:w="23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20.1013</w:t>
            </w:r>
          </w:p>
        </w:tc>
        <w:tc>
          <w:tcPr>
            <w:tcW w:w="16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21,035.9</w:t>
            </w:r>
          </w:p>
        </w:tc>
        <w:tc>
          <w:tcPr>
            <w:tcW w:w="2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(1,345.7)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Our market risk on interest rates relates primarily to LIBOR-based short-term debt and a term loan from commercial banks,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increase in fair value of our fixed-rate long-term debt resulting from a potential decrease in interest rates. We have no earnings or cash flow exposure due to market risks on our fixed-rate long-term debt obligations.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Some raw materials used in our products are exposed to commodity price changes. The primary commodity price exposures are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steel, aluminum, petroleum and natural gas-based resins,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 into fixed-price contracts for future purchases of natural gas in the normal course of operations as a means to manage natural gas price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first quarter ended February 3, 2017 that has materially affected, or is reasonably likely to materially affect, our internal control over financial reporting.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legal proceedings, see Note 10 in our Notes to Condensed Consolidated Financial Statements under the heading “Contingencies - Litigation” included in Item 1 of this Quarterly Report on Form 10-Q, which is incorporated into this Part II. Item 1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first quarter of fiscal 2017 stock repurchase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7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80" w:type="dxa"/>
            <w:vAlign w:val="bottom"/>
          </w:tcPr>
          <w:p>
            <w:pPr>
              <w:spacing w:after="0"/>
              <w:rPr>
                <w:sz w:val="13"/>
                <w:szCs w:val="13"/>
                <w:color w:val="auto"/>
              </w:rPr>
            </w:pPr>
          </w:p>
        </w:tc>
        <w:tc>
          <w:tcPr>
            <w:tcW w:w="1480" w:type="dxa"/>
            <w:vAlign w:val="bottom"/>
            <w:vMerge w:val="restart"/>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50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7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3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 Purchased As</w:t>
            </w:r>
          </w:p>
        </w:tc>
        <w:tc>
          <w:tcPr>
            <w:tcW w:w="250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that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7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2"/>
                <w:szCs w:val="12"/>
                <w:color w:val="auto"/>
              </w:rPr>
            </w:pPr>
          </w:p>
        </w:tc>
        <w:tc>
          <w:tcPr>
            <w:tcW w:w="1480" w:type="dxa"/>
            <w:vAlign w:val="bottom"/>
          </w:tcPr>
          <w:p>
            <w:pPr>
              <w:jc w:val="center"/>
              <w:ind w:right="439"/>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50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Pr>
          <w:p>
            <w:pPr>
              <w:spacing w:after="0"/>
              <w:rPr>
                <w:sz w:val="12"/>
                <w:szCs w:val="12"/>
                <w:color w:val="auto"/>
              </w:rPr>
            </w:pPr>
          </w:p>
        </w:tc>
        <w:tc>
          <w:tcPr>
            <w:tcW w:w="1480" w:type="dxa"/>
            <w:vAlign w:val="bottom"/>
          </w:tcPr>
          <w:p>
            <w:pPr>
              <w:jc w:val="center"/>
              <w:ind w:right="439"/>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50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(1,2)</w:t>
            </w: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(1,2)</w:t>
            </w:r>
          </w:p>
        </w:tc>
        <w:tc>
          <w:tcPr>
            <w:tcW w:w="250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Programs (1,2)</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1, 2016 through</w:t>
            </w:r>
          </w:p>
        </w:tc>
        <w:tc>
          <w:tcPr>
            <w:tcW w:w="1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 2016</w:t>
            </w: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296,400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48.22</w:t>
            </w:r>
          </w:p>
        </w:tc>
        <w:tc>
          <w:tcPr>
            <w:tcW w:w="2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296,400</w:t>
            </w:r>
          </w:p>
        </w:tc>
        <w:tc>
          <w:tcPr>
            <w:tcW w:w="25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7,396,315</w:t>
            </w:r>
          </w:p>
        </w:tc>
        <w:tc>
          <w:tcPr>
            <w:tcW w:w="0" w:type="dxa"/>
            <w:vAlign w:val="bottom"/>
          </w:tcPr>
          <w:p>
            <w:pPr>
              <w:spacing w:after="0"/>
              <w:rPr>
                <w:sz w:val="1"/>
                <w:szCs w:val="1"/>
                <w:color w:val="auto"/>
              </w:rPr>
            </w:pPr>
          </w:p>
        </w:tc>
      </w:tr>
      <w:tr>
        <w:trPr>
          <w:trHeight w:val="225"/>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 2016 through</w:t>
            </w: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30, 2016</w:t>
            </w:r>
          </w:p>
        </w:tc>
        <w:tc>
          <w:tcPr>
            <w:tcW w:w="17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445,661</w:t>
            </w:r>
          </w:p>
        </w:tc>
        <w:tc>
          <w:tcPr>
            <w:tcW w:w="380" w:type="dxa"/>
            <w:vAlign w:val="bottom"/>
          </w:tcPr>
          <w:p>
            <w:pPr>
              <w:spacing w:after="0"/>
              <w:rPr>
                <w:sz w:val="20"/>
                <w:szCs w:val="20"/>
                <w:color w:val="auto"/>
              </w:rPr>
            </w:pP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55.90</w:t>
            </w:r>
          </w:p>
        </w:tc>
        <w:tc>
          <w:tcPr>
            <w:tcW w:w="22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445,661</w:t>
            </w:r>
          </w:p>
        </w:tc>
        <w:tc>
          <w:tcPr>
            <w:tcW w:w="25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6,950,654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 through February</w:t>
            </w:r>
          </w:p>
        </w:tc>
        <w:tc>
          <w:tcPr>
            <w:tcW w:w="1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3, 2017</w:t>
            </w: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493,883</w:t>
            </w:r>
          </w:p>
        </w:tc>
        <w:tc>
          <w:tcPr>
            <w:tcW w:w="3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57.42</w:t>
            </w:r>
          </w:p>
        </w:tc>
        <w:tc>
          <w:tcPr>
            <w:tcW w:w="2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492,124</w:t>
            </w:r>
          </w:p>
        </w:tc>
        <w:tc>
          <w:tcPr>
            <w:tcW w:w="25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6,458,530</w:t>
            </w:r>
          </w:p>
        </w:tc>
        <w:tc>
          <w:tcPr>
            <w:tcW w:w="0" w:type="dxa"/>
            <w:vAlign w:val="bottom"/>
          </w:tcPr>
          <w:p>
            <w:pPr>
              <w:spacing w:after="0"/>
              <w:rPr>
                <w:sz w:val="1"/>
                <w:szCs w:val="1"/>
                <w:color w:val="auto"/>
              </w:rPr>
            </w:pPr>
          </w:p>
        </w:tc>
      </w:tr>
      <w:tr>
        <w:trPr>
          <w:trHeight w:val="237"/>
        </w:trPr>
        <w:tc>
          <w:tcPr>
            <w:tcW w:w="3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1,235,944</w:t>
            </w:r>
          </w:p>
        </w:tc>
        <w:tc>
          <w:tcPr>
            <w:tcW w:w="3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rPr>
              <w:t>54.67</w:t>
            </w:r>
          </w:p>
        </w:tc>
        <w:tc>
          <w:tcPr>
            <w:tcW w:w="2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1,234,185</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411" w:lineRule="auto"/>
        <w:tabs>
          <w:tab w:leader="none" w:pos="17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On December 3, 2015, the company’s Board of Directors authorized the repurchase of an additional 8,000,000 shares of the company’s common stock in open-market or in privately negotiated transactions. This program has no expiration date but may be terminated by the company’s Board of Directors at any time. The company repurchased 1,234,185 shares during the period indicated above under this program and 6,458,530 shares remain available to repurchase under this program.</w:t>
      </w:r>
    </w:p>
    <w:p>
      <w:pPr>
        <w:spacing w:after="0" w:line="76" w:lineRule="exact"/>
        <w:rPr>
          <w:rFonts w:ascii="Times New Roman" w:cs="Times New Roman" w:eastAsia="Times New Roman" w:hAnsi="Times New Roman"/>
          <w:sz w:val="21"/>
          <w:szCs w:val="21"/>
          <w:color w:val="auto"/>
          <w:vertAlign w:val="superscript"/>
        </w:rPr>
      </w:pPr>
    </w:p>
    <w:p>
      <w:pPr>
        <w:jc w:val="both"/>
        <w:ind w:firstLine="8"/>
        <w:spacing w:after="0" w:line="282" w:lineRule="auto"/>
        <w:tabs>
          <w:tab w:leader="none" w:pos="17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1,759 units (shares) of the company’s common stock purchased in open-market transactions at an average price of $56.34 per share on behalf of a rabbi trust formed to pay benefit obligations of the company to participants in deferred compensation plans. These 1,759 shares were not repurchased under the company’s repurchase program described in 1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7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r>
      <w:tr>
        <w:trPr>
          <w:trHeight w:val="48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9760" w:type="dxa"/>
            <w:vAlign w:val="bottom"/>
          </w:tcPr>
          <w:p>
            <w:pPr>
              <w:spacing w:after="0"/>
              <w:rPr>
                <w:sz w:val="24"/>
                <w:szCs w:val="24"/>
                <w:color w:val="auto"/>
              </w:rPr>
            </w:pPr>
          </w:p>
        </w:tc>
      </w:tr>
      <w:tr>
        <w:trPr>
          <w:trHeight w:val="378"/>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Exhibit No.</w:t>
            </w: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522"/>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 (1)</w:t>
            </w:r>
          </w:p>
        </w:tc>
        <w:tc>
          <w:tcPr>
            <w:tcW w:w="36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 Amendment to Agreement to Form Joint Venture dated November 29, 2016 by and between The Toro Company and TCF</w:t>
            </w: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Finance, Inc. (incorporated by reference to Exhibit 2.1 to Registrant’s Current Report on Form 8-K dated November 29,</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2016, Commission File No. 1-8649).*</w:t>
            </w:r>
          </w:p>
        </w:tc>
      </w:tr>
      <w:tr>
        <w:trPr>
          <w:trHeight w:val="576"/>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 (1)</w:t>
            </w:r>
          </w:p>
        </w:tc>
        <w:tc>
          <w:tcPr>
            <w:tcW w:w="36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Third Amendment to Limited Liability Company Agreement of Red Iron Acceptance, LLC dated November 29, 2016 by and</w:t>
            </w: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between Red Iron Holding Corporation and TCFIF Joint Venture I, LLC (incorporated by reference to Exhibit 2.2 to Registrant’s</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Report on Form 8-K dated November 29, 2016, Commission File No. 1-8649).*</w:t>
            </w:r>
          </w:p>
        </w:tc>
      </w:tr>
      <w:tr>
        <w:trPr>
          <w:trHeight w:val="522"/>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 (1)</w:t>
            </w:r>
          </w:p>
        </w:tc>
        <w:tc>
          <w:tcPr>
            <w:tcW w:w="36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Fourth Amended and Restated Program and Repurchase Agreement dated as of November 29, 2016 by and between The Toro</w:t>
            </w: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Company and Red Iron Acceptance, LLC (incorporated by reference to Exhibit 2.3 to Registrant’s Current Report on Form 8-K dated</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29, 2016, Commission File No. 1-8649).</w:t>
            </w:r>
          </w:p>
        </w:tc>
      </w:tr>
      <w:tr>
        <w:trPr>
          <w:trHeight w:val="576"/>
        </w:trPr>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3.1 and 4.1</w:t>
            </w: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Restated Certificate of Incorporation of The Toro Company (incorporated by reference to Exhibit 3.1 to Registrant’s Current Report</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Form 8-K dated June 17, 2008, Commission File No. 1-8649).</w:t>
            </w:r>
          </w:p>
        </w:tc>
      </w:tr>
      <w:tr>
        <w:trPr>
          <w:trHeight w:val="576"/>
        </w:trPr>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3.2 and 4.2</w:t>
            </w: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Amendment to Restated Certificate of Incorporation of The Toro Company (incorporated by reference to Exhibit 3.1 to</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Registrant’s Current Report on Form 8-K dated March 12, 2013, Commission File No. 1-8649).</w:t>
            </w:r>
          </w:p>
        </w:tc>
      </w:tr>
      <w:tr>
        <w:trPr>
          <w:trHeight w:val="522"/>
        </w:trPr>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3.3 and 4.3</w:t>
            </w: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Bylaws of The Toro Company (incorporated by reference to Exhibit 3.1 to Registrant’s Current Report on</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8-K dated July 19, 2016, Commission File No. 1-8649).</w:t>
            </w:r>
          </w:p>
        </w:tc>
      </w:tr>
      <w:tr>
        <w:trPr>
          <w:trHeight w:val="522"/>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Specimen Form of Common Stock Certificate (incorporated by reference to Exhibit 4(c) to Registrant’s Quarterly Report on</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10-Q for the fiscal quarter ended August 1, 2008, Commission File No. 1-8649).</w:t>
            </w:r>
          </w:p>
        </w:tc>
      </w:tr>
      <w:tr>
        <w:trPr>
          <w:trHeight w:val="522"/>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7.80% Debentures due June 15, 2027 (incorporated by reference to Exhibit 4(a) to Registrant’s Current Report on</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8-K dated June 24, 1997, Commission File No. 1-8649).</w:t>
            </w:r>
          </w:p>
        </w:tc>
      </w:tr>
      <w:tr>
        <w:trPr>
          <w:trHeight w:val="522"/>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Indenture dated as of April 20, 2007, between Registrant and The Bank of New York Trust Company, N.A., as Trustee, relating to</w:t>
            </w: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 Toro Company’s 6.625% Notes due May 1, 2037 (incorporated by reference to Exhibit 4.3 to Registrant’s Registration Statement</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Form S-3 filed with the Securities and Exchange Commission on April 23, 2007, Registration No. 333-142282).</w:t>
            </w:r>
          </w:p>
        </w:tc>
      </w:tr>
      <w:tr>
        <w:trPr>
          <w:trHeight w:val="522"/>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Supplemental Indenture dated as of April 26, 2007, between Registrant and The Bank of New York Trust Company, N.A., as</w:t>
            </w: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relating to The Toro Company’s 6.625% Notes due May 1, 2037 (incorporated by reference to Exhibit 4.1 to Registrant’s</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Report on Form 8-K dated April 23, 2007, Commission File No. 1-8649).</w:t>
            </w:r>
          </w:p>
        </w:tc>
      </w:tr>
      <w:tr>
        <w:trPr>
          <w:trHeight w:val="522"/>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The Toro Company 6.625% Note due May 1, 2037 (incorporated by reference to Exhibit 4.2 to Registrant’s Current Report</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Form 8-K dated April 23, 2007, Commission File No. 1-8649).</w:t>
            </w:r>
          </w:p>
        </w:tc>
      </w:tr>
      <w:tr>
        <w:trPr>
          <w:trHeight w:val="576"/>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Toro Company Amended and Restated 2010 Equity and Incentive Plan, as amended and restated (incorporated by reference to</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 10.1 to Registrant’s Annual Report on Form 10-K for the fiscal year ended October 31, 2016, Commission File No. 1-8649).</w:t>
            </w:r>
          </w:p>
        </w:tc>
      </w:tr>
      <w:tr>
        <w:trPr>
          <w:trHeight w:val="576"/>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Nonemployee Director Stock Option Agreement between The Toro Company and its Non-Employee Directors under The</w:t>
            </w: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Toro Company Amended and Restated 2010 Equity and Incentive Plan, as amended and restated (incorporated by reference to</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Exhibit 10.11 to Registrant’s Annual Report on Form 10-K for the fiscal year ended October 31, 2016, Commission File No. 1-8649).</w:t>
            </w: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08" w:right="25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88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ind w:left="50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Nonqualified Stock Option Agreement between The Toro Company and its officers and other employees under The Toro</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Amended and Restated 2010 Equity and Incentive Plan, as amended and restated (incorporated by reference to Exhibit</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10.14 to Registrant’s Annual Report on Form 10-K for the fiscal year ended October 31, 2016, Commission File No. 1-8649).</w:t>
            </w:r>
          </w:p>
        </w:tc>
      </w:tr>
      <w:tr>
        <w:trPr>
          <w:trHeight w:val="576"/>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Performance Share Award Agreement between The Toro Company and its officers and other employees under The Toro</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Amended and Restated 2010 Equity and Incentive Plan, as amended and restated (incorporated by reference to Exhibit</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10.17 to Registrant’s Annual Report on Form 10-K for the fiscal year ended October 31, 2016, Commission File No. 1-8649).</w:t>
            </w:r>
          </w:p>
        </w:tc>
      </w:tr>
      <w:tr>
        <w:trPr>
          <w:trHeight w:val="576"/>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Annual Performance Award Agreement between The Toro Company and its officers and other employees under The Toro</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Amended and Restated 2010 Equity and Incentive Plan, as amended and restated (incorporated by reference to Exhibit</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10.18 to Registrant’s Annual Report on Form 10-K for the fiscal year ended October 31, 2016, Commission File No. 1-8649).</w:t>
            </w:r>
          </w:p>
        </w:tc>
      </w:tr>
      <w:tr>
        <w:trPr>
          <w:trHeight w:val="576"/>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Restricted Stock Award Agreement between The Toro Company and its officers and other employees under The Toro</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Amended and Restated 2010 Equity and Incentive Plan, as amended and restated (incorporated by reference to Exhibit</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10.19 to Registrant’s Annual Report on Form 10-K for the fiscal year ended October 31, 2016, Commission File No. 1-8649).</w:t>
            </w:r>
          </w:p>
        </w:tc>
      </w:tr>
      <w:tr>
        <w:trPr>
          <w:trHeight w:val="576"/>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Restricted Stock Unit Award Agreement between The Toro Company and its officers and other employees under The Toro</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Amended and Restated 2010 Equity and Incentive Plan, as amended and restated (incorporated by reference to Exhibit</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10.21 to Registrant’s Annual Report on Form 10-K for the fiscal year ended October 31, 2016, Commission File No. 1-8649).</w:t>
            </w:r>
          </w:p>
        </w:tc>
      </w:tr>
      <w:tr>
        <w:trPr>
          <w:trHeight w:val="594"/>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Toro Company Supplemental Benefit Plan, Amended and Restated Effective January 1, 2017 (filed herewith).</w:t>
            </w:r>
          </w:p>
        </w:tc>
      </w:tr>
      <w:tr>
        <w:trPr>
          <w:trHeight w:val="594"/>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Toro Company Deferred Compensation Plan, Amended and Restated Effective January 1, 2017 (filed herewith).</w:t>
            </w:r>
          </w:p>
        </w:tc>
      </w:tr>
      <w:tr>
        <w:trPr>
          <w:trHeight w:val="594"/>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Toro Company Deferred Compensation Plan for Officers, Amended and Restated Effective January 1, 2017 (filed herewith).</w:t>
            </w:r>
          </w:p>
        </w:tc>
      </w:tr>
      <w:tr>
        <w:trPr>
          <w:trHeight w:val="576"/>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Toro Company Deferred Compensation Plan for Non-Employee Directors, Amended and Restated Effective January 1, 2017</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76"/>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Amendment to Credit and Security Agreement dated November 29, 2016 by and between Red Iron Acceptance, LLC and</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TCF Inventory Finance, Inc. (incorporated by reference to Exhibit 10.1 to Registrant’s Current Report on Form 8-K dated November</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29, 2016, Commission File No. 1-8649).</w:t>
            </w:r>
          </w:p>
        </w:tc>
      </w:tr>
      <w:tr>
        <w:trPr>
          <w:trHeight w:val="576"/>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(Section 302 of the Sarbanes-Oxley Act of 2002) (filed</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herewith).</w:t>
            </w:r>
          </w:p>
        </w:tc>
      </w:tr>
      <w:tr>
        <w:trPr>
          <w:trHeight w:val="540"/>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(Section 302 of the Sarbanes-Oxley Act of 2002) (filed herewith).</w:t>
            </w:r>
          </w:p>
        </w:tc>
      </w:tr>
    </w:tbl>
    <w:p>
      <w:pPr>
        <w:spacing w:after="0" w:line="306" w:lineRule="exact"/>
        <w:rPr>
          <w:sz w:val="20"/>
          <w:szCs w:val="20"/>
          <w:color w:val="auto"/>
        </w:rPr>
      </w:pPr>
    </w:p>
    <w:p>
      <w:pPr>
        <w:ind w:left="1760" w:right="20" w:hanging="1266"/>
        <w:spacing w:after="0" w:line="282" w:lineRule="auto"/>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 the Sarbanes-Oxley Act of 2002 (furnished herewith).</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08"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1760" w:right="20" w:hanging="1266"/>
        <w:spacing w:after="0" w:line="261" w:lineRule="auto"/>
        <w:tabs>
          <w:tab w:leader="none" w:pos="1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Toro Company’s Quarterly Report on Form 10-Q for the quarterly period ended February 3, 2017, filed with the SEC on March 8, 2017, formatted in eXtensible Business Reporting Language (XBRL):</w:t>
      </w:r>
    </w:p>
    <w:p>
      <w:pPr>
        <w:ind w:left="2000" w:hanging="250"/>
        <w:spacing w:after="0"/>
        <w:tabs>
          <w:tab w:leader="none" w:pos="20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Earnings for the three-month periods ended February 3, 2017 and January 29, 2016,</w:t>
      </w:r>
    </w:p>
    <w:p>
      <w:pPr>
        <w:spacing w:after="0" w:line="9" w:lineRule="exact"/>
        <w:rPr>
          <w:rFonts w:ascii="Times New Roman" w:cs="Times New Roman" w:eastAsia="Times New Roman" w:hAnsi="Times New Roman"/>
          <w:sz w:val="18"/>
          <w:szCs w:val="18"/>
          <w:color w:val="auto"/>
        </w:rPr>
      </w:pPr>
    </w:p>
    <w:p>
      <w:pPr>
        <w:jc w:val="both"/>
        <w:ind w:left="1760" w:right="20" w:hanging="10"/>
        <w:spacing w:after="0" w:line="250" w:lineRule="auto"/>
        <w:tabs>
          <w:tab w:leader="none" w:pos="207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Comprehensive Income for the three-month periods ended February 3, 2017 and January 29, 2016, (iii) Condensed Consolidated Balance Sheets as of February 3, 2017, January 29, 2016, and October 31, 2016,</w:t>
      </w:r>
    </w:p>
    <w:p>
      <w:pPr>
        <w:ind w:left="1760" w:right="40" w:hanging="10"/>
        <w:spacing w:after="0" w:line="261" w:lineRule="auto"/>
        <w:tabs>
          <w:tab w:leader="none" w:pos="208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 of Cash Flows for the three-month periods ended February 3, 2017 and January 29, 2016, and (v) Notes to Condensed Consolidated Financial Statements (filed herewith).</w:t>
      </w:r>
    </w:p>
    <w:p>
      <w:pPr>
        <w:spacing w:after="0" w:line="112" w:lineRule="exact"/>
        <w:rPr>
          <w:rFonts w:ascii="Times New Roman" w:cs="Times New Roman" w:eastAsia="Times New Roman" w:hAnsi="Times New Roman"/>
          <w:sz w:val="18"/>
          <w:szCs w:val="18"/>
          <w:color w:val="auto"/>
        </w:rPr>
      </w:pPr>
    </w:p>
    <w:p>
      <w:pPr>
        <w:ind w:firstLine="8"/>
        <w:spacing w:after="0" w:line="370" w:lineRule="auto"/>
        <w:tabs>
          <w:tab w:leader="none" w:pos="17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Portions of this exhibit have been redacted and are subject to an order granting confidential treatment under the Securities Exchange Act of 1934, as amended (File No. 001-08649, CF # 34521). The redacted material was filed separately with the Securities and Exchange Commission.</w:t>
      </w:r>
    </w:p>
    <w:p>
      <w:pPr>
        <w:spacing w:after="0" w:line="187" w:lineRule="exact"/>
        <w:rPr>
          <w:sz w:val="20"/>
          <w:szCs w:val="20"/>
          <w:color w:val="auto"/>
        </w:rPr>
      </w:pPr>
    </w:p>
    <w:p>
      <w:pPr>
        <w:ind w:firstLine="8"/>
        <w:spacing w:after="0" w:line="370" w:lineRule="auto"/>
        <w:tabs>
          <w:tab w:leader="none" w:pos="94"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5720" w:val="left"/>
          <w:tab w:leader="none" w:pos="6180" w:val="left"/>
        </w:tabs>
        <w:rPr>
          <w:sz w:val="20"/>
          <w:szCs w:val="20"/>
          <w:color w:val="auto"/>
        </w:rPr>
      </w:pPr>
      <w:r>
        <w:rPr>
          <w:rFonts w:ascii="Times New Roman" w:cs="Times New Roman" w:eastAsia="Times New Roman" w:hAnsi="Times New Roman"/>
          <w:sz w:val="18"/>
          <w:szCs w:val="18"/>
          <w:color w:val="auto"/>
        </w:rPr>
        <w:t>Date: March 8, 2017</w:t>
      </w:r>
      <w:r>
        <w:rPr>
          <w:sz w:val="20"/>
          <w:szCs w:val="20"/>
          <w:color w:val="auto"/>
        </w:rPr>
        <w:tab/>
      </w:r>
      <w:r>
        <w:rPr>
          <w:rFonts w:ascii="Times New Roman" w:cs="Times New Roman" w:eastAsia="Times New Roman" w:hAnsi="Times New Roman"/>
          <w:sz w:val="18"/>
          <w:szCs w:val="18"/>
          <w:color w:val="auto"/>
        </w:rPr>
        <w:t>By:</w:t>
        <w:tab/>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6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SUPPLEMENTAL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Amended and Restated Effective as of January 1, 2017</w:t>
      </w:r>
    </w:p>
    <w:p>
      <w:pPr>
        <w:sectPr>
          <w:pgSz w:w="11900" w:h="16838" w:orient="portrait"/>
          <w:cols w:equalWidth="0" w:num="1">
            <w:col w:w="10220"/>
          </w:cols>
          <w:pgMar w:left="1440" w:top="12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87"/>
        </w:trPr>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Pr>
          <w:p>
            <w:pPr>
              <w:ind w:left="32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980" w:type="dxa"/>
            <w:vAlign w:val="bottom"/>
          </w:tcPr>
          <w:p>
            <w:pPr>
              <w:spacing w:after="0"/>
              <w:rPr>
                <w:sz w:val="24"/>
                <w:szCs w:val="24"/>
                <w:color w:val="auto"/>
              </w:rPr>
            </w:pPr>
          </w:p>
        </w:tc>
      </w:tr>
      <w:tr>
        <w:trPr>
          <w:trHeight w:val="258"/>
        </w:trPr>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19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DEFINITIONS</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ELIGIBILITY AND PARTICIPATION</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SUPPLEMENTAL ACCOUNT</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3.1</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Establishment of Account</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3.2</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 to Article III Account</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3.3</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on Amounts Credited</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SUPPLEMENTAL RETIREMENT BENEFIT</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V.</w:t>
            </w: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SUPPLEMENTAL SURVIVING SPOUSE BENEFIT</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VI.</w:t>
            </w: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DISTRIBUTIONS</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7</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6.1</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of Article III Accounts</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7</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6.2</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Election of Distribution Method for Article III Accounts</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7</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6.3</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Death Prior to Completion of Distributions for Article III Accounts</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8</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6.4</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Limitation on Election of Distribution Method</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8</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6.5</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Six-Month Suspension for Payments to Specified Employees</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8</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6.6</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Unforeseeable Emergencies</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8</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6.7</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Acceleration or Delay of Distributions</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9</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VII.</w:t>
            </w: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ADMINISTRATION OF THE PLAN</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9</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7.1</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Administrator</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9</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7.2</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Authority of Administrator</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9</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7.3</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 of the Plan</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9</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7.4</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Claims Procedures</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9</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VIII.</w:t>
            </w: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AMENDMENT OR TERMINATION</w:t>
            </w:r>
          </w:p>
        </w:tc>
        <w:tc>
          <w:tcPr>
            <w:tcW w:w="1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IX.</w:t>
            </w: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SOURCE OF PAYMENTS; NATURE OF INTEREST</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9.1</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Trust</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9.2</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Alienation</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9.3</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Unfunded Plan</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9.4</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Guaranty</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9.5</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to the Trust</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70"/>
        </w:trPr>
        <w:tc>
          <w:tcPr>
            <w:tcW w:w="64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9.6</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General Creditor</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GENERAL PROVISIONS</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70"/>
        </w:trPr>
        <w:tc>
          <w:tcPr>
            <w:tcW w:w="64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Right of Employment</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70"/>
        </w:trPr>
        <w:tc>
          <w:tcPr>
            <w:tcW w:w="64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10.2</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Incompetency</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70"/>
        </w:trPr>
        <w:tc>
          <w:tcPr>
            <w:tcW w:w="64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10.3</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Changes</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64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10.4</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Addresses</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64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10.5</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Limitations on Liability</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64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10.6</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Inspection</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64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10.7</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64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10.8</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Singular and Plural</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64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10.9</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70"/>
        </w:trPr>
        <w:tc>
          <w:tcPr>
            <w:tcW w:w="640" w:type="dxa"/>
            <w:vAlign w:val="bottom"/>
          </w:tcPr>
          <w:p>
            <w:pPr>
              <w:spacing w:after="0"/>
              <w:rPr>
                <w:sz w:val="23"/>
                <w:szCs w:val="23"/>
                <w:color w:val="auto"/>
              </w:rPr>
            </w:pP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10.10 Discharge of Obligations</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70"/>
        </w:trPr>
        <w:tc>
          <w:tcPr>
            <w:tcW w:w="640" w:type="dxa"/>
            <w:vAlign w:val="bottom"/>
          </w:tcPr>
          <w:p>
            <w:pPr>
              <w:spacing w:after="0"/>
              <w:rPr>
                <w:sz w:val="23"/>
                <w:szCs w:val="23"/>
                <w:color w:val="auto"/>
              </w:rPr>
            </w:pPr>
          </w:p>
        </w:tc>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10.11 Governing Law</w:t>
            </w:r>
          </w:p>
        </w:tc>
        <w:tc>
          <w:tcPr>
            <w:tcW w:w="19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15</w:t>
            </w:r>
          </w:p>
        </w:tc>
      </w:tr>
    </w:tbl>
    <w:p>
      <w:pPr>
        <w:spacing w:after="0" w:line="257"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PAGE ii</w:t>
      </w:r>
    </w:p>
    <w:p>
      <w:pPr>
        <w:sectPr>
          <w:pgSz w:w="11900" w:h="16838" w:orient="portrait"/>
          <w:cols w:equalWidth="0" w:num="1">
            <w:col w:w="10420"/>
          </w:cols>
          <w:pgMar w:left="280" w:top="513" w:right="11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10.12</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10.13</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Assurance of Tax Consequences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10.14</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Code Section 409A</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pacing w:after="0" w:line="313" w:lineRule="exact"/>
        <w:rPr>
          <w:sz w:val="20"/>
          <w:szCs w:val="20"/>
          <w:color w:val="auto"/>
        </w:rPr>
      </w:pPr>
    </w:p>
    <w:p>
      <w:pPr>
        <w:ind w:left="7480"/>
        <w:spacing w:after="0"/>
        <w:rPr>
          <w:sz w:val="20"/>
          <w:szCs w:val="20"/>
          <w:color w:val="auto"/>
        </w:rPr>
      </w:pPr>
      <w:r>
        <w:rPr>
          <w:rFonts w:ascii="Arial" w:cs="Arial" w:eastAsia="Arial" w:hAnsi="Arial"/>
          <w:sz w:val="14"/>
          <w:szCs w:val="14"/>
          <w:color w:val="auto"/>
        </w:rPr>
        <w:t>PAGE ii</w:t>
      </w:r>
    </w:p>
    <w:p>
      <w:pPr>
        <w:sectPr>
          <w:pgSz w:w="11900" w:h="16838" w:orient="portrait"/>
          <w:cols w:equalWidth="0" w:num="1">
            <w:col w:w="9400"/>
          </w:cols>
          <w:pgMar w:left="1200" w:top="526" w:right="1299" w:bottom="1440" w:gutter="0" w:footer="0" w:header="0"/>
        </w:sectPr>
      </w:pPr>
    </w:p>
    <w:bookmarkStart w:id="35" w:name="page36"/>
    <w:bookmarkEnd w:id="35"/>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SUPPLEMENTAL BENEFIT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Effective as of January 1, 2017</w:t>
      </w:r>
    </w:p>
    <w:p>
      <w:pPr>
        <w:spacing w:after="0" w:line="22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The Toro Company hereby amends and restates its Supplemental Benefit Plan originally effective as of August 1, 1989 and most recently amended and restated effective January 1, 2009. This amendment and restatement continues to apply to all amounts deferred on or after January 1, 2005 that remained unpaid as of January 1, 2009. All grandfathered amounts earned and vested as of December 31, 2004 shall continue to be governed by the 2004 Plan document in accordance with then applicable IRS guidance. All amounts earned or vested from January 1, 2005 through December 31, 2008 shall continue to be governed by the Plan document, as modified by the operations of the Plan during such period in accordance with Code Section 409A and then applicable IRS guidance (including transition relief).</w:t>
      </w:r>
    </w:p>
    <w:p>
      <w:pPr>
        <w:spacing w:after="0" w:line="182"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22"/>
          <w:szCs w:val="22"/>
          <w:color w:val="auto"/>
        </w:rPr>
        <w:t>The Plan is maintained by the Company for the purpose of providing benefits for a select group of management or highly compensated employees, in excess of the limitations on benefits and contributions imposed by Sections 401(a)(17) and 415 of the Code. The Plan is unfunded for purposes of Title I of ERISA.</w:t>
      </w:r>
    </w:p>
    <w:p>
      <w:pPr>
        <w:spacing w:after="0" w:line="169" w:lineRule="exact"/>
        <w:rPr>
          <w:sz w:val="20"/>
          <w:szCs w:val="20"/>
          <w:color w:val="auto"/>
        </w:rPr>
      </w:pPr>
    </w:p>
    <w:p>
      <w:pPr>
        <w:ind w:left="2300" w:hanging="347"/>
        <w:spacing w:after="0"/>
        <w:tabs>
          <w:tab w:leader="none" w:pos="230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When used in the Plan, the following terms have the meanings indicated unless a different meaning is plainly required by the context.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2004 Plan</w:t>
      </w:r>
      <w:r>
        <w:rPr>
          <w:rFonts w:ascii="Times New Roman" w:cs="Times New Roman" w:eastAsia="Times New Roman" w:hAnsi="Times New Roman"/>
          <w:sz w:val="22"/>
          <w:szCs w:val="22"/>
          <w:color w:val="auto"/>
        </w:rPr>
        <w:t>” means the terms of the Plan in place as of December 31, 2004.</w:t>
      </w:r>
    </w:p>
    <w:p>
      <w:pPr>
        <w:spacing w:after="0" w:line="220"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a book entry account established and maintained in the Company’s records in the name of a Participant pursuant to Article III of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is defined in Section 7.1.</w:t>
      </w:r>
    </w:p>
    <w:p>
      <w:pPr>
        <w:spacing w:after="0" w:line="220"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all persons with whom the Company would be considered a single employer under Code section 414(b) or 414(c).</w:t>
      </w:r>
    </w:p>
    <w:p>
      <w:pPr>
        <w:spacing w:after="0" w:line="158"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the person or persons entitled to receive benefits under the Plan in the event of the Participant’s death as provided in Section 6.3.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Toro Company.</w:t>
      </w:r>
    </w:p>
    <w:p>
      <w:pPr>
        <w:spacing w:after="0" w:line="220" w:lineRule="exact"/>
        <w:rPr>
          <w:sz w:val="20"/>
          <w:szCs w:val="20"/>
          <w:color w:val="auto"/>
        </w:rPr>
      </w:pPr>
    </w:p>
    <w:p>
      <w:pPr>
        <w:ind w:right="7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Election</w:t>
      </w:r>
      <w:r>
        <w:rPr>
          <w:rFonts w:ascii="Times New Roman" w:cs="Times New Roman" w:eastAsia="Times New Roman" w:hAnsi="Times New Roman"/>
          <w:sz w:val="22"/>
          <w:szCs w:val="22"/>
          <w:color w:val="auto"/>
        </w:rPr>
        <w:t>” means a Participant’s election under Section 6.2(b) to change the method of payment of amounts payable under the Plan, made in the manner prescribed by the Administrator.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1</w:t>
      </w:r>
    </w:p>
    <w:p>
      <w:pPr>
        <w:sectPr>
          <w:pgSz w:w="11900" w:h="16838" w:orient="portrait"/>
          <w:cols w:equalWidth="0" w:num="1">
            <w:col w:w="11420"/>
          </w:cols>
          <w:pgMar w:left="240" w:top="365" w:right="239" w:bottom="1440" w:gutter="0" w:footer="0" w:header="0"/>
        </w:sectPr>
      </w:pPr>
    </w:p>
    <w:bookmarkStart w:id="36" w:name="page37"/>
    <w:bookmarkEnd w:id="36"/>
    <w:p>
      <w:pPr>
        <w:ind w:left="-8" w:right="20" w:firstLine="656"/>
        <w:spacing w:after="0" w:line="262" w:lineRule="auto"/>
        <w:tabs>
          <w:tab w:leader="none" w:pos="1092"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Exchange Act) (a “Person”) of beneficial ownership (within the meaning of Rule 13d-3 under the Exchange Act) of fifteen percent (15%) or more of either (i) the then-outstanding shares of Common Stock of the Company (the “Outstanding Company Common Stock”) or</w:t>
      </w:r>
    </w:p>
    <w:p>
      <w:pPr>
        <w:spacing w:after="0" w:line="2" w:lineRule="exact"/>
        <w:rPr>
          <w:rFonts w:ascii="Times New Roman" w:cs="Times New Roman" w:eastAsia="Times New Roman" w:hAnsi="Times New Roman"/>
          <w:sz w:val="21"/>
          <w:szCs w:val="21"/>
          <w:color w:val="auto"/>
        </w:rPr>
      </w:pPr>
    </w:p>
    <w:p>
      <w:pPr>
        <w:ind w:left="-8" w:firstLine="8"/>
        <w:spacing w:after="0" w:line="244" w:lineRule="auto"/>
        <w:tabs>
          <w:tab w:leader="none" w:pos="31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(w) any acquisition directly from the Company, (x) any acquisition by the Company, (y) any acquisition by any employee benefit plan (or related trust) sponsored or maintained by the Company or any corporation controlled by the Company, or (z) any acquisition by any corporation pursuant to a transaction that complies with clauses (i), (ii) and (iii) of subsection (c) of this definition; or</w:t>
      </w:r>
    </w:p>
    <w:p>
      <w:pPr>
        <w:spacing w:after="0" w:line="188" w:lineRule="exact"/>
        <w:rPr>
          <w:rFonts w:ascii="Times New Roman" w:cs="Times New Roman" w:eastAsia="Times New Roman" w:hAnsi="Times New Roman"/>
          <w:sz w:val="22"/>
          <w:szCs w:val="22"/>
          <w:color w:val="auto"/>
        </w:rPr>
      </w:pPr>
    </w:p>
    <w:p>
      <w:pPr>
        <w:ind w:left="-8" w:firstLine="656"/>
        <w:spacing w:after="0" w:line="248" w:lineRule="auto"/>
        <w:tabs>
          <w:tab w:leader="none" w:pos="1108"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2" w:lineRule="exact"/>
        <w:rPr>
          <w:rFonts w:ascii="Times New Roman" w:cs="Times New Roman" w:eastAsia="Times New Roman" w:hAnsi="Times New Roman"/>
          <w:sz w:val="22"/>
          <w:szCs w:val="22"/>
          <w:color w:val="auto"/>
        </w:rPr>
      </w:pPr>
    </w:p>
    <w:p>
      <w:pPr>
        <w:ind w:left="-8" w:firstLine="656"/>
        <w:spacing w:after="0" w:line="245" w:lineRule="auto"/>
        <w:tabs>
          <w:tab w:leader="none" w:pos="109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fifteen percent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432"/>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2</w:t>
      </w:r>
    </w:p>
    <w:p>
      <w:pPr>
        <w:sectPr>
          <w:pgSz w:w="11900" w:h="16838" w:orient="portrait"/>
          <w:cols w:equalWidth="0" w:num="1">
            <w:col w:w="11392"/>
          </w:cols>
          <w:pgMar w:left="248" w:top="369" w:right="259" w:bottom="1440" w:gutter="0" w:footer="0" w:header="0"/>
        </w:sectPr>
      </w:pPr>
    </w:p>
    <w:bookmarkStart w:id="37" w:name="page38"/>
    <w:bookmarkEnd w:id="37"/>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Approval by the stockholders of the Company of a complete liquidation or dissolution of the Company.</w:t>
      </w:r>
    </w:p>
    <w:p>
      <w:pPr>
        <w:spacing w:after="0" w:line="220"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including, when the context requires, all regulations, interpretations and rulings issued thereunder.</w:t>
      </w:r>
    </w:p>
    <w:p>
      <w:pPr>
        <w:spacing w:after="0" w:line="158"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and Human Resources Committee of the Board or any successor committee and its delegates with respect to the Plan.</w:t>
      </w:r>
    </w:p>
    <w:p>
      <w:pPr>
        <w:spacing w:after="0" w:line="158"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Company’s common stock, par value $1.00 per share, and related preferred share purchase rights, as such shares may be adjusted in accordance with the Performance Share Plan.</w:t>
      </w:r>
    </w:p>
    <w:p>
      <w:pPr>
        <w:spacing w:after="0" w:line="158"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Toro Company, a Delaware corporation. Except as used in Articles VII and VIII, “Company” also includes any Participating Subsidiary.</w:t>
      </w:r>
    </w:p>
    <w:p>
      <w:pPr>
        <w:spacing w:after="0" w:line="15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means all amounts received or entitled to be received by a Participant from the Company or an Affiliate for services performed prior to the Participant’s Separation from Service that are subject to federal income tax withholding; provided that (a) Compensation shall not include any amount received by a Participant on account of the grant or exercise of an option to purchase Common Stock of the Company or on account of any other amount received in connection with an award that is based on the value of the Common Stock of the Company, (b) Compensation shall include an amount equal to any reductions in a Participant’s gross income as a result of salary reductions under Section 125, 132(f)(4) or 402(e)(3) of the Code, and the Participant’s elective deferrals under any Company sponsored non-qualified deferred compensation plan, (c) Compensation shall include only amounts paid or deferred in connection with the Participant’s annual base salary and the Company’s annual cash incentive plans, and (d) Compensation shall not include any amount received by a Participant for services rendered after the Participant’s Separation from Service or that constitutes separation pay.</w:t>
      </w:r>
    </w:p>
    <w:p>
      <w:pPr>
        <w:spacing w:after="0" w:line="189"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Disabled</w:t>
      </w:r>
      <w:r>
        <w:rPr>
          <w:rFonts w:ascii="Times New Roman" w:cs="Times New Roman" w:eastAsia="Times New Roman" w:hAnsi="Times New Roman"/>
          <w:sz w:val="22"/>
          <w:szCs w:val="22"/>
          <w:color w:val="auto"/>
        </w:rPr>
        <w:t>” means the Participant is (a) unable to engage in any substantial gainful activity by reason of any medically determinable physical or mental impairment that can be expected to result in death or can be expected to last for a continuous period of not less than 12 months; (b) receiving income replacement benefits for a period of not less than three months under an accident and health plan covering Company employees because of any medically determinable physical or mental impairment that can be expected to result in death or can be expected to last for a continuous period of not less than 12 months; (c) determined to be totally disabled by the Social Security Administration or Railroad Retirement Board; or (d) determined to be disabled in accordance with the Company’s long term disability plan, provided that such plan’s definition complies with Treasury Regulation Section 1.409A-3(i)(4).</w:t>
      </w:r>
    </w:p>
    <w:p>
      <w:pPr>
        <w:spacing w:after="0" w:line="186" w:lineRule="exact"/>
        <w:rPr>
          <w:sz w:val="20"/>
          <w:szCs w:val="20"/>
          <w:color w:val="auto"/>
        </w:rPr>
      </w:pPr>
    </w:p>
    <w:p>
      <w:pPr>
        <w:ind w:right="9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Election Form</w:t>
      </w:r>
      <w:r>
        <w:rPr>
          <w:rFonts w:ascii="Times New Roman" w:cs="Times New Roman" w:eastAsia="Times New Roman" w:hAnsi="Times New Roman"/>
          <w:sz w:val="22"/>
          <w:szCs w:val="22"/>
          <w:color w:val="auto"/>
        </w:rPr>
        <w:t>” means a form provided by the Administrator through which a Participant makes the distribution elections provided for in Articles III and VI.</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3</w:t>
      </w:r>
    </w:p>
    <w:p>
      <w:pPr>
        <w:sectPr>
          <w:pgSz w:w="11900" w:h="16838" w:orient="portrait"/>
          <w:cols w:equalWidth="0" w:num="1">
            <w:col w:w="11360"/>
          </w:cols>
          <w:pgMar w:left="240" w:top="369" w:right="29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Internal Revenue Service.</w:t>
      </w:r>
    </w:p>
    <w:p>
      <w:pPr>
        <w:spacing w:after="0" w:line="220"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any employee of the Company or a Participating Subsidiary who meets the conditions described in Article II of the Plan.</w:t>
      </w:r>
    </w:p>
    <w:p>
      <w:pPr>
        <w:spacing w:after="0" w:line="158"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Subsidiary</w:t>
      </w:r>
      <w:r>
        <w:rPr>
          <w:rFonts w:ascii="Times New Roman" w:cs="Times New Roman" w:eastAsia="Times New Roman" w:hAnsi="Times New Roman"/>
          <w:sz w:val="22"/>
          <w:szCs w:val="22"/>
          <w:color w:val="auto"/>
        </w:rPr>
        <w:t>” means a Subsidiary of the Company to which the Plan has been extended by action of the Board or by action of the Committee, if the Board of Directors has authorized the Committee to so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Supplemental Benefit Plan,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the calendar year.</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Plan</w:t>
      </w:r>
      <w:r>
        <w:rPr>
          <w:rFonts w:ascii="Times New Roman" w:cs="Times New Roman" w:eastAsia="Times New Roman" w:hAnsi="Times New Roman"/>
          <w:sz w:val="22"/>
          <w:szCs w:val="22"/>
          <w:color w:val="auto"/>
        </w:rPr>
        <w:t>” means The Toro Company Investment, Savings and Employee Stock Ownership Plan or any successor or replacement plan.</w:t>
      </w:r>
    </w:p>
    <w:p>
      <w:pPr>
        <w:spacing w:after="0" w:line="158"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means any termination of employment with the Company and all Affiliates due to retirement, death, disability, resignation, termination or other reason, provided, however, that no Separation from Service is deemed to occur while a Participant is on a bona fide leave of absence that does not exceed six months, or if longer, the period during which the Participant’s right to reemployment with the Company or any Affiliate is provided by statute or by contract. A Separation from Service shall also include such other change in employment status that constitutes a “separation from service” under Section 409A of the Code.</w:t>
      </w:r>
    </w:p>
    <w:p>
      <w:pPr>
        <w:spacing w:after="0" w:line="181"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means, for purposes of complying with the requirements of Code section 409A(a)(2)(B)(i) (relating to the 6-month delay of benefit distribution payable on account of a Separation from Service), a Participant who is a key employee as defined in Code section 416(i) (without regard to Code section 416(i)(5)) of the Company or any Affiliate at any time during the calendar year ending December 31, shall be treated as a Specified Employee for the entire 12-month period beginning on the next following April 1. For calendar years ending prior to January 1, 2017, a Participant will be treated as a key employee during a calendar year if the Participant was an elected officer at any time during the calendar year. For calendar years beginning on or after January 1, 2017, a Participant will be treated as a key employee if the Participant was an officer as defined for purposes of Section 16 of the Securities Exchange Act of 1934 at any time during the calendar year.</w:t>
      </w:r>
    </w:p>
    <w:p>
      <w:pPr>
        <w:spacing w:after="0" w:line="186" w:lineRule="exact"/>
        <w:rPr>
          <w:sz w:val="20"/>
          <w:szCs w:val="20"/>
          <w:color w:val="auto"/>
        </w:rPr>
      </w:pPr>
    </w:p>
    <w:p>
      <w:pPr>
        <w:ind w:right="6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Stable Return Fund Measure</w:t>
      </w:r>
      <w:r>
        <w:rPr>
          <w:rFonts w:ascii="Times New Roman" w:cs="Times New Roman" w:eastAsia="Times New Roman" w:hAnsi="Times New Roman"/>
          <w:sz w:val="22"/>
          <w:szCs w:val="22"/>
          <w:color w:val="auto"/>
        </w:rPr>
        <w:t>” means the earnings rate paid or credited from time to time on assets held in the Stable Return Fund or such other fund maintained to replace the Stable Return Fund under the Retirement Plan.</w:t>
      </w:r>
    </w:p>
    <w:p>
      <w:pPr>
        <w:spacing w:after="0" w:line="158"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corporation that is a component member of the controlled group of corporations of which the Company is the common parent. Controlled group shall be determined by reference to Section 1563 of the Code but shall include any corporation described in Section 1563(b) (2) thereof.</w:t>
      </w:r>
    </w:p>
    <w:p>
      <w:pPr>
        <w:spacing w:after="0" w:line="173"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Surviving Spouse</w:t>
      </w:r>
      <w:r>
        <w:rPr>
          <w:rFonts w:ascii="Times New Roman" w:cs="Times New Roman" w:eastAsia="Times New Roman" w:hAnsi="Times New Roman"/>
          <w:sz w:val="22"/>
          <w:szCs w:val="22"/>
          <w:color w:val="auto"/>
        </w:rPr>
        <w:t>” means a person who is legally married to a Participant at the date of the Participant’s death and for at least one year prior thereto. Beginning June 26, 2013, a person is treated as legally married to a Participant if they are legally married under the law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4</w:t>
      </w:r>
    </w:p>
    <w:p>
      <w:pPr>
        <w:sectPr>
          <w:pgSz w:w="11900" w:h="16838" w:orient="portrait"/>
          <w:cols w:equalWidth="0" w:num="1">
            <w:col w:w="11400"/>
          </w:cols>
          <w:pgMar w:left="240" w:top="369" w:right="259" w:bottom="1440" w:gutter="0" w:footer="0" w:header="0"/>
        </w:sectPr>
      </w:pPr>
    </w:p>
    <w:bookmarkStart w:id="39" w:name="page40"/>
    <w:bookmarkEnd w:id="39"/>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means the trust established or maintained by the Company that is used in connection with the Plan to assist the Company in meeting its obligations under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means the corporation or individual selected by the Company to serve as trustee for the Trust.</w:t>
      </w:r>
    </w:p>
    <w:p>
      <w:pPr>
        <w:spacing w:after="0" w:line="220"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Unforeseeable Emergency</w:t>
      </w:r>
      <w:r>
        <w:rPr>
          <w:rFonts w:ascii="Times New Roman" w:cs="Times New Roman" w:eastAsia="Times New Roman" w:hAnsi="Times New Roman"/>
          <w:sz w:val="22"/>
          <w:szCs w:val="22"/>
          <w:color w:val="auto"/>
        </w:rPr>
        <w:t>” means a severe financial hardship to a Participant resulting from an illness or accident of the Participant, the Participant’s spouse, the Participant’s Beneficiary or the Participant’s dependent (as defined in Code Section 152, without regard to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For example, (a) imminent foreclosure of or eviction from the Participant’s primary residence may constitute an Unforeseeable Emergency; (b) the need to pay for medical expenses, including nonrefundable deductibles, as well as for the costs of prescription drug medications, may constitute an Unforeseeable Emergency; (c) the need to pay for the funeral expenses of a spouse, a Beneficiary or a dependent (as defined in Code Section 152, without regard to Sections 152(b)(1), (b)(2) and (d)(1)(B)) may also constitute an Unforeseeable Emergency; and (d) the purchase of a home and the payment of college tuition are not Unforeseeable Emergencies.</w:t>
      </w:r>
    </w:p>
    <w:p>
      <w:pPr>
        <w:spacing w:after="0" w:line="18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II.  ELIGIBILITY AND PARTICIPATION</w:t>
      </w:r>
    </w:p>
    <w:p>
      <w:pPr>
        <w:spacing w:after="0" w:line="237"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22"/>
          <w:szCs w:val="22"/>
          <w:color w:val="auto"/>
        </w:rPr>
        <w:t>An employee who satisfies the conditions of this Article II and whose benefits under the Retirement Plan are or will be reduced because of the limitations on contributions and benefits imposed by Section 401(a)(l 7) or 415 of the Code shall be a Participant in the Plan.</w:t>
      </w:r>
    </w:p>
    <w:p>
      <w:pPr>
        <w:spacing w:after="0" w:line="173" w:lineRule="exact"/>
        <w:rPr>
          <w:sz w:val="20"/>
          <w:szCs w:val="20"/>
          <w:color w:val="auto"/>
        </w:rPr>
      </w:pPr>
    </w:p>
    <w:p>
      <w:pPr>
        <w:ind w:right="520" w:firstLine="648"/>
        <w:spacing w:after="0" w:line="257" w:lineRule="auto"/>
        <w:rPr>
          <w:sz w:val="20"/>
          <w:szCs w:val="20"/>
          <w:color w:val="auto"/>
        </w:rPr>
      </w:pPr>
      <w:r>
        <w:rPr>
          <w:rFonts w:ascii="Times New Roman" w:cs="Times New Roman" w:eastAsia="Times New Roman" w:hAnsi="Times New Roman"/>
          <w:sz w:val="22"/>
          <w:szCs w:val="22"/>
          <w:color w:val="auto"/>
        </w:rPr>
        <w:t>A Participant in the Plan must be an employee of the Company or of a Participating Subsidiary receiving annual Compensation at a rate equal to or greater than the limitation established pursuant to Section 401(a)(17) of the Code, as such amount maybe adjusted from time to time by the Secretary of the Treasury.</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Once an employee becomes a Participant, the Participant’s Account under the Plan will remain in effect until distributed as provided herein, even if for any subsequent Plan Year or portion thereof the employee is ineligible to be a Participant or ceases to be a Participant for any other reason.</w:t>
      </w:r>
    </w:p>
    <w:p>
      <w:pPr>
        <w:spacing w:after="0" w:line="16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b w:val="1"/>
          <w:bCs w:val="1"/>
          <w:color w:val="auto"/>
        </w:rPr>
        <w:t>III.  SUPPLEMENTAL ACCOUNT</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Establishment of Account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shall establish and maintain an Article III account for each Participant and shall credit such account for each Plan Year with an amount equal to the amounts described in Section 3.2 and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5</w:t>
      </w:r>
    </w:p>
    <w:p>
      <w:pPr>
        <w:sectPr>
          <w:pgSz w:w="11900" w:h="16838" w:orient="portrait"/>
          <w:cols w:equalWidth="0" w:num="1">
            <w:col w:w="11300"/>
          </w:cols>
          <w:pgMar w:left="240" w:top="369" w:right="359" w:bottom="1440" w:gutter="0" w:footer="0" w:header="0"/>
        </w:sectPr>
      </w:pPr>
    </w:p>
    <w:bookmarkStart w:id="40" w:name="page41"/>
    <w:bookmarkEnd w:id="40"/>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Credits to Article III Account</w:t>
      </w:r>
    </w:p>
    <w:p>
      <w:pPr>
        <w:spacing w:after="0" w:line="224"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The amount credited to a Participant’s Article III account for each Plan Year or portion thereof during which the employee is a Participant shall equal the difference between:</w:t>
      </w:r>
    </w:p>
    <w:p>
      <w:pPr>
        <w:spacing w:after="0" w:line="158" w:lineRule="exact"/>
        <w:rPr>
          <w:sz w:val="20"/>
          <w:szCs w:val="20"/>
          <w:color w:val="auto"/>
        </w:rPr>
      </w:pPr>
    </w:p>
    <w:p>
      <w:pPr>
        <w:ind w:right="80" w:firstLine="656"/>
        <w:spacing w:after="0" w:line="282" w:lineRule="auto"/>
        <w:tabs>
          <w:tab w:leader="none" w:pos="106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employer contributions (not including a Participant’s 401(k) contributions or related matching contributions) and forfeitures that would have been allocated or reallocated to the Participant under the Retirement Plan, based on the Participant’s Compensation, and without regard to the limitations imposed by Sections 401(a)(17) or 415 of the Code, and</w:t>
      </w:r>
    </w:p>
    <w:p>
      <w:pPr>
        <w:spacing w:after="0" w:line="148" w:lineRule="exact"/>
        <w:rPr>
          <w:rFonts w:ascii="Times New Roman" w:cs="Times New Roman" w:eastAsia="Times New Roman" w:hAnsi="Times New Roman"/>
          <w:sz w:val="21"/>
          <w:szCs w:val="21"/>
          <w:color w:val="auto"/>
        </w:rPr>
      </w:pPr>
    </w:p>
    <w:p>
      <w:pPr>
        <w:ind w:left="80" w:right="840" w:firstLine="657"/>
        <w:spacing w:after="0" w:line="309" w:lineRule="auto"/>
        <w:tabs>
          <w:tab w:leader="none" w:pos="116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employer contributions (not including a Participant’s 401(k) contributions or related matching contributions) and forfeitures actually allocated or reallocated to the Participant under the Retirement Plan.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Amounts credited to a Participant’s Article III account for any Plan Year shall be credited as of the end of such Plan Year.</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Earnings on Amounts Credited</w:t>
      </w:r>
    </w:p>
    <w:p>
      <w:pPr>
        <w:spacing w:after="0" w:line="22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Amounts credited to a Participant’s Article III Account shall be credited with earnings at a rate and in a manner authorized by the Administrator from time to time; provided that the earnings rate for all Participants shall be based on a Participant’s selection from any fund made available by the Administrator from time to time. Earnings shall be credited as of the end of each business day that the Administrator authorizes the Plan’s recordkeeping system to determine the value of gains and losses. Notwithstanding the foregoing, for Participants who did not make a one-time election as of October 31, 2006 to allocate all funds in all accounts, past and future, so that earnings are based on the rate of return from one or more of the funds provided above, the earnings shall be determined based on the Stable Return Fund Measure. The Administrator will not be responsible to any Participant, Beneficiary or other person for any damages, losses or liabilities, costs or expenses of any kind arising in connection with any designation of a fund or the Participant’s designation of a crediting rate fund.</w:t>
      </w:r>
    </w:p>
    <w:p>
      <w:pPr>
        <w:spacing w:after="0" w:line="18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IV.  SUPPLEMENTAL RETIREMENT BENEFIT</w:t>
      </w:r>
    </w:p>
    <w:p>
      <w:pPr>
        <w:spacing w:after="0" w:line="237" w:lineRule="exact"/>
        <w:rPr>
          <w:sz w:val="20"/>
          <w:szCs w:val="20"/>
          <w:color w:val="auto"/>
        </w:rPr>
      </w:pPr>
    </w:p>
    <w:p>
      <w:pPr>
        <w:ind w:right="840" w:firstLine="648"/>
        <w:spacing w:after="0" w:line="271" w:lineRule="auto"/>
        <w:rPr>
          <w:sz w:val="20"/>
          <w:szCs w:val="20"/>
          <w:color w:val="auto"/>
        </w:rPr>
      </w:pPr>
      <w:r>
        <w:rPr>
          <w:rFonts w:ascii="Times New Roman" w:cs="Times New Roman" w:eastAsia="Times New Roman" w:hAnsi="Times New Roman"/>
          <w:sz w:val="22"/>
          <w:szCs w:val="22"/>
          <w:color w:val="auto"/>
        </w:rPr>
        <w:t>Any supplemental retirement benefit due under Article IV of the Plan immediately prior to January 1, 2017 will be governed by the terms of the Plan as in effect immediately prior to the January 1, 2017 restatement of the Plan.</w:t>
      </w:r>
    </w:p>
    <w:p>
      <w:pPr>
        <w:spacing w:after="0" w:line="15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V.  SUPPLEMENTAL SURVIVING SPOUSE BENEFIT</w:t>
      </w:r>
    </w:p>
    <w:p>
      <w:pPr>
        <w:spacing w:after="0" w:line="237"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Any supplemental Surviving Spouse benefit due under Article V of the Plan immediately prior to January 1, 2017 will be governed by the terms of the Plan as in effect immediately prior to the January 1, 2017 restatement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6</w:t>
      </w:r>
    </w:p>
    <w:p>
      <w:pPr>
        <w:sectPr>
          <w:pgSz w:w="11900" w:h="16838" w:orient="portrait"/>
          <w:cols w:equalWidth="0" w:num="1">
            <w:col w:w="11420"/>
          </w:cols>
          <w:pgMar w:left="240" w:top="365" w:right="239" w:bottom="1440" w:gutter="0" w:footer="0" w:header="0"/>
        </w:sectPr>
      </w:pPr>
    </w:p>
    <w:bookmarkStart w:id="41" w:name="page42"/>
    <w:bookmarkEnd w:id="41"/>
    <w:p>
      <w:pPr>
        <w:ind w:left="5920"/>
        <w:spacing w:after="0"/>
        <w:rPr>
          <w:sz w:val="20"/>
          <w:szCs w:val="20"/>
          <w:color w:val="auto"/>
        </w:rPr>
      </w:pPr>
      <w:r>
        <w:rPr>
          <w:rFonts w:ascii="Times New Roman" w:cs="Times New Roman" w:eastAsia="Times New Roman" w:hAnsi="Times New Roman"/>
          <w:sz w:val="22"/>
          <w:szCs w:val="22"/>
          <w:b w:val="1"/>
          <w:bCs w:val="1"/>
          <w:color w:val="auto"/>
        </w:rPr>
        <w:t>VI.  DISTRIBUTIONS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Distribution of Article III Accounts</w:t>
      </w:r>
    </w:p>
    <w:p>
      <w:pPr>
        <w:spacing w:after="0" w:line="224"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Subject to Section 6.5, all amounts credited to a Participant’s Account in accordance with Article III, including earnings credits under Section 3.3, shall be distributed to or with respect to a Participant immediately following the Participant’s Separation from Service, including by reason of death. Available methods of distribution are (i) substantially equal annual, quarterly or monthly installment payments over a period not to exceed ten years or (ii) a single lump-sum distribution. The amount of a Participant’s substantially equal installment payment is determined when benefits commence and redetermined each subsequent January by dividing (i) the balance of the Account that is subject to the installment distribution at the end of the month preceding the month in which the first payment for the calendar year is to be made by (ii) the number of installment payments remaining to be made.</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Election of Distribution Method for Article III Accounts</w:t>
      </w:r>
    </w:p>
    <w:p>
      <w:pPr>
        <w:spacing w:after="0" w:line="224" w:lineRule="exact"/>
        <w:rPr>
          <w:sz w:val="20"/>
          <w:szCs w:val="20"/>
          <w:color w:val="auto"/>
        </w:rPr>
      </w:pPr>
    </w:p>
    <w:p>
      <w:pPr>
        <w:ind w:right="60" w:firstLine="656"/>
        <w:spacing w:after="0" w:line="246" w:lineRule="auto"/>
        <w:tabs>
          <w:tab w:leader="none" w:pos="110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 shall elect on a Distribution Election Form the method of distribution of the Participant’s Article III account. The Distribution Election Form must be submitted to the Administrator, or its delegate, within 30 days after the date an individual becomes eligible to participate in the Plan. The election shall become effective and irrevocable upon its receipt by the Committee. If no election has been made by the required time, the Participant shall be deemed to have elected to receive the amounts credited to the Participant’s Article III account in a lump-sum payment. Any change in this default election must be made in accordance with Section 6.2(b). This Section 6.2(a) shall not apply to any individual who, though newly eligible to participate in the Plan, was previously eligible to participate in the Plan and for whom an Article III account is currently maintained. For such an individual, the prior Distribution Election Form in effect on or after January 1, 2009 shall remain in effect unless the Participant changes the election in accordance with Section 6.2(b).</w:t>
      </w:r>
    </w:p>
    <w:p>
      <w:pPr>
        <w:spacing w:after="0" w:line="191" w:lineRule="exact"/>
        <w:rPr>
          <w:rFonts w:ascii="Times New Roman" w:cs="Times New Roman" w:eastAsia="Times New Roman" w:hAnsi="Times New Roman"/>
          <w:sz w:val="22"/>
          <w:szCs w:val="22"/>
          <w:color w:val="auto"/>
        </w:rPr>
      </w:pPr>
    </w:p>
    <w:p>
      <w:pPr>
        <w:ind w:firstLine="656"/>
        <w:spacing w:after="0" w:line="246" w:lineRule="auto"/>
        <w:tabs>
          <w:tab w:leader="none" w:pos="111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6.4, a Participant may change the Participant’s method of payment by electing another method available under the Plan by completing and submitting a Change Election to the Administrator, or its delegate, at any time up to one year before the date of the Participant’s Separation from Service. Such Change Elections are subject to the following: (i) any change shall not take effect until at least 12 months after the date on which the Change Election is made, (ii) the Change Election must be made at least 12 months before the date the payment is scheduled to be made (or in the case of installment or annuity payments treated as a single payment, the date the first amount was scheduled to be paid); and (iii) in the case of an Change Election relating to payments other than on account of an Unforeseeable Emergency, death or Disability of the Participant, the payment shall be deferred for a period of not less than five years from the date such payment would otherwise have been paid (or in the case of installment or annuity payments treated as a single payment, five years from the date the first amount would otherwise have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7</w:t>
      </w:r>
    </w:p>
    <w:p>
      <w:pPr>
        <w:sectPr>
          <w:pgSz w:w="11900" w:h="16838" w:orient="portrait"/>
          <w:cols w:equalWidth="0" w:num="1">
            <w:col w:w="11420"/>
          </w:cols>
          <w:pgMar w:left="240" w:top="365" w:right="239" w:bottom="1440" w:gutter="0" w:footer="0" w:header="0"/>
        </w:sectPr>
      </w:pPr>
    </w:p>
    <w:bookmarkStart w:id="42" w:name="page43"/>
    <w:bookmarkEnd w:id="42"/>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Death Prior to Completion of Distributions for Article III Accounts</w:t>
      </w:r>
    </w:p>
    <w:p>
      <w:pPr>
        <w:spacing w:after="0" w:line="224"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1"/>
          <w:szCs w:val="21"/>
          <w:color w:val="auto"/>
        </w:rPr>
        <w:t>If a Participant dies before the full amount of the Participant’s Article III account has been distributed, any remaining amounts shall be distributed to the Participant’s Beneficiary by a method designated by the Participant in the Participant’s Distribution Election Form. If a Participant has not designated a Beneficiary or method of distribution, or if no designated Beneficiary is living on the date of distribution, such amounts shall be distributed to the personal representative (executor or administrator) of the Participant’s estate in a lump-sum distribution as soon as administratively feasible following the Participant’s death (but in no event later than the end of the calendar year following the calendar year in which the Participant died).</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Limitation on Election of Distribution Method</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Participant may make only one Change Election with respect to distribution of any amount payable under the Plan.</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color w:val="auto"/>
        </w:rPr>
        <w:t>Six-Month Suspension for Payments to Specified Employees</w:t>
      </w:r>
    </w:p>
    <w:p>
      <w:pPr>
        <w:spacing w:after="0" w:line="22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In the case of a Participant who is a Specified Employee as of the date of the Participant’s Separation from Service, all payments under the Plan to which the Participant is otherwise entitled on account of a Separation from Service for a reason other than death shall be delayed to the extent necessary so that the first payment made to the Participant is not made earlier than six months following the Participant’s Separation from Service (or, if earlier, the date of death of the Specified Employee) as required under Treasury Regulation Section 1.409A-3(i)(2).</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Unforeseeable Emergencies</w:t>
      </w:r>
    </w:p>
    <w:p>
      <w:pPr>
        <w:spacing w:after="0" w:line="22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In the event a Participant incurs an Unforeseeable Emergency as determined by the Administrator based on the relevant facts and circumstances, the Participant may make a written request to the Administrator for a hardship withdrawal from the Participant’s Account established under Article III. Upon receiving such a request, the Administrator may make a distribution from the Participant’s Article III Account. Withdrawals of amounts because of an Unforeseeable Emergency are only permitted to the extent reasonably necessary to satisfy the emergency need (which may include amounts necessary to pay any federal, state, local or foreign income taxes or penalties reasonably anticipated to result from the distribution). A distribution on account of an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8</w:t>
      </w:r>
    </w:p>
    <w:p>
      <w:pPr>
        <w:sectPr>
          <w:pgSz w:w="11900" w:h="16838" w:orient="portrait"/>
          <w:cols w:equalWidth="0" w:num="1">
            <w:col w:w="11360"/>
          </w:cols>
          <w:pgMar w:left="240" w:top="365" w:right="299" w:bottom="1440" w:gutter="0" w:footer="0" w:header="0"/>
        </w:sectPr>
      </w:pPr>
    </w:p>
    <w:bookmarkStart w:id="43" w:name="page44"/>
    <w:bookmarkEnd w:id="43"/>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6.7</w:t>
      </w:r>
      <w:r>
        <w:rPr>
          <w:sz w:val="20"/>
          <w:szCs w:val="20"/>
          <w:color w:val="auto"/>
        </w:rPr>
        <w:tab/>
      </w:r>
      <w:r>
        <w:rPr>
          <w:rFonts w:ascii="Times New Roman" w:cs="Times New Roman" w:eastAsia="Times New Roman" w:hAnsi="Times New Roman"/>
          <w:sz w:val="21"/>
          <w:szCs w:val="21"/>
          <w:b w:val="1"/>
          <w:bCs w:val="1"/>
          <w:color w:val="auto"/>
        </w:rPr>
        <w:t>Acceleration or Delay of Distributions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Administrator in its sole discretion may exercise discretion to accelerate or delay the distribution of any payment under the Plan, if, and only to the extent, allowed under Code section 409A.</w:t>
      </w:r>
    </w:p>
    <w:p>
      <w:pPr>
        <w:spacing w:after="0" w:line="15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VII.  ADMINISTRATION OF THE PLAN</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Administrator</w:t>
      </w:r>
    </w:p>
    <w:p>
      <w:pPr>
        <w:spacing w:after="0" w:line="22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Company shall be the Administrator of the Plan. The Committee shall act on behalf of the Company with respect to the administration of the Plan and may delegate authority with respect to the administration of the Plan to a committee, a person or persons as it deems necessary or appropriate for the administration and operation of the Plan, including the Vice President, Human Resources and the Vice President, Secretary and General Counsel, which such officers may further delegate authority with respect to the administration of the Plan.</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Authority of Administrator</w:t>
      </w:r>
    </w:p>
    <w:p>
      <w:pPr>
        <w:spacing w:after="0" w:line="22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1"/>
          <w:szCs w:val="21"/>
          <w:color w:val="auto"/>
        </w:rPr>
        <w:t>The Administrator shall have the authority, duty and power to interpret and construe the provisions of the Plan in its sole discretion and as it deems appropriate; to adopt, establish and revise rules, procedures and regulations relating to the Plan; to determine the conditions subject to which any benefits may be payable; to resolve all questions concerning the status and rights of Participants and others under the Plan, including, but not limited to, eligibility for benefits; and to make any other determinations necessary or advisable for the administration of the Plan. The Administrator shall have the duty and responsibility of maintaining records, making the requisite calculations and disbursing the payments hereunder. The Administrator’s interpretations, determinations, regulations and calculations shall be final and binding on all persons and parties concerned.</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Operation of the Plan</w:t>
      </w:r>
    </w:p>
    <w:p>
      <w:pPr>
        <w:spacing w:after="0" w:line="224" w:lineRule="exact"/>
        <w:rPr>
          <w:sz w:val="20"/>
          <w:szCs w:val="20"/>
          <w:color w:val="auto"/>
        </w:rPr>
      </w:pPr>
    </w:p>
    <w:p>
      <w:pPr>
        <w:ind w:right="140" w:firstLine="648"/>
        <w:spacing w:after="0" w:line="249" w:lineRule="auto"/>
        <w:rPr>
          <w:sz w:val="20"/>
          <w:szCs w:val="20"/>
          <w:color w:val="auto"/>
        </w:rPr>
      </w:pPr>
      <w:r>
        <w:rPr>
          <w:rFonts w:ascii="Times New Roman" w:cs="Times New Roman" w:eastAsia="Times New Roman" w:hAnsi="Times New Roman"/>
          <w:sz w:val="22"/>
          <w:szCs w:val="22"/>
          <w:color w:val="auto"/>
        </w:rPr>
        <w:t>The Administrator shall be responsible for the general operation and administration of the Plan and for carrying out the provisions thereof. The Company shall be responsible for payment of the expenses incurred in the administration of the Plan. The Administrator shall be responsible for determining eligibility for payments and the amounts payable pursuant to the Plan. The Administrator shall be entitled to rely conclusively upon all tables, valuations, certificates, opinions and reports furnished by any actuary, accountant, controller, counsel or other person employed or engaged by or on behalf of the Company with respect to the Plan.</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Claims Procedures</w:t>
      </w:r>
    </w:p>
    <w:p>
      <w:pPr>
        <w:spacing w:after="0" w:line="224"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The Company intends to make payments under the Plan without requiring that a Participant submit a claim form. However, a Participant who believes a payment is due under the Plan may submit a claim for payments. For claims procedure purposes, the Administrator shall administer the claims process on behalf of the Company. The procedures in this Section 7.4 are intended to comply with Section 503 of ERISA and Section 2560.503-1 of the Department of Labor Regulations and pertain to claims by Participants and Beneficiaries (“claimants”) for Plan benefits, consideration of such claims and review of claim denials. For purposes of these procedures, a “claim” is a request for a benefit by a Participant or Beneficiary under the Plan. A claim is filed when the requirements of these procedures have been met.</w:t>
      </w:r>
    </w:p>
    <w:p>
      <w:pPr>
        <w:spacing w:after="0" w:line="200" w:lineRule="exact"/>
        <w:rPr>
          <w:sz w:val="20"/>
          <w:szCs w:val="20"/>
          <w:color w:val="auto"/>
        </w:rPr>
      </w:pPr>
    </w:p>
    <w:p>
      <w:pPr>
        <w:spacing w:after="0" w:line="22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9</w:t>
      </w:r>
    </w:p>
    <w:p>
      <w:pPr>
        <w:sectPr>
          <w:pgSz w:w="11900" w:h="16838" w:orient="portrait"/>
          <w:cols w:equalWidth="0" w:num="1">
            <w:col w:w="11360"/>
          </w:cols>
          <w:pgMar w:left="240" w:top="365" w:right="299" w:bottom="1440" w:gutter="0" w:footer="0" w:header="0"/>
        </w:sectPr>
      </w:pPr>
    </w:p>
    <w:bookmarkStart w:id="44" w:name="page45"/>
    <w:bookmarkEnd w:id="44"/>
    <w:p>
      <w:pPr>
        <w:ind w:right="20" w:firstLine="656"/>
        <w:spacing w:after="0" w:line="247" w:lineRule="auto"/>
        <w:tabs>
          <w:tab w:leader="none" w:pos="106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is wholly or partially denied, notice of the decision, meeting the requirements of Section 7.4(b), shall be furnished to the claimant within a reasonable period of time after receipt of the claim by the Company. If notice of the denial of a claim is not furnished in accordance with this Section 7.4(a) within a reasonable period of time, the claim shall be deemed denied and the claimant shall be permitted to proceed to the review stage described in Section 7.4(c). For purposes of this Section 7.4(a), the period of time for notification to the claimant will not exceed 90 days (45 days for Disability claims)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(45 days for Disability claims). In no event shall such extension exceed a period of 90 days (30 days for Disability claims) from the end of such initial period. The extension notice shall indicate the special circumstances requiring an extension of time and the date by which the Administrator expects to render the final decision (see the paragraph below for the contents of the extension notice with respect to Disability claims).</w:t>
      </w:r>
    </w:p>
    <w:p>
      <w:pPr>
        <w:spacing w:after="0" w:line="1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1"/>
          <w:szCs w:val="21"/>
          <w:color w:val="auto"/>
        </w:rPr>
        <w:t>In addition, with respect to Disability claims, if, prior to the end of the first 30-day extension period, the Administrator determines that, due to matters beyond the control of the Plan, a decision cannot be rendered within that extension period, the period for making the determination may be extended for up to an additional 30 days, provided that the Administrator notifies the claimant, prior to the expiration of the first 30-day extension period, of the circumstances requiring the extension and the date as of which the Plan expects to render a decision. Both notices of extension shall specifically explain the standards on which entitlement to a benefit is based, the unresolved issues that prevent a decision on the claim, and the additional information needed to resolve those issues, and the claimant shall be afforded at least 45 days within which to provide the specified information.</w:t>
      </w:r>
    </w:p>
    <w:p>
      <w:pPr>
        <w:spacing w:after="0" w:line="174" w:lineRule="exact"/>
        <w:rPr>
          <w:sz w:val="20"/>
          <w:szCs w:val="20"/>
          <w:color w:val="auto"/>
        </w:rPr>
      </w:pPr>
    </w:p>
    <w:p>
      <w:pPr>
        <w:ind w:right="300" w:firstLine="656"/>
        <w:spacing w:after="0" w:line="284" w:lineRule="auto"/>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provide to every claimant who is denied a claim for benefits written notice setting forth in a manner calculated to be understood by the claimant:</w:t>
      </w:r>
    </w:p>
    <w:p>
      <w:pPr>
        <w:spacing w:after="0" w:line="144"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pertinent provisions of the Plan on which the denial is based;</w:t>
      </w:r>
    </w:p>
    <w:p>
      <w:pPr>
        <w:spacing w:after="0" w:line="219"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 and an explanation of why such material or information is necessary;</w:t>
      </w:r>
    </w:p>
    <w:p>
      <w:pPr>
        <w:spacing w:after="0" w:line="157"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information as to the steps to be taken if the Participant or Beneficiary wishes to submit a claim for review; and</w:t>
      </w:r>
    </w:p>
    <w:p>
      <w:pPr>
        <w:spacing w:after="0" w:line="157" w:lineRule="exact"/>
        <w:rPr>
          <w:rFonts w:ascii="Times New Roman" w:cs="Times New Roman" w:eastAsia="Times New Roman" w:hAnsi="Times New Roman"/>
          <w:sz w:val="22"/>
          <w:szCs w:val="22"/>
          <w:color w:val="auto"/>
        </w:rPr>
      </w:pPr>
    </w:p>
    <w:p>
      <w:pPr>
        <w:ind w:left="1960" w:right="160" w:hanging="655"/>
        <w:spacing w:after="0" w:line="265" w:lineRule="auto"/>
        <w:tabs>
          <w:tab w:leader="none" w:pos="196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adverse benefit determination regarding Disability benefits, if an internal rule, guideline, protocol or other similar criterion was relied upon in making the adverse determination, either a copy of the specific rule, guideline, protocol or other similar criterion, or a statement that such rule, guideline, protocol or other similar criterion was relied upon in making the adverse determination and that a copy of such rule, guideline, protocol or other criterion will be provided free of charge to the claimant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10</w:t>
      </w:r>
    </w:p>
    <w:p>
      <w:pPr>
        <w:sectPr>
          <w:pgSz w:w="11900" w:h="16838" w:orient="portrait"/>
          <w:cols w:equalWidth="0" w:num="1">
            <w:col w:w="11420"/>
          </w:cols>
          <w:pgMar w:left="240" w:top="369" w:right="239" w:bottom="1440" w:gutter="0" w:footer="0" w:header="0"/>
        </w:sectPr>
      </w:pPr>
    </w:p>
    <w:bookmarkStart w:id="45" w:name="page46"/>
    <w:bookmarkEnd w:id="45"/>
    <w:p>
      <w:pPr>
        <w:jc w:val="both"/>
        <w:ind w:firstLine="656"/>
        <w:spacing w:after="0" w:line="257" w:lineRule="auto"/>
        <w:tabs>
          <w:tab w:leader="none" w:pos="106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is denied in whole or in part and if the claimant is dissatisfied with the disposition of the claim, the claimant or the claimant’s duly authorized representative shall have a reasonable opportunity to appeal the denied claim to the Administrator or to a person designated by the Administrator, and shall have a full and fair review of the claim and its denial. Under this review procedure, a claimant or the claimant’s duly authorized representative may:</w:t>
      </w:r>
    </w:p>
    <w:p>
      <w:pPr>
        <w:spacing w:after="0" w:line="172"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a review upon written application to the Administrator;</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pertinent documents; and</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issues and comments in writing.</w:t>
      </w:r>
    </w:p>
    <w:p>
      <w:pPr>
        <w:spacing w:after="0" w:line="22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A claimant must file such a request for review of a denied claim within a reasonable period of time, not to exceed 60 days (180 days for Disability claims) after receipt by the claimant of written notification of denial of a claim.</w:t>
      </w:r>
    </w:p>
    <w:p>
      <w:pPr>
        <w:spacing w:after="0" w:line="158" w:lineRule="exact"/>
        <w:rPr>
          <w:sz w:val="20"/>
          <w:szCs w:val="20"/>
          <w:color w:val="auto"/>
        </w:rPr>
      </w:pPr>
    </w:p>
    <w:p>
      <w:pPr>
        <w:ind w:right="120" w:firstLine="656"/>
        <w:spacing w:after="0" w:line="261" w:lineRule="auto"/>
        <w:tabs>
          <w:tab w:leader="none" w:pos="108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decision by the Administrator shall be made promptly and shall not ordinarily be made later than 60 days (45 days for Disability claims) after the receipt by the Administrator of a request for review, unless special circumstances (such as the need to hold a hearing) require an extension of time for processing, in which case a decision shall be rendered as soon as possible, but not later than 120 days (90 days for Disability claims)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on which the decision is based. The decision on review shall be furnished to the claimant within the period of time described in this subsection (d). If the decision on review is not furnished within such time, the claim shall be deemed denied on review.</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VIII.  AMENDMENT OR TERMINATION</w:t>
      </w:r>
    </w:p>
    <w:p>
      <w:pPr>
        <w:spacing w:after="0" w:line="237"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The Company reserves the power to amend or terminate the Plan at any time by action of the Committee which may, but need not be ratified by the Board.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 amendment or termination of the Plan shall directly or indirectly reduce the balance of any account described in Article</w:t>
      </w:r>
    </w:p>
    <w:p>
      <w:pPr>
        <w:spacing w:after="0" w:line="39" w:lineRule="exact"/>
        <w:rPr>
          <w:sz w:val="20"/>
          <w:szCs w:val="20"/>
          <w:color w:val="auto"/>
        </w:rPr>
      </w:pPr>
    </w:p>
    <w:p>
      <w:pPr>
        <w:ind w:right="160" w:firstLine="8"/>
        <w:spacing w:after="0" w:line="244" w:lineRule="auto"/>
        <w:tabs>
          <w:tab w:leader="none" w:pos="27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of such amendment or termination. Upon termination of the Plan, distribution of amounts credited to such account shall be made to the Participant or the Participant’s Beneficiary in accordance with Article VI. No additional credits or contributions will be made to any account under the Plan after termination of the Plan, but gains or losses will continue to be credited to the Participant’s account under the Plan until all benefits are distributed to the Participant or the Participant’s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11</w:t>
      </w:r>
    </w:p>
    <w:p>
      <w:pPr>
        <w:sectPr>
          <w:pgSz w:w="11900" w:h="16838" w:orient="portrait"/>
          <w:cols w:equalWidth="0" w:num="1">
            <w:col w:w="11360"/>
          </w:cols>
          <w:pgMar w:left="240" w:top="369" w:right="299" w:bottom="1440" w:gutter="0" w:footer="0" w:header="0"/>
        </w:sectPr>
      </w:pPr>
    </w:p>
    <w:bookmarkStart w:id="46" w:name="page47"/>
    <w:bookmarkEnd w:id="46"/>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No amendment or termination of the Plan shall directly or indirectly deprive any current or former Participant or Surviving Spouse of all or any portion of any benefit under Article IV or Article V of the Plan, payment of which has commenced prior to the effective date of such amendment or termination or which would be payable if the Participant terminated employment for any reason, including death, on such effective date.</w:t>
      </w:r>
    </w:p>
    <w:p>
      <w:pPr>
        <w:spacing w:after="0" w:line="180"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Any acceleration of the time and form of payment as a result of the termination of the Plan shall be in accordance with Treasury Regulation Section 1.409A-3(])(4)(ix).</w:t>
      </w:r>
    </w:p>
    <w:p>
      <w:pPr>
        <w:spacing w:after="0" w:line="15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IX.  SOURCE OF PAYMENTS; NATURE OF INTEREST</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The Trust</w:t>
      </w:r>
    </w:p>
    <w:p>
      <w:pPr>
        <w:spacing w:after="0" w:line="224"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1"/>
          <w:szCs w:val="21"/>
          <w:color w:val="auto"/>
        </w:rPr>
        <w:t>The Company has established a Trust that may be used to pay benefits arising under the Plan and costs, charges and expenses relating thereto. Funds deposited in the Trust shall remain the sole and exclusive property of the Company. To the extent that the funds held in the Trust are insufficient to pay such benefits, costs, charges and expenses, the Company shall pay them.</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No Alienation</w:t>
      </w:r>
    </w:p>
    <w:p>
      <w:pPr>
        <w:spacing w:after="0" w:line="22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Except as the Committee determines is required by law or order of a court of competent jurisdiction, neither the benefits payable hereunder nor the right to receive future benefits under the Plan may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any person or entity, including claims for alimony, support, separate maintenance and claims in bankruptcy proceedings.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Unfunded Plan</w:t>
      </w:r>
    </w:p>
    <w:p>
      <w:pPr>
        <w:spacing w:after="0" w:line="22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The Plan at all times shall be considered entirely unfunded both for tax purposes and for purposes of Title I of ERISA. Funds invested under the Plan, including amounts held in the Trust,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the Company’s bankruptcy or insolvency, the Company shall notify the Trustee in writing of such occurrence promptly following the date the Company obtains knowledge of such occurrence. No Participant, Surviving Spouse, Beneficiary or any other person shall have any interest in any particular assets of the Company by reason of the right to receive a benefit under the Plan, and to the extent the Participant, Surviving Spouse, Beneficiary or any other person acquires a right to receive benefits under the Plan, such right shall be no greater than the right of any general unsecured creditor of the Company. The Plan constitutes a mere promise by the Company to make payments to the Participants, Surviving Spouses, or Beneficiaries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12</w:t>
      </w:r>
    </w:p>
    <w:p>
      <w:pPr>
        <w:sectPr>
          <w:pgSz w:w="11900" w:h="16838" w:orient="portrait"/>
          <w:cols w:equalWidth="0" w:num="1">
            <w:col w:w="11420"/>
          </w:cols>
          <w:pgMar w:left="240" w:top="369" w:right="239" w:bottom="1440" w:gutter="0" w:footer="0" w:header="0"/>
        </w:sectPr>
      </w:pPr>
    </w:p>
    <w:bookmarkStart w:id="47" w:name="page48"/>
    <w:bookmarkEnd w:id="47"/>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No Guaranty</w:t>
      </w:r>
    </w:p>
    <w:p>
      <w:pPr>
        <w:spacing w:after="0" w:line="224"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Nothing contained in the Plan shall constitute a guaranty by the Company or any other person or entity that any funds in the Trust or the assets of the Company will be sufficient to pay any benefit hereunder.</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Transfers to the Trust</w:t>
      </w:r>
    </w:p>
    <w:p>
      <w:pPr>
        <w:spacing w:after="0" w:line="224" w:lineRule="exact"/>
        <w:rPr>
          <w:sz w:val="20"/>
          <w:szCs w:val="20"/>
          <w:color w:val="auto"/>
        </w:rPr>
      </w:pPr>
    </w:p>
    <w:p>
      <w:pPr>
        <w:ind w:firstLine="567"/>
        <w:spacing w:after="0" w:line="246" w:lineRule="auto"/>
        <w:rPr>
          <w:sz w:val="20"/>
          <w:szCs w:val="20"/>
          <w:color w:val="auto"/>
        </w:rPr>
      </w:pPr>
      <w:r>
        <w:rPr>
          <w:rFonts w:ascii="Times New Roman" w:cs="Times New Roman" w:eastAsia="Times New Roman" w:hAnsi="Times New Roman"/>
          <w:sz w:val="22"/>
          <w:szCs w:val="22"/>
          <w:color w:val="auto"/>
        </w:rPr>
        <w:t>On the occurrence of a Change of Control, the Company shall transfer cash or property to the Trust in an amount equal to the present value of all accumulated or accrued benefits then payable to or on behalf the Participant or Participants under the Plan, plus any applicable fees. The Company may also transfer cash or property to the Trust in an amount equal to the present value of all accumulated or accrued benefits then payable under the Plan at any time in the sole discretion of the Company. Thereafter, the Company shall, for each Plan Year, transfer cash or property no later than 30 days after the end of the Plan Year in which the initial transfer occurs, and thereafter on each anniversary thereof, to the Trust for the benefit of each affected individual in an amount equal to the additional benefit accrued under the terms of the Plan during and in relation to the most recent Plan Year then ended. In the event of a transfer, the accounts of the Participants, established pursuant to Article III shall be credited with interest or earnings and losses in accordance with Section 3.3.</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Unsecured General Creditor</w:t>
      </w:r>
    </w:p>
    <w:p>
      <w:pPr>
        <w:spacing w:after="0" w:line="22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Participants, Surviving Spouses, Beneficiaries and their heirs, successors and assigns shall have no legal or equitable rights, interests or claims in any property or assets of the Company or of the Trust. For purposes of the payment of benefits under the Plan, any and all of the Company’s assets including any assets of the Trust shall be, and remain until paid, the general, unpledged, unrestricted assets of the Company. The Company’s obligation under the Plan shall consist solely of an unfunded and unsecured promise to pay money in the future.</w:t>
      </w:r>
    </w:p>
    <w:p>
      <w:pPr>
        <w:spacing w:after="0" w:line="1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b w:val="1"/>
          <w:bCs w:val="1"/>
          <w:color w:val="auto"/>
        </w:rPr>
        <w:t>X.  GENERAL PROVISIONS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No Right of Employment</w:t>
      </w:r>
    </w:p>
    <w:p>
      <w:pPr>
        <w:spacing w:after="0" w:line="224"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No Participant or Surviving Spouse shall have any right to a benefit under the Plan except in accordance with the terms of the Plan. Establishment of the Plan shall not be construed to give any Participant the right to be retained in the service of the Company or any Subsidiary.</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Incompetency</w:t>
      </w:r>
    </w:p>
    <w:p>
      <w:pPr>
        <w:spacing w:after="0" w:line="224" w:lineRule="exact"/>
        <w:rPr>
          <w:sz w:val="20"/>
          <w:szCs w:val="20"/>
          <w:color w:val="auto"/>
        </w:rPr>
      </w:pPr>
    </w:p>
    <w:p>
      <w:pPr>
        <w:jc w:val="both"/>
        <w:ind w:right="80" w:firstLine="648"/>
        <w:spacing w:after="0" w:line="248" w:lineRule="auto"/>
        <w:rPr>
          <w:sz w:val="20"/>
          <w:szCs w:val="20"/>
          <w:color w:val="auto"/>
        </w:rPr>
      </w:pPr>
      <w:r>
        <w:rPr>
          <w:rFonts w:ascii="Times New Roman" w:cs="Times New Roman" w:eastAsia="Times New Roman" w:hAnsi="Times New Roman"/>
          <w:sz w:val="22"/>
          <w:szCs w:val="22"/>
          <w:color w:val="auto"/>
        </w:rPr>
        <w:t>If any person entitled to a benefit payment under the Plan is declared incompetent and a conservator or other person legally charged with the care of such person or the estate of such person is appointed, any benefits under the Plan to which such person is entitled shall be paid to such conservator or other person. Except as provided above, when the Administrator determines that such person is unable to manage such person’s financial affairs, the Administrator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13</w:t>
      </w:r>
    </w:p>
    <w:p>
      <w:pPr>
        <w:sectPr>
          <w:pgSz w:w="11900" w:h="16838" w:orient="portrait"/>
          <w:cols w:equalWidth="0" w:num="1">
            <w:col w:w="11400"/>
          </w:cols>
          <w:pgMar w:left="240" w:top="365" w:right="259" w:bottom="1440" w:gutter="0" w:footer="0" w:header="0"/>
        </w:sectPr>
      </w:pPr>
    </w:p>
    <w:bookmarkStart w:id="48" w:name="page49"/>
    <w:bookmarkEnd w:id="48"/>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Corporate Changes</w:t>
      </w:r>
    </w:p>
    <w:p>
      <w:pPr>
        <w:spacing w:after="0" w:line="22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The Plan shall not be automatically terminated by a transfer or sale of assets of the Company or by the merger or consolidation of the Company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Article VIII.</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Addresses</w:t>
      </w:r>
    </w:p>
    <w:p>
      <w:pPr>
        <w:spacing w:after="0" w:line="224" w:lineRule="exact"/>
        <w:rPr>
          <w:sz w:val="20"/>
          <w:szCs w:val="20"/>
          <w:color w:val="auto"/>
        </w:rPr>
      </w:pPr>
    </w:p>
    <w:p>
      <w:pPr>
        <w:ind w:right="680" w:firstLine="648"/>
        <w:spacing w:after="0" w:line="271" w:lineRule="auto"/>
        <w:rPr>
          <w:sz w:val="20"/>
          <w:szCs w:val="20"/>
          <w:color w:val="auto"/>
        </w:rPr>
      </w:pPr>
      <w:r>
        <w:rPr>
          <w:rFonts w:ascii="Times New Roman" w:cs="Times New Roman" w:eastAsia="Times New Roman" w:hAnsi="Times New Roman"/>
          <w:sz w:val="22"/>
          <w:szCs w:val="22"/>
          <w:color w:val="auto"/>
        </w:rPr>
        <w:t>Each Participant shall keep the Company informed of the Participant’s current address and the current address of the Participant’s spouse or designated Beneficiary. The Company shall not be obligated to search for any person.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Limitations on Liability</w:t>
      </w:r>
    </w:p>
    <w:p>
      <w:pPr>
        <w:spacing w:after="0" w:line="22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Notwithstanding any of the preceding provisions of the Plan, neither the Company nor any individual acting as an employee or agent of the Company shall be liable to any Participant, former Participant, Surviving Spouse, Beneficiary or any other person for any claim, loss, liability or expense incurred in connection with the Plan, unless attributable to fraud or willful misconduct on the part of the Company or any such employee or agent of the Company.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Inspection</w:t>
      </w:r>
    </w:p>
    <w:p>
      <w:pPr>
        <w:spacing w:after="0" w:line="224"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Each Participant shall receive a copy of the Plan, and the Company will make available for inspection by any Participant or Beneficiary a copy of any rules and regulations that are used by the Company in administering the Plan.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color w:val="auto"/>
        </w:rPr>
        <w:t>Withholding</w:t>
      </w:r>
    </w:p>
    <w:p>
      <w:pPr>
        <w:spacing w:after="0" w:line="224"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Any amounts payable pursuant to the Plan may be reduced by the amount of any federal, state or local taxes that the Company reasonably determines is required by law to be withheld with respect to such payments. In addition, any amount payable pursuant to the Plan may be reduced by any amount owed by the Participant to the Company or any Subsidiary if, and only to the extent, permitted under Code section 409A.</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10.8</w:t>
      </w:r>
      <w:r>
        <w:rPr>
          <w:sz w:val="20"/>
          <w:szCs w:val="20"/>
          <w:color w:val="auto"/>
        </w:rPr>
        <w:tab/>
      </w:r>
      <w:r>
        <w:rPr>
          <w:rFonts w:ascii="Times New Roman" w:cs="Times New Roman" w:eastAsia="Times New Roman" w:hAnsi="Times New Roman"/>
          <w:sz w:val="21"/>
          <w:szCs w:val="21"/>
          <w:b w:val="1"/>
          <w:bCs w:val="1"/>
          <w:color w:val="auto"/>
        </w:rPr>
        <w:t>Singular and Plural</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when otherwise required by the context, any singular terminology shall include the plural.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14</w:t>
      </w:r>
    </w:p>
    <w:p>
      <w:pPr>
        <w:sectPr>
          <w:pgSz w:w="11900" w:h="16838" w:orient="portrait"/>
          <w:cols w:equalWidth="0" w:num="1">
            <w:col w:w="11400"/>
          </w:cols>
          <w:pgMar w:left="240" w:top="365" w:right="259" w:bottom="1440" w:gutter="0" w:footer="0" w:header="0"/>
        </w:sectPr>
      </w:pPr>
    </w:p>
    <w:bookmarkStart w:id="49" w:name="page50"/>
    <w:bookmarkEnd w:id="49"/>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10.9</w:t>
      </w:r>
      <w:r>
        <w:rPr>
          <w:sz w:val="20"/>
          <w:szCs w:val="20"/>
          <w:color w:val="auto"/>
        </w:rPr>
        <w:tab/>
      </w:r>
      <w:r>
        <w:rPr>
          <w:rFonts w:ascii="Times New Roman" w:cs="Times New Roman" w:eastAsia="Times New Roman" w:hAnsi="Times New Roman"/>
          <w:sz w:val="21"/>
          <w:szCs w:val="21"/>
          <w:b w:val="1"/>
          <w:bCs w:val="1"/>
          <w:color w:val="auto"/>
        </w:rPr>
        <w:t>Severability</w:t>
      </w:r>
    </w:p>
    <w:p>
      <w:pPr>
        <w:spacing w:after="0" w:line="224"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10.10  Discharge of Obligations</w:t>
      </w:r>
    </w:p>
    <w:p>
      <w:pPr>
        <w:spacing w:after="0" w:line="224" w:lineRule="exact"/>
        <w:rPr>
          <w:sz w:val="20"/>
          <w:szCs w:val="20"/>
          <w:color w:val="auto"/>
        </w:rPr>
      </w:pPr>
    </w:p>
    <w:p>
      <w:pPr>
        <w:ind w:right="340" w:firstLine="648"/>
        <w:spacing w:after="0" w:line="257" w:lineRule="auto"/>
        <w:rPr>
          <w:sz w:val="20"/>
          <w:szCs w:val="20"/>
          <w:color w:val="auto"/>
        </w:rPr>
      </w:pPr>
      <w:r>
        <w:rPr>
          <w:rFonts w:ascii="Times New Roman" w:cs="Times New Roman" w:eastAsia="Times New Roman" w:hAnsi="Times New Roman"/>
          <w:sz w:val="22"/>
          <w:szCs w:val="22"/>
          <w:color w:val="auto"/>
        </w:rPr>
        <w:t>The payment of benefits under the Plan to a Participant, Surviving Spouse, or any Beneficiary shall fully and completely discharge the Company and the Committee from all further obligations under the Plan with respect to the Participant, and any Beneficiary or Surviving Spouse.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10.11  Governing Law</w:t>
      </w:r>
    </w:p>
    <w:p>
      <w:pPr>
        <w:spacing w:after="0" w:line="22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To the extent that it is not governed by United States federal law, the Plan shall be construed, administered and governed in all respects under and by the applicable laws of the State of Delaware, excluding any conflicts or choice of law rule or principle that might otherwise refer construction or interpretation of the Plan to the substantive law of another jurisdiction.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10.12  Successors</w:t>
      </w:r>
    </w:p>
    <w:p>
      <w:pPr>
        <w:spacing w:after="0" w:line="224"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The provisions of the Plan shall bind and inure to the benefit of the Company and the Company’s successors and assigns, the Participant, and the Participant’s Surviving Spouse and designated Beneficiaries.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10.13  No Assurance of Tax Consequences</w:t>
      </w:r>
    </w:p>
    <w:p>
      <w:pPr>
        <w:spacing w:after="0" w:line="224" w:lineRule="exact"/>
        <w:rPr>
          <w:sz w:val="20"/>
          <w:szCs w:val="20"/>
          <w:color w:val="auto"/>
        </w:rPr>
      </w:pPr>
    </w:p>
    <w:p>
      <w:pPr>
        <w:ind w:right="320" w:firstLine="648"/>
        <w:spacing w:after="0" w:line="275" w:lineRule="auto"/>
        <w:rPr>
          <w:sz w:val="20"/>
          <w:szCs w:val="20"/>
          <w:color w:val="auto"/>
        </w:rPr>
      </w:pPr>
      <w:r>
        <w:rPr>
          <w:rFonts w:ascii="Times New Roman" w:cs="Times New Roman" w:eastAsia="Times New Roman" w:hAnsi="Times New Roman"/>
          <w:sz w:val="21"/>
          <w:szCs w:val="21"/>
          <w:color w:val="auto"/>
        </w:rPr>
        <w:t>Neither the Company nor the Board nor any other person guarantees or assures a Participant, Surviving Spouse or Beneficiary of any particular federal or state income tax, payroll tax or other tax consequence of participation in the Plan. A Participant should consult with professional tax advisors regarding all questions related to the tax consequences of participation.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10.14  Code Section 409A</w:t>
      </w:r>
    </w:p>
    <w:p>
      <w:pPr>
        <w:spacing w:after="0" w:line="224"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auto"/>
        </w:rPr>
        <w:t>The Plan document is intended to comply with the requirements of Code Section 409A (including accompanying regulations and current IRS guidance) and conform to the current operation of the Plan. The terms of the Plan shall be interpreted, operated and administered in a manner consistent with this intention to the extent the Committee deems necessary to comply with Code Section 409A and any official guidance issued thereunder.</w:t>
      </w:r>
    </w:p>
    <w:p>
      <w:pPr>
        <w:spacing w:after="0" w:line="18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__/s/ Amy E. Dahl</w:t>
      </w:r>
      <w:r>
        <w:rPr>
          <w:rFonts w:ascii="Times New Roman" w:cs="Times New Roman" w:eastAsia="Times New Roman" w:hAnsi="Times New Roman"/>
          <w:sz w:val="22"/>
          <w:szCs w:val="22"/>
          <w:color w:val="auto"/>
        </w:rPr>
        <w:t>________________</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Amy E. Dahl________________</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Its:___ </w:t>
      </w:r>
      <w:r>
        <w:rPr>
          <w:rFonts w:ascii="Times New Roman" w:cs="Times New Roman" w:eastAsia="Times New Roman" w:hAnsi="Times New Roman"/>
          <w:sz w:val="22"/>
          <w:szCs w:val="22"/>
          <w:u w:val="single" w:color="auto"/>
          <w:color w:val="auto"/>
        </w:rPr>
        <w:t>Vice President, Human Resources</w:t>
      </w:r>
    </w:p>
    <w:p>
      <w:pPr>
        <w:spacing w:after="0" w:line="24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color w:val="auto"/>
        </w:rPr>
        <w:t xml:space="preserve">Page </w:t>
      </w:r>
      <w:r>
        <w:rPr>
          <w:rFonts w:ascii="Arial" w:cs="Arial" w:eastAsia="Arial" w:hAnsi="Arial"/>
          <w:sz w:val="14"/>
          <w:szCs w:val="14"/>
          <w:color w:val="auto"/>
        </w:rPr>
        <w:t>15</w:t>
      </w:r>
    </w:p>
    <w:p>
      <w:pPr>
        <w:sectPr>
          <w:pgSz w:w="11900" w:h="16838" w:orient="portrait"/>
          <w:cols w:equalWidth="0" w:num="1">
            <w:col w:w="11420"/>
          </w:cols>
          <w:pgMar w:left="240" w:top="365"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Amended and Restated Effective January 1, 2017</w:t>
      </w:r>
    </w:p>
    <w:p>
      <w:pPr>
        <w:sectPr>
          <w:pgSz w:w="11900" w:h="16838" w:orient="portrait"/>
          <w:cols w:equalWidth="0" w:num="1">
            <w:col w:w="10220"/>
          </w:cols>
          <w:pgMar w:left="1440" w:top="122"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8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20" w:type="dxa"/>
            <w:vAlign w:val="bottom"/>
          </w:tcPr>
          <w:p>
            <w:pPr>
              <w:ind w:left="31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12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120" w:type="dxa"/>
            <w:vAlign w:val="bottom"/>
          </w:tcPr>
          <w:p>
            <w:pPr>
              <w:ind w:left="168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DEFINITIONS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1</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ELIGIBILITY; PARTICIPATION; DEFERRAL</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Eligibility</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Participation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Deferral Election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6</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PARTICIPANTS’ ACCOUNTS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6</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General</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6</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Deferral Credits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Company Credits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3.4</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Earnings on Participant Accounts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VESTING</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DISTRIBUTIONS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Distributable Events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Distribution of Benefits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8</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 Distributions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9</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5.4</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Commencement of Distributions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9</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5.5</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Six-Month Delay for Payments to Specified Employee</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5.6</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Acceleration or Delay of Distribution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BENEFICIARY DESIGNATION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VII.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ADMINISTRATION OF THE PLAN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7.1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Administrator</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7.2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Authority of Administrator</w:t>
            </w:r>
          </w:p>
        </w:tc>
        <w:tc>
          <w:tcPr>
            <w:tcW w:w="2120" w:type="dxa"/>
            <w:vAlign w:val="bottom"/>
          </w:tcPr>
          <w:p>
            <w:pPr>
              <w:jc w:val="center"/>
              <w:ind w:left="157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7.3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Operation of Plan</w:t>
            </w:r>
          </w:p>
        </w:tc>
        <w:tc>
          <w:tcPr>
            <w:tcW w:w="2120" w:type="dxa"/>
            <w:vAlign w:val="bottom"/>
          </w:tcPr>
          <w:p>
            <w:pPr>
              <w:jc w:val="center"/>
              <w:ind w:left="157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7.4</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Claims Procedures</w:t>
            </w:r>
          </w:p>
        </w:tc>
        <w:tc>
          <w:tcPr>
            <w:tcW w:w="2120" w:type="dxa"/>
            <w:vAlign w:val="bottom"/>
          </w:tcPr>
          <w:p>
            <w:pPr>
              <w:jc w:val="center"/>
              <w:ind w:left="157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VIII.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AMENDMENT OR TERMINATION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13</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8.1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Amendment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13</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8.2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Termination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13</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IX.</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SOURCE OF PAYMENTS; NATURE OF INTEREST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14</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Trust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14</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 Alienation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14</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Unfunded Plan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14</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9.4</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 Guaranty</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14</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9.5</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Transfers to the Trust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14</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9.6</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Unsecured General Creditor</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15</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X.</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GENERAL PROVISIONS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 Right of Employment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Incompetency</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Corporate Changes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10.4</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Addresses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16</w:t>
            </w:r>
          </w:p>
        </w:tc>
      </w:tr>
    </w:tbl>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380"/>
          </w:cols>
          <w:pgMar w:left="280" w:top="1026"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83"/>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10.5</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Limitations on Liability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10.6</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Inspection</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10.7</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Withholding</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10.8</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Singular and Plural</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10.9</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10.10</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Discharge of Obligations</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10.11</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Governing Law</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10.12</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Successors</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10.13</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 Assurance of Tax Consequences</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10.14</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Code Section 409A</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580"/>
          </w:cols>
          <w:pgMar w:left="1080" w:top="774" w:right="239" w:bottom="1440" w:gutter="0" w:footer="0" w:header="0"/>
        </w:sectPr>
      </w:pPr>
    </w:p>
    <w:bookmarkStart w:id="53" w:name="page54"/>
    <w:bookmarkEnd w:id="53"/>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THE TORO COMPANY DEFERRED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January 1, 2017</w:t>
      </w:r>
    </w:p>
    <w:p>
      <w:pPr>
        <w:spacing w:after="0" w:line="224"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2"/>
          <w:szCs w:val="22"/>
          <w:color w:val="auto"/>
        </w:rPr>
        <w:t>The Toro Company hereby amends and restates its Deferred Compensation Plan, most recently amended and restated effective January 1, 2009 (the “Plan”). This amendment and restatement continues to apply to all amounts deferred on or after January 1, 2005. All grandfathered amounts earned and vested as of December 31, 2004 shall continue to be governed by the 2004 Plan in accordance with then applicable IRS guidance. All amounts earned or vested from January 1, 2005 through December 31, 2008 shall be governed by the terms of the Plan document, as modified by the operations of the Plan during such period in accordance with Code Section 409A and then applicable IRS guidance (including transition relief).</w:t>
      </w:r>
    </w:p>
    <w:p>
      <w:pPr>
        <w:spacing w:after="0" w:line="181"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22"/>
          <w:szCs w:val="22"/>
          <w:color w:val="auto"/>
        </w:rPr>
        <w:t>The Plan is an unfunded retirement plan maintained by The Toro Company primarily for the purpose of providing deferred compensation for a select group of management or highly compensated employees within the meaning of ERISA sections 201(2), 301(a)(3) and 401(a)(1).</w:t>
      </w:r>
    </w:p>
    <w:p>
      <w:pPr>
        <w:spacing w:after="0" w:line="169" w:lineRule="exact"/>
        <w:rPr>
          <w:sz w:val="20"/>
          <w:szCs w:val="20"/>
          <w:color w:val="auto"/>
        </w:rPr>
      </w:pPr>
    </w:p>
    <w:p>
      <w:pPr>
        <w:ind w:left="5800"/>
        <w:spacing w:after="0"/>
        <w:tabs>
          <w:tab w:leader="none" w:pos="612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24"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When used in the Plan document, the following terms have the meanings indicated unless a different meaning is plainly required by the context.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2004 Plan</w:t>
      </w:r>
      <w:r>
        <w:rPr>
          <w:rFonts w:ascii="Times New Roman" w:cs="Times New Roman" w:eastAsia="Times New Roman" w:hAnsi="Times New Roman"/>
          <w:sz w:val="22"/>
          <w:szCs w:val="22"/>
          <w:color w:val="auto"/>
        </w:rPr>
        <w:t>” means the terms of The Toro Company Deferred Compensation Plan in place as of December 31, 2004.</w:t>
      </w:r>
    </w:p>
    <w:p>
      <w:pPr>
        <w:spacing w:after="0" w:line="220"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a book entry account established and maintained in the Company’s records in the name of the Participant pursuant to Article III.</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is defined in Section 7.1.</w:t>
      </w:r>
    </w:p>
    <w:p>
      <w:pPr>
        <w:spacing w:after="0" w:line="220"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all persons with whom the Company would be considered a single employer under Code section 414(b) or 414(c).</w:t>
      </w:r>
    </w:p>
    <w:p>
      <w:pPr>
        <w:spacing w:after="0" w:line="158"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the person or persons selected by the Participant to receive the benefits provided under the Plan in the event of the Participant’s death as provided in Article VI.</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w:t>
      </w:r>
    </w:p>
    <w:p>
      <w:pPr>
        <w:sectPr>
          <w:pgSz w:w="11900" w:h="16838" w:orient="portrait"/>
          <w:cols w:equalWidth="0" w:num="1">
            <w:col w:w="11420"/>
          </w:cols>
          <w:pgMar w:left="240" w:top="621" w:right="239" w:bottom="1440" w:gutter="0" w:footer="0" w:header="0"/>
        </w:sectPr>
      </w:pPr>
    </w:p>
    <w:bookmarkStart w:id="54" w:name="page55"/>
    <w:bookmarkEnd w:id="54"/>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 Plan</w:t>
      </w:r>
      <w:r>
        <w:rPr>
          <w:rFonts w:ascii="Times New Roman" w:cs="Times New Roman" w:eastAsia="Times New Roman" w:hAnsi="Times New Roman"/>
          <w:sz w:val="22"/>
          <w:szCs w:val="22"/>
          <w:color w:val="auto"/>
        </w:rPr>
        <w:t>” means the annual performance awards granted under The Toro Company Amended and Restated 2010 Equity and Incentive Plan, as amended from time to time, and any successor plan designated as such by the Board.</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Election</w:t>
      </w:r>
      <w:r>
        <w:rPr>
          <w:rFonts w:ascii="Times New Roman" w:cs="Times New Roman" w:eastAsia="Times New Roman" w:hAnsi="Times New Roman"/>
          <w:sz w:val="22"/>
          <w:szCs w:val="22"/>
          <w:color w:val="auto"/>
        </w:rPr>
        <w:t>” means a Participant’s election under Section 5.2(c) to change the method of payment of amounts payable under the Plan, made in the manner prescribed by the Administrator.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40" w:firstLine="656"/>
        <w:spacing w:after="0" w:line="262" w:lineRule="auto"/>
        <w:tabs>
          <w:tab w:leader="none" w:pos="110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Exchange Act) (a “Person”) of beneficial ownership (within the meaning of Rule 13d-3 under the Exchange Act) of fifteen percent (15%) or more of either (i) the then-outstanding shares of Common Stock of the Company (the “Outstanding Company Common Stock”) or</w:t>
      </w:r>
    </w:p>
    <w:p>
      <w:pPr>
        <w:spacing w:after="0" w:line="2" w:lineRule="exact"/>
        <w:rPr>
          <w:rFonts w:ascii="Times New Roman" w:cs="Times New Roman" w:eastAsia="Times New Roman" w:hAnsi="Times New Roman"/>
          <w:sz w:val="21"/>
          <w:szCs w:val="21"/>
          <w:color w:val="auto"/>
        </w:rPr>
      </w:pPr>
    </w:p>
    <w:p>
      <w:pPr>
        <w:ind w:right="20" w:firstLine="8"/>
        <w:spacing w:after="0" w:line="244" w:lineRule="auto"/>
        <w:tabs>
          <w:tab w:leader="none" w:pos="3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(w) any acquisition directly from the Company, (x) any acquisition by the Company, (y) any acquisition by any employee benefit plan (or related trust) sponsored or maintained by the Company or any corporation controlled by the Company, or (z) any acquisition by any corporation pursuant to a transaction that complies with clauses (i), (ii) and (iii) of subsection (c) of this definition; or</w:t>
      </w:r>
    </w:p>
    <w:p>
      <w:pPr>
        <w:spacing w:after="0" w:line="188" w:lineRule="exact"/>
        <w:rPr>
          <w:rFonts w:ascii="Times New Roman" w:cs="Times New Roman" w:eastAsia="Times New Roman" w:hAnsi="Times New Roman"/>
          <w:sz w:val="22"/>
          <w:szCs w:val="22"/>
          <w:color w:val="auto"/>
        </w:rPr>
      </w:pPr>
    </w:p>
    <w:p>
      <w:pPr>
        <w:ind w:right="20" w:firstLine="656"/>
        <w:spacing w:after="0" w:line="248" w:lineRule="auto"/>
        <w:tabs>
          <w:tab w:leader="none" w:pos="111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2" w:lineRule="exact"/>
        <w:rPr>
          <w:rFonts w:ascii="Times New Roman" w:cs="Times New Roman" w:eastAsia="Times New Roman" w:hAnsi="Times New Roman"/>
          <w:sz w:val="22"/>
          <w:szCs w:val="22"/>
          <w:color w:val="auto"/>
        </w:rPr>
      </w:pPr>
    </w:p>
    <w:p>
      <w:pPr>
        <w:ind w:right="60" w:firstLine="656"/>
        <w:spacing w:after="0" w:line="245" w:lineRule="auto"/>
        <w:tabs>
          <w:tab w:leader="none" w:pos="110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fifteen percent (15%) or more of, respectively, the then-outstanding shares of common stock of the corporation resulting from such Business Combination or the combined voting power of the then-outstanding voting securities of such</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ectPr>
          <w:pgSz w:w="11900" w:h="16838" w:orient="portrait"/>
          <w:cols w:equalWidth="0" w:num="1">
            <w:col w:w="11420"/>
          </w:cols>
          <w:pgMar w:left="240" w:top="625" w:right="239" w:bottom="1440" w:gutter="0" w:footer="0" w:header="0"/>
        </w:sectPr>
      </w:pPr>
    </w:p>
    <w:bookmarkStart w:id="55" w:name="page56"/>
    <w:bookmarkEnd w:id="55"/>
    <w:p>
      <w:pPr>
        <w:ind w:right="80"/>
        <w:spacing w:after="0" w:line="252" w:lineRule="auto"/>
        <w:rPr>
          <w:sz w:val="20"/>
          <w:szCs w:val="20"/>
          <w:color w:val="auto"/>
        </w:rPr>
      </w:pPr>
      <w:r>
        <w:rPr>
          <w:rFonts w:ascii="Times New Roman" w:cs="Times New Roman" w:eastAsia="Times New Roman" w:hAnsi="Times New Roman"/>
          <w:sz w:val="22"/>
          <w:szCs w:val="22"/>
          <w:color w:val="auto"/>
        </w:rPr>
        <w:t>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Approval by the stockholders of the Company of a complete liquidation or dissolution of the Company.</w:t>
      </w:r>
    </w:p>
    <w:p>
      <w:pPr>
        <w:spacing w:after="0" w:line="220" w:lineRule="exact"/>
        <w:rPr>
          <w:sz w:val="20"/>
          <w:szCs w:val="20"/>
          <w:color w:val="auto"/>
        </w:rPr>
      </w:pPr>
    </w:p>
    <w:p>
      <w:pPr>
        <w:ind w:righ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including, when the context requires, all regulations, interpretations and rulings issued thereunder.</w:t>
      </w:r>
    </w:p>
    <w:p>
      <w:pPr>
        <w:spacing w:after="0" w:line="158"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and Human Resources Committee of the Board or any successor committee and its delegates with respect to the Plan.</w:t>
      </w:r>
    </w:p>
    <w:p>
      <w:pPr>
        <w:spacing w:after="0" w:line="158"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Company’s common stock, par value $1.00 per share, and related preferred share purchase rights, as such shares may be adjusted in accordance with the Performance Share Plan.</w:t>
      </w:r>
    </w:p>
    <w:p>
      <w:pPr>
        <w:spacing w:after="0" w:line="158"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Toro Company, a Delaware corporation. Except as used in Articles VII and VIII, “Company” also includes any participating Subsidiary.</w:t>
      </w:r>
    </w:p>
    <w:p>
      <w:pPr>
        <w:spacing w:after="0" w:line="158"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means all amounts received, or entitled to be received, by a Participant from the Company or any Affiliate that are subject to federal income tax withholding; provided that (a) Compensation shall not include any amount received by a Participant on account of the grant or exercise of an option to purchase Common Stock, or on account of any other amount received in connection with an award under the Performance Share Plan or successor plan that is based on the value of Common Stock; (b) Compensation shall include an amount equal to any reductions in a Participant’s gross income as a result of salary reductions under Section 125, 132(f)(4) or 402(e)(3) of the Code or a deferral under this Plan; (c) Compensation includes cash payments to which an employee may be entitled under the Bonus Plan or any other cash performance bonus plan; and (d) Compensation shall not include any amount received by a Participant for services rendered after the Participant’s Separation from Service or that constitutes separation pay.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Deferral Election</w:t>
      </w:r>
      <w:r>
        <w:rPr>
          <w:rFonts w:ascii="Times New Roman" w:cs="Times New Roman" w:eastAsia="Times New Roman" w:hAnsi="Times New Roman"/>
          <w:sz w:val="22"/>
          <w:szCs w:val="22"/>
          <w:color w:val="auto"/>
        </w:rPr>
        <w:t>” means a Participant’s election under Section 2.3, made in a manner prescribed by the Administrator.</w:t>
      </w:r>
    </w:p>
    <w:p>
      <w:pPr>
        <w:spacing w:after="0" w:line="22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the Participant is (a) unable to engage in any substantial gainful activity by reason of any medically determinable physical or mental impairment that can be expected to result in death or can be expected to last for a continuous period of not less than 12 months; (b) receiving income replacement benefits for a period of not less than three months under an accident and health plan covering Company employees because of any medically determinable physical or mental impairment that can be expected to result in death or can be expected to last for a continuous period of not less than 12 months; (c) determined to be totally disabled by the Social Security Administration or Railroad Retirement Board; or (d) determined to be disabled in accordance with the Company’s long term disability plan, provided that such plan’s definition complies with Treasury Regulation Section 1.409 A-3(i)(4).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w:t>
      </w:r>
    </w:p>
    <w:p>
      <w:pPr>
        <w:sectPr>
          <w:pgSz w:w="11900" w:h="16838" w:orient="portrait"/>
          <w:cols w:equalWidth="0" w:num="1">
            <w:col w:w="11420"/>
          </w:cols>
          <w:pgMar w:left="240" w:top="625" w:right="239" w:bottom="1440" w:gutter="0" w:footer="0" w:header="0"/>
        </w:sectPr>
      </w:pPr>
    </w:p>
    <w:bookmarkStart w:id="56" w:name="page57"/>
    <w:bookmarkEnd w:id="56"/>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an employee of the Company or a Subsidiary who is classified by the Company or a Subsidiary at the director level or above and who is determined by the Company to be a member of a select group of management or highly compensated employees and eligible to participate in this Plan.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fiscal year of the Company, which begins on November 1 and ends on the following October 31.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Internal Revenue Service.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Eligible Employee who delivers a Deferral Election in accordance with Section 2.3.</w:t>
      </w:r>
    </w:p>
    <w:p>
      <w:pPr>
        <w:spacing w:after="0" w:line="220" w:lineRule="exact"/>
        <w:rPr>
          <w:sz w:val="20"/>
          <w:szCs w:val="20"/>
          <w:color w:val="auto"/>
        </w:rPr>
      </w:pPr>
    </w:p>
    <w:p>
      <w:pPr>
        <w:jc w:val="both"/>
        <w:ind w:right="1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Share Plan</w:t>
      </w:r>
      <w:r>
        <w:rPr>
          <w:rFonts w:ascii="Times New Roman" w:cs="Times New Roman" w:eastAsia="Times New Roman" w:hAnsi="Times New Roman"/>
          <w:sz w:val="22"/>
          <w:szCs w:val="22"/>
          <w:color w:val="auto"/>
        </w:rPr>
        <w:t>” means The Toro Company Amended and Restated 2010 Equity and Incentive Plan, as amended from time to time, and any successor plan designated as such by the Board. For performance-based equity awards granted prior to March 16, 2010, Performance Share Plan means The Toro Company Performance Share Plan.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Deferred Compensation Plan, as set forth in this document and amended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the calendar year.</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Plan</w:t>
      </w:r>
      <w:r>
        <w:rPr>
          <w:rFonts w:ascii="Times New Roman" w:cs="Times New Roman" w:eastAsia="Times New Roman" w:hAnsi="Times New Roman"/>
          <w:sz w:val="22"/>
          <w:szCs w:val="22"/>
          <w:color w:val="auto"/>
        </w:rPr>
        <w:t>” means The Toro Company Investment, Savings and Employee Stock Ownership Plan or any successor or replacement plan.</w:t>
      </w:r>
    </w:p>
    <w:p>
      <w:pPr>
        <w:spacing w:after="0" w:line="158"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means any termination of employment with the Company and all Affiliates due to retirement, death, disability, resignation, termination or other reason, provided, however, that no Separation from Service is deemed to occur while a Participant is on a bona fide leave of absence that does not exceed six months, or if longer, the period during which the Participant’s right to reemployment with the Company or any Affiliate is provided by statute or by contract. A Separation from Service shall also include such other change in employment status that constitutes a “separation from service” under Code section 409A.</w:t>
      </w:r>
    </w:p>
    <w:p>
      <w:pPr>
        <w:spacing w:after="0" w:line="18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means, for purposes of complying with the requirements of Code section 409A(a)(2)(B)(i) (relating to the 6-month delay of benefit distribution payable on account of a Separation from Service), a Participant who is a key employee as defined in Code section 416(i) (without regard to Code section 416(i)(5)) of the Company or any Affiliate at any time during the calendar year ending December 31, shall be treated as a Specified Employee for the entire 12-month period beginning on the next following April 1. For calendar years ending prior to January 1, 2017, a Participant will be treated as a key employee during a calendar year if the Participant was an elected officer at any time during the calendar year. For calendar years beginning on or after January 1, 2017, a Participant will be treated as a key employee if the Participant was an officer as defined for purposes of Section 16 of the Securities Exchange Act of 1934 at any time during the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w:t>
      </w:r>
    </w:p>
    <w:p>
      <w:pPr>
        <w:sectPr>
          <w:pgSz w:w="11900" w:h="16838" w:orient="portrait"/>
          <w:cols w:equalWidth="0" w:num="1">
            <w:col w:w="11420"/>
          </w:cols>
          <w:pgMar w:left="240" w:top="625" w:right="239" w:bottom="1440" w:gutter="0" w:footer="0" w:header="0"/>
        </w:sectPr>
      </w:pPr>
    </w:p>
    <w:bookmarkStart w:id="57" w:name="page58"/>
    <w:bookmarkEnd w:id="57"/>
    <w:p>
      <w:pPr>
        <w:ind w:right="6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Stable Return Fund Measure</w:t>
      </w:r>
      <w:r>
        <w:rPr>
          <w:rFonts w:ascii="Times New Roman" w:cs="Times New Roman" w:eastAsia="Times New Roman" w:hAnsi="Times New Roman"/>
          <w:sz w:val="22"/>
          <w:szCs w:val="22"/>
          <w:color w:val="auto"/>
        </w:rPr>
        <w:t>” means the earnings rate paid or credited from time to time on assets held in the Stable Return Fund, or such other fund maintained to replace the Stable Return Fund, under the Retirement Plan.</w:t>
      </w:r>
    </w:p>
    <w:p>
      <w:pPr>
        <w:spacing w:after="0" w:line="158"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corporation that is a component member of the controlled group of corporations of which the Company is the common parent. Controlled group shall be determined by reference to Section 1563 of the Code but shall include any corporation described in Section 1563(b)(2) thereof.</w:t>
      </w:r>
    </w:p>
    <w:p>
      <w:pPr>
        <w:spacing w:after="0" w:line="17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means the trust established or maintained by the Company that may be used in connection with the Plan to assist the Company in meeting its obligations under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means the corporation or person or persons selected by the Company to serve as Trustee for the Trust.</w:t>
      </w:r>
    </w:p>
    <w:p>
      <w:pPr>
        <w:spacing w:after="0" w:line="220"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Unforeseeable Emergency</w:t>
      </w:r>
      <w:r>
        <w:rPr>
          <w:rFonts w:ascii="Times New Roman" w:cs="Times New Roman" w:eastAsia="Times New Roman" w:hAnsi="Times New Roman"/>
          <w:sz w:val="22"/>
          <w:szCs w:val="22"/>
          <w:color w:val="auto"/>
        </w:rPr>
        <w:t>” means a severe financial hardship to a Participant resulting from an illness or accident of the Participant, the Participant’s spouse, the Participant’s Beneficiary or the Participant’s dependent (as defined in Code Section 152, without regard to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For example, (a) imminent foreclosure of or eviction from the Participant’s primary residence may constitute an Unforeseeable Emergency; (b) the need to pay for medical expenses, including nonrefundable deductibles, as well as for the costs of prescription drug medications, may constitute an Unforeseeable Emergency; (c) the need to pay for the funeral expenses of a spouse, a Beneficiary or a dependent (as defined in Code Section 152, without regard to Sections 152(b)(1), (b)(2) and (d)(1)(B)) may also constitute an Unforeseeable Emergency; and (d) the purchase of a home and the payment of college tuition are not Unforeseeable Emergencies.</w:t>
      </w:r>
    </w:p>
    <w:p>
      <w:pPr>
        <w:spacing w:after="0" w:line="18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II.  ELIGIBILITY; PARTICIPATION; DEFERRAL</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Eligibility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Eligible Employee is eligible to participate in the Plan.</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Participation</w:t>
      </w:r>
    </w:p>
    <w:p>
      <w:pPr>
        <w:spacing w:after="0" w:line="224" w:lineRule="exact"/>
        <w:rPr>
          <w:sz w:val="20"/>
          <w:szCs w:val="20"/>
          <w:color w:val="auto"/>
        </w:rPr>
      </w:pPr>
    </w:p>
    <w:p>
      <w:pPr>
        <w:ind w:right="800" w:firstLine="648"/>
        <w:spacing w:after="0" w:line="271" w:lineRule="auto"/>
        <w:rPr>
          <w:sz w:val="20"/>
          <w:szCs w:val="20"/>
          <w:color w:val="auto"/>
        </w:rPr>
      </w:pPr>
      <w:r>
        <w:rPr>
          <w:rFonts w:ascii="Times New Roman" w:cs="Times New Roman" w:eastAsia="Times New Roman" w:hAnsi="Times New Roman"/>
          <w:sz w:val="22"/>
          <w:szCs w:val="22"/>
          <w:color w:val="auto"/>
        </w:rPr>
        <w:t>An Eligible Employee will become a Participant in the Plan by executing and delivering to the Administrator, or its delegate, a Deferral Election as provided under Section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ectPr>
          <w:pgSz w:w="11900" w:h="16838" w:orient="portrait"/>
          <w:cols w:equalWidth="0" w:num="1">
            <w:col w:w="11420"/>
          </w:cols>
          <w:pgMar w:left="240" w:top="625" w:right="239" w:bottom="1440" w:gutter="0" w:footer="0" w:header="0"/>
        </w:sectPr>
      </w:pPr>
    </w:p>
    <w:bookmarkStart w:id="58" w:name="page59"/>
    <w:bookmarkEnd w:id="58"/>
    <w:p>
      <w:pPr>
        <w:jc w:val="both"/>
        <w:ind w:right="260" w:firstLine="648"/>
        <w:spacing w:after="0" w:line="257" w:lineRule="auto"/>
        <w:rPr>
          <w:sz w:val="20"/>
          <w:szCs w:val="20"/>
          <w:color w:val="auto"/>
        </w:rPr>
      </w:pPr>
      <w:r>
        <w:rPr>
          <w:rFonts w:ascii="Times New Roman" w:cs="Times New Roman" w:eastAsia="Times New Roman" w:hAnsi="Times New Roman"/>
          <w:sz w:val="22"/>
          <w:szCs w:val="22"/>
          <w:color w:val="auto"/>
        </w:rPr>
        <w:t>Once an Eligible Employee has become a Participant, the Participant’s Account under the Plan will remain in effect until distributed as provided herein, even if for any subsequent Plan Year or portion thereof the employee ceases to meet the eligibility requirements of this Article II or ceases to be a Participant for any other reason.</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Deferral Election</w:t>
      </w:r>
    </w:p>
    <w:p>
      <w:pPr>
        <w:spacing w:after="0" w:line="224" w:lineRule="exact"/>
        <w:rPr>
          <w:sz w:val="20"/>
          <w:szCs w:val="20"/>
          <w:color w:val="auto"/>
        </w:rPr>
      </w:pPr>
    </w:p>
    <w:p>
      <w:pPr>
        <w:ind w:right="20" w:firstLine="656"/>
        <w:spacing w:after="0" w:line="251" w:lineRule="auto"/>
        <w:tabs>
          <w:tab w:leader="none" w:pos="106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A Participant may elect to defer Compensation for a calendar year by completing and submitting a Deferral Election to the Administrator, or its delegate, by December 31 to be effective in the following year. Notwithstanding the foregoing, elections to defer cash bonus Compensation, including but not limited to payments under the Bonus Plan, must be made on a Fiscal Year basis. A Participant may elect to defer such bonus Compensation by completing and submitting a Deferral Election to the Administrator, or its delegate, by the end of the Fiscal Year immediately preceding the Fiscal Year in which the services giving rise to the bonus are to be performed.</w:t>
      </w:r>
    </w:p>
    <w:p>
      <w:pPr>
        <w:spacing w:after="0" w:line="181" w:lineRule="exact"/>
        <w:rPr>
          <w:rFonts w:ascii="Times New Roman" w:cs="Times New Roman" w:eastAsia="Times New Roman" w:hAnsi="Times New Roman"/>
          <w:sz w:val="22"/>
          <w:szCs w:val="22"/>
          <w:color w:val="auto"/>
        </w:rPr>
      </w:pPr>
    </w:p>
    <w:p>
      <w:pPr>
        <w:ind w:right="260" w:firstLine="656"/>
        <w:spacing w:after="0" w:line="271" w:lineRule="auto"/>
        <w:tabs>
          <w:tab w:leader="none" w:pos="111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to be Deferred</w:t>
      </w:r>
      <w:r>
        <w:rPr>
          <w:rFonts w:ascii="Times New Roman" w:cs="Times New Roman" w:eastAsia="Times New Roman" w:hAnsi="Times New Roman"/>
          <w:sz w:val="22"/>
          <w:szCs w:val="22"/>
          <w:color w:val="auto"/>
        </w:rPr>
        <w:t>. A Deferral Election may designate such percentage of the Participant’s Compensation to be deferred as established from time to time by the Administrator and set forth in the form of Deferral Election.</w:t>
      </w:r>
    </w:p>
    <w:p>
      <w:pPr>
        <w:spacing w:after="0" w:line="157" w:lineRule="exact"/>
        <w:rPr>
          <w:rFonts w:ascii="Times New Roman" w:cs="Times New Roman" w:eastAsia="Times New Roman" w:hAnsi="Times New Roman"/>
          <w:sz w:val="22"/>
          <w:szCs w:val="22"/>
          <w:color w:val="auto"/>
        </w:rPr>
      </w:pPr>
    </w:p>
    <w:p>
      <w:pPr>
        <w:ind w:right="580" w:firstLine="656"/>
        <w:spacing w:after="0" w:line="252" w:lineRule="auto"/>
        <w:tabs>
          <w:tab w:leader="none" w:pos="110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A Deferral Election shall take effect as of January 1 of the year following the year in which it is received or for the deferral of bonus Compensation payable on a Fiscal Year basis, the first day of the Company’s Fiscal Year following the Fiscal Year in which the Deferral Election is received by the Administrator. A Deferral Election shall become irrevocable on the date it becomes effective.</w:t>
      </w:r>
    </w:p>
    <w:p>
      <w:pPr>
        <w:spacing w:after="0" w:line="179" w:lineRule="exact"/>
        <w:rPr>
          <w:rFonts w:ascii="Times New Roman" w:cs="Times New Roman" w:eastAsia="Times New Roman" w:hAnsi="Times New Roman"/>
          <w:sz w:val="22"/>
          <w:szCs w:val="22"/>
          <w:color w:val="auto"/>
        </w:rPr>
      </w:pPr>
    </w:p>
    <w:p>
      <w:pPr>
        <w:ind w:right="100" w:firstLine="656"/>
        <w:spacing w:after="0" w:line="257" w:lineRule="auto"/>
        <w:tabs>
          <w:tab w:leader="none" w:pos="111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A Participant shall not be eligible to defer Compensation for any calendar year or bonus Compensation for any Fiscal Year following the year in which the Participant no longer satisfies the eligibility requirements of the Plan, unless the Committee in its discretion permits such a deferral.</w:t>
      </w:r>
    </w:p>
    <w:p>
      <w:pPr>
        <w:spacing w:after="0" w:line="173" w:lineRule="exact"/>
        <w:rPr>
          <w:rFonts w:ascii="Times New Roman" w:cs="Times New Roman" w:eastAsia="Times New Roman" w:hAnsi="Times New Roman"/>
          <w:sz w:val="22"/>
          <w:szCs w:val="22"/>
          <w:color w:val="auto"/>
        </w:rPr>
      </w:pPr>
    </w:p>
    <w:p>
      <w:pPr>
        <w:ind w:right="20" w:firstLine="656"/>
        <w:spacing w:after="0" w:line="250" w:lineRule="auto"/>
        <w:tabs>
          <w:tab w:leader="none" w:pos="110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Deferral Election Upon 401(k) Hardship</w:t>
      </w:r>
      <w:r>
        <w:rPr>
          <w:rFonts w:ascii="Times New Roman" w:cs="Times New Roman" w:eastAsia="Times New Roman" w:hAnsi="Times New Roman"/>
          <w:sz w:val="22"/>
          <w:szCs w:val="22"/>
          <w:color w:val="auto"/>
        </w:rPr>
        <w:t>. Notwithstanding the foregoing, in the event that a Participant has received a hardship distribution during the Plan Year from any defined contribution plan with a Code section 401(k) cash or deferred arrangement maintained by the Company or any Affiliate, the Participant’s deferrals to be credited under the Plan shall be cancelled through the end of the current Plan Year, or the end of the subsequent Plan Year if the six-month period under Treasury Regulation Section 1.401(k)-l(d)(3)(iv)(E)(2) does not end in the current Plan Year.</w:t>
      </w:r>
    </w:p>
    <w:p>
      <w:pPr>
        <w:spacing w:after="0" w:line="177" w:lineRule="exact"/>
        <w:rPr>
          <w:rFonts w:ascii="Times New Roman" w:cs="Times New Roman" w:eastAsia="Times New Roman" w:hAnsi="Times New Roman"/>
          <w:sz w:val="22"/>
          <w:szCs w:val="22"/>
          <w:color w:val="auto"/>
        </w:rPr>
      </w:pPr>
    </w:p>
    <w:p>
      <w:pPr>
        <w:ind w:left="5800" w:hanging="492"/>
        <w:spacing w:after="0"/>
        <w:tabs>
          <w:tab w:leader="none" w:pos="5800" w:val="left"/>
        </w:tabs>
        <w:numPr>
          <w:ilvl w:val="1"/>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PARTICIPANTS’ ACCOUNTS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224"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The Company shall establish and maintain an Account, and appropriate subaccounts, for each Participant and shall credit such Accounts as provided under this Article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6</w:t>
      </w:r>
    </w:p>
    <w:p>
      <w:pPr>
        <w:sectPr>
          <w:pgSz w:w="11900" w:h="16838" w:orient="portrait"/>
          <w:cols w:equalWidth="0" w:num="1">
            <w:col w:w="11420"/>
          </w:cols>
          <w:pgMar w:left="240" w:top="625" w:right="239" w:bottom="1440" w:gutter="0" w:footer="0" w:header="0"/>
        </w:sectPr>
      </w:pPr>
    </w:p>
    <w:bookmarkStart w:id="59" w:name="page60"/>
    <w:bookmarkEnd w:id="59"/>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Deferral Credits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Amounts deferred by a Participant under Section 2.3 shall be credited to the Participants’ Accounts.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Company Credits</w:t>
      </w:r>
    </w:p>
    <w:p>
      <w:pPr>
        <w:spacing w:after="0" w:line="224"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The Company shall credit a Participant’s Account as of December 31 each year with an amount equal to the difference between (a) the amount that would have been credited to the Participant’s account under the Retirement Plan for the Plan Year had the Participant not made an election to defer Compensation for the year under Section 2.3 of the Plan, and (b) the amount actually credited to the Participant’s account under the Retirement Plan as an employer contribution (other than 401(k) contributions or matching contributions) for the Plan Year.</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Earnings on Participant Accounts</w:t>
      </w:r>
    </w:p>
    <w:p>
      <w:pPr>
        <w:spacing w:after="0" w:line="224" w:lineRule="exact"/>
        <w:rPr>
          <w:sz w:val="20"/>
          <w:szCs w:val="20"/>
          <w:color w:val="auto"/>
        </w:rPr>
      </w:pPr>
    </w:p>
    <w:p>
      <w:pPr>
        <w:ind w:right="40" w:firstLine="656"/>
        <w:spacing w:after="0" w:line="247" w:lineRule="auto"/>
        <w:tabs>
          <w:tab w:leader="none" w:pos="106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held in an Account maintained for a Participant shall be credited with earnings at a rate and in a manner authorized by the Administrator from time to time; provided that the earnings rate shall be based on a Participant’s selection from among fund choices made available by the Administrator from time to time, and provided further that such choices shall not include a Common Stock fund. Earnings shall be credited as of the end of each business day that the Administrator authorizes the Plan’s recordkeeping system to determine the value of gains and losses. Notwithstanding the foregoing, for Participants who did not make a one-time election as of October 31, 2006 to allocate all funds in all Accounts, past and future, so that earnings are based on the rate of return from one or more of the funds made available by the Administrator as described above, the earnings shall be determined based on the Stable Return Fund Measure. The Administrator will not be responsible in any manner to any Participant, Beneficiary or other person for any damages, losses or liabilities, costs or expenses of any kind arising in connection with any designation of a fund or the Participant’s designation of a crediting rate fund.</w:t>
      </w:r>
    </w:p>
    <w:p>
      <w:pPr>
        <w:spacing w:after="0" w:line="18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b w:val="1"/>
          <w:bCs w:val="1"/>
          <w:color w:val="auto"/>
        </w:rPr>
        <w:t>IV.  VESTING</w:t>
      </w: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amounts credited to a Participant’s Accounts shall be 100% vested at all times.</w:t>
      </w:r>
    </w:p>
    <w:p>
      <w:pPr>
        <w:spacing w:after="0" w:line="200" w:lineRule="exact"/>
        <w:rPr>
          <w:sz w:val="20"/>
          <w:szCs w:val="20"/>
          <w:color w:val="auto"/>
        </w:rPr>
      </w:pPr>
    </w:p>
    <w:p>
      <w:pPr>
        <w:spacing w:after="0" w:line="27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b w:val="1"/>
          <w:bCs w:val="1"/>
          <w:color w:val="auto"/>
        </w:rPr>
        <w:t>V.  DISTRIBUTIONS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Distributable Events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Benefits shall be payable under the Plan to or on behalf of a Participant, in accordance with the elections made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under the Plan, on account of the earliest to occur of the following events:</w:t>
      </w:r>
    </w:p>
    <w:p>
      <w:pPr>
        <w:spacing w:after="0" w:line="196"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(other than on account of death);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7</w:t>
      </w:r>
    </w:p>
    <w:p>
      <w:pPr>
        <w:sectPr>
          <w:pgSz w:w="11900" w:h="16838" w:orient="portrait"/>
          <w:cols w:equalWidth="0" w:num="1">
            <w:col w:w="11420"/>
          </w:cols>
          <w:pgMar w:left="240" w:top="621" w:right="239" w:bottom="1440" w:gutter="0" w:footer="0" w:header="0"/>
        </w:sectPr>
      </w:pPr>
    </w:p>
    <w:bookmarkStart w:id="60" w:name="page61"/>
    <w:bookmarkEnd w:id="60"/>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the specified date under Section 5.3(a).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Benefit payments shall be made or commenced as provided under Section 5.4.</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Distribution of Benefits</w:t>
      </w:r>
    </w:p>
    <w:p>
      <w:pPr>
        <w:spacing w:after="0" w:line="224" w:lineRule="exact"/>
        <w:rPr>
          <w:sz w:val="20"/>
          <w:szCs w:val="20"/>
          <w:color w:val="auto"/>
        </w:rPr>
      </w:pPr>
    </w:p>
    <w:p>
      <w:pPr>
        <w:ind w:right="80" w:firstLine="656"/>
        <w:spacing w:after="0" w:line="284" w:lineRule="auto"/>
        <w:tabs>
          <w:tab w:leader="none" w:pos="106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of Benefits</w:t>
      </w:r>
      <w:r>
        <w:rPr>
          <w:rFonts w:ascii="Times New Roman" w:cs="Times New Roman" w:eastAsia="Times New Roman" w:hAnsi="Times New Roman"/>
          <w:sz w:val="22"/>
          <w:szCs w:val="22"/>
          <w:color w:val="auto"/>
        </w:rPr>
        <w:t>. In the event a Participant becomes eligible to receive a payment under the Plan, the Participant shall be entitled to receive the value of all the Participant’s Accounts for which a benefit distribution is required.</w:t>
      </w:r>
    </w:p>
    <w:p>
      <w:pPr>
        <w:spacing w:after="0" w:line="144" w:lineRule="exact"/>
        <w:rPr>
          <w:rFonts w:ascii="Times New Roman" w:cs="Times New Roman" w:eastAsia="Times New Roman" w:hAnsi="Times New Roman"/>
          <w:sz w:val="22"/>
          <w:szCs w:val="22"/>
          <w:color w:val="auto"/>
        </w:rPr>
      </w:pPr>
    </w:p>
    <w:p>
      <w:pPr>
        <w:jc w:val="both"/>
        <w:ind w:right="500" w:firstLine="656"/>
        <w:spacing w:after="0" w:line="257" w:lineRule="auto"/>
        <w:tabs>
          <w:tab w:leader="none" w:pos="10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of Method of Payment</w:t>
      </w:r>
      <w:r>
        <w:rPr>
          <w:rFonts w:ascii="Times New Roman" w:cs="Times New Roman" w:eastAsia="Times New Roman" w:hAnsi="Times New Roman"/>
          <w:sz w:val="22"/>
          <w:szCs w:val="22"/>
          <w:color w:val="auto"/>
        </w:rPr>
        <w:t>. Benefits payable to a Participant or, in the event of the Participant’s death, to the Participant’s designated Beneficiary under the Plan, shall be paid in accordance with one of the available methods of payment referred to in Section 5.2(d) in accordance with the Participant’s initial Deferral Election unless such Participant has elected to change the method of payment in accordance with Section 5.2(c).</w:t>
      </w:r>
    </w:p>
    <w:p>
      <w:pPr>
        <w:spacing w:after="0" w:line="172" w:lineRule="exact"/>
        <w:rPr>
          <w:rFonts w:ascii="Times New Roman" w:cs="Times New Roman" w:eastAsia="Times New Roman" w:hAnsi="Times New Roman"/>
          <w:sz w:val="22"/>
          <w:szCs w:val="22"/>
          <w:color w:val="auto"/>
        </w:rPr>
      </w:pPr>
    </w:p>
    <w:p>
      <w:pPr>
        <w:ind w:right="120" w:firstLine="656"/>
        <w:spacing w:after="0" w:line="247" w:lineRule="auto"/>
        <w:tabs>
          <w:tab w:leader="none" w:pos="106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Election of Method of Payment</w:t>
      </w:r>
      <w:r>
        <w:rPr>
          <w:rFonts w:ascii="Times New Roman" w:cs="Times New Roman" w:eastAsia="Times New Roman" w:hAnsi="Times New Roman"/>
          <w:sz w:val="22"/>
          <w:szCs w:val="22"/>
          <w:color w:val="auto"/>
        </w:rPr>
        <w:t>. A Participant may change the method of payment by electing another method available under the Plan by completing and submitting a Change Election to the Administrator, or its delegate, at any time up to one year before the date of the Participant’s Separation from Service; provided, however, that a Participant may make only one such Change Election with respect to each applicable Plan Year deferral. Such Change Elections are also subject to the following: (i) any change shall not take effect until at least 12 months after the date on which the election change is made, and (ii) in the case of a Change Election relating to payments other than on account of an Unforeseeable Emergency, death or Disability of the Participant, the payment shall be deferred for a period of not less than five years after the date such payment would otherwise have been paid (or in the case of installment payments treated as a single payment, five years after the date the first installment would otherwise have been paid); and (iii) with respect to the fixed date distribution under 5.3(a) or installment distributions, the election is made at least 12 months prior to the date of the first scheduled payment.</w:t>
      </w:r>
    </w:p>
    <w:p>
      <w:pPr>
        <w:spacing w:after="0" w:line="192" w:lineRule="exact"/>
        <w:rPr>
          <w:rFonts w:ascii="Times New Roman" w:cs="Times New Roman" w:eastAsia="Times New Roman" w:hAnsi="Times New Roman"/>
          <w:sz w:val="22"/>
          <w:szCs w:val="22"/>
          <w:color w:val="auto"/>
        </w:rPr>
      </w:pPr>
    </w:p>
    <w:p>
      <w:pPr>
        <w:ind w:right="140" w:firstLine="656"/>
        <w:spacing w:after="0" w:line="251" w:lineRule="auto"/>
        <w:tabs>
          <w:tab w:leader="none" w:pos="10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Available Methods of Payment</w:t>
      </w:r>
      <w:r>
        <w:rPr>
          <w:rFonts w:ascii="Times New Roman" w:cs="Times New Roman" w:eastAsia="Times New Roman" w:hAnsi="Times New Roman"/>
          <w:sz w:val="22"/>
          <w:szCs w:val="22"/>
          <w:color w:val="auto"/>
        </w:rPr>
        <w:t>. Available methods of payment are (i) substantially equal annual, quarterly or monthly installment payments over a period not to exceed ten years or (ii) a single lump-sum distribution. The amount of a Participant’s substantially equal installment payment will be determined when benefits commence and re-determined each subsequent January by dividing (i) the balance of the Participant’s Account that is subject to the installment distribution at the end of the month preceding the month in which the first payment for the calendar year is to be made by (ii) the number of installment payments remaining to be made.</w:t>
      </w:r>
    </w:p>
    <w:p>
      <w:pPr>
        <w:spacing w:after="0" w:line="181" w:lineRule="exact"/>
        <w:rPr>
          <w:rFonts w:ascii="Times New Roman" w:cs="Times New Roman" w:eastAsia="Times New Roman" w:hAnsi="Times New Roman"/>
          <w:sz w:val="22"/>
          <w:szCs w:val="22"/>
          <w:color w:val="auto"/>
        </w:rPr>
      </w:pPr>
    </w:p>
    <w:p>
      <w:pPr>
        <w:ind w:right="120" w:firstLine="656"/>
        <w:spacing w:after="0" w:line="257" w:lineRule="auto"/>
        <w:tabs>
          <w:tab w:leader="none" w:pos="106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Election of Method of Payment</w:t>
      </w:r>
      <w:r>
        <w:rPr>
          <w:rFonts w:ascii="Times New Roman" w:cs="Times New Roman" w:eastAsia="Times New Roman" w:hAnsi="Times New Roman"/>
          <w:sz w:val="22"/>
          <w:szCs w:val="22"/>
          <w:color w:val="auto"/>
        </w:rPr>
        <w:t>. If a Participant fails to elect a method of payment in the Participant’s initial Deferral Election, benefits payable under the Plan to or on behalf of a Participant shall be paid in a single distribution to the Participant, or in the event of the Participant’s death, to the Participant’s designated Beneficiary under the Plan. Any change in this default election must comply with Section 5.2(c).</w:t>
      </w:r>
    </w:p>
    <w:p>
      <w:pPr>
        <w:spacing w:after="0" w:line="172" w:lineRule="exact"/>
        <w:rPr>
          <w:rFonts w:ascii="Times New Roman" w:cs="Times New Roman" w:eastAsia="Times New Roman" w:hAnsi="Times New Roman"/>
          <w:sz w:val="22"/>
          <w:szCs w:val="22"/>
          <w:color w:val="auto"/>
        </w:rPr>
      </w:pPr>
    </w:p>
    <w:p>
      <w:pPr>
        <w:jc w:val="both"/>
        <w:ind w:firstLine="656"/>
        <w:spacing w:after="0" w:line="257" w:lineRule="auto"/>
        <w:tabs>
          <w:tab w:leader="none" w:pos="110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Beneficiary</w:t>
      </w:r>
      <w:r>
        <w:rPr>
          <w:rFonts w:ascii="Times New Roman" w:cs="Times New Roman" w:eastAsia="Times New Roman" w:hAnsi="Times New Roman"/>
          <w:sz w:val="22"/>
          <w:szCs w:val="22"/>
          <w:color w:val="auto"/>
        </w:rPr>
        <w:t>. If a Beneficiary dies before the Beneficiary’s interest in the Participant’s Account is distributed in full, the remaining Account balance will be paid as soon as practicable in a single lump sum payment to the personal representative (executor or administrator) of the Beneficiary’s estate.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8</w:t>
      </w:r>
    </w:p>
    <w:p>
      <w:pPr>
        <w:sectPr>
          <w:pgSz w:w="11900" w:h="16838" w:orient="portrait"/>
          <w:cols w:equalWidth="0" w:num="1">
            <w:col w:w="11420"/>
          </w:cols>
          <w:pgMar w:left="240" w:top="625" w:right="239" w:bottom="1440" w:gutter="0" w:footer="0" w:header="0"/>
        </w:sectPr>
      </w:pPr>
    </w:p>
    <w:bookmarkStart w:id="61" w:name="page62"/>
    <w:bookmarkEnd w:id="61"/>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Other Distributions</w:t>
      </w:r>
    </w:p>
    <w:p>
      <w:pPr>
        <w:spacing w:after="0" w:line="224" w:lineRule="exact"/>
        <w:rPr>
          <w:sz w:val="20"/>
          <w:szCs w:val="20"/>
          <w:color w:val="auto"/>
        </w:rPr>
      </w:pPr>
    </w:p>
    <w:p>
      <w:pPr>
        <w:ind w:right="200" w:firstLine="656"/>
        <w:spacing w:after="0" w:line="263" w:lineRule="auto"/>
        <w:tabs>
          <w:tab w:leader="none" w:pos="106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Date Distributions</w:t>
      </w:r>
      <w:r>
        <w:rPr>
          <w:rFonts w:ascii="Times New Roman" w:cs="Times New Roman" w:eastAsia="Times New Roman" w:hAnsi="Times New Roman"/>
          <w:sz w:val="22"/>
          <w:szCs w:val="22"/>
          <w:color w:val="auto"/>
        </w:rPr>
        <w:t>. A Participant may elect, in the Participant’s Deferral Election with respect to such deferrals credited to the Participant’s Account, to receive a single sum distribution of the Participant’s Account in a specified year no earlier than two years following the year to which such Deferral Election applies.</w:t>
      </w:r>
    </w:p>
    <w:p>
      <w:pPr>
        <w:spacing w:after="0" w:line="167" w:lineRule="exact"/>
        <w:rPr>
          <w:rFonts w:ascii="Times New Roman" w:cs="Times New Roman" w:eastAsia="Times New Roman" w:hAnsi="Times New Roman"/>
          <w:sz w:val="22"/>
          <w:szCs w:val="22"/>
          <w:color w:val="auto"/>
        </w:rPr>
      </w:pPr>
    </w:p>
    <w:p>
      <w:pPr>
        <w:ind w:firstLine="656"/>
        <w:spacing w:after="0" w:line="247" w:lineRule="auto"/>
        <w:tabs>
          <w:tab w:leader="none" w:pos="10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Unforeseeable Emergency Distribution</w:t>
      </w:r>
      <w:r>
        <w:rPr>
          <w:rFonts w:ascii="Times New Roman" w:cs="Times New Roman" w:eastAsia="Times New Roman" w:hAnsi="Times New Roman"/>
          <w:sz w:val="22"/>
          <w:szCs w:val="22"/>
          <w:color w:val="auto"/>
        </w:rPr>
        <w:t>. A Participant who incurs an Unforeseeable Emergency, as determined by the Administrator based on the relevant facts and circumstances, may make a written request to the Administrator for a hardship withdrawal from the Participant’s account. Upon receiving such a request, the Administrator (i) shall cancel a Participant’s deferrals under the Plan for the remainder of the Plan Year, and (ii) may make a distribution from the Participant’s account. Withdrawals of amounts because of an Unforeseeable Emergency are permitted to the extent reasonably necessary to satisfy the emergency need (which may include amounts necessary to pay any federal, state, local or foreign income taxes or penalties reasonably anticipated to result from the distribution). A distribution on account of an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the Plan.</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Commencement of Distributions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Payment of a benefit shall begin in accordance with the provisions of this Section 5.4.</w:t>
      </w:r>
    </w:p>
    <w:p>
      <w:pPr>
        <w:spacing w:after="0" w:line="220" w:lineRule="exact"/>
        <w:rPr>
          <w:sz w:val="20"/>
          <w:szCs w:val="20"/>
          <w:color w:val="auto"/>
        </w:rPr>
      </w:pPr>
    </w:p>
    <w:p>
      <w:pPr>
        <w:ind w:right="80" w:firstLine="656"/>
        <w:spacing w:after="0" w:line="237" w:lineRule="auto"/>
        <w:tabs>
          <w:tab w:leader="none" w:pos="106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a benefit is payable because of a Participant’s Disability, payment shall begin on the 15th day of the first month immediately following the month in which the determination of Disability is made. If a benefit is payable because of a Participant’s death, payment shall begin on or after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first month immediately following the month in which the death occurred, but not later than the last day of the calendar year immediately following the calendar year in which the Participant’s death occurred.</w:t>
      </w:r>
    </w:p>
    <w:p>
      <w:pPr>
        <w:spacing w:after="0" w:line="195" w:lineRule="exact"/>
        <w:rPr>
          <w:rFonts w:ascii="Times New Roman" w:cs="Times New Roman" w:eastAsia="Times New Roman" w:hAnsi="Times New Roman"/>
          <w:sz w:val="22"/>
          <w:szCs w:val="22"/>
          <w:color w:val="auto"/>
        </w:rPr>
      </w:pPr>
    </w:p>
    <w:p>
      <w:pPr>
        <w:ind w:right="120" w:firstLine="656"/>
        <w:spacing w:after="0" w:line="263" w:lineRule="auto"/>
        <w:tabs>
          <w:tab w:leader="none" w:pos="10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Subject to Section 5.5, if a benefit is payable because of a Participant’s Separation from Service with the Company and all Affiliates for any reason other than death, payment shall begin in the January immediately following the calendar year in which the Separation from Service occurs.</w:t>
      </w:r>
    </w:p>
    <w:p>
      <w:pPr>
        <w:spacing w:after="0" w:line="167" w:lineRule="exact"/>
        <w:rPr>
          <w:rFonts w:ascii="Times New Roman" w:cs="Times New Roman" w:eastAsia="Times New Roman" w:hAnsi="Times New Roman"/>
          <w:sz w:val="22"/>
          <w:szCs w:val="22"/>
          <w:color w:val="auto"/>
        </w:rPr>
      </w:pPr>
    </w:p>
    <w:p>
      <w:pPr>
        <w:ind w:right="40" w:firstLine="656"/>
        <w:spacing w:after="0" w:line="263" w:lineRule="auto"/>
        <w:tabs>
          <w:tab w:leader="none" w:pos="106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In-Service Distribution</w:t>
      </w:r>
      <w:r>
        <w:rPr>
          <w:rFonts w:ascii="Times New Roman" w:cs="Times New Roman" w:eastAsia="Times New Roman" w:hAnsi="Times New Roman"/>
          <w:sz w:val="22"/>
          <w:szCs w:val="22"/>
          <w:color w:val="auto"/>
        </w:rPr>
        <w:t>. If a Participant has properly made a specified date distribution election under Section 5.3(a), which is triggered under Section 5.1, payment shall be made in the January of the calendar year in which the Participant has elected to receive the in-service distribution, as set forth in Participant’s Deferral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9</w:t>
      </w:r>
    </w:p>
    <w:p>
      <w:pPr>
        <w:sectPr>
          <w:pgSz w:w="11900" w:h="16838" w:orient="portrait"/>
          <w:cols w:equalWidth="0" w:num="1">
            <w:col w:w="11420"/>
          </w:cols>
          <w:pgMar w:left="240" w:top="621" w:right="239" w:bottom="1440" w:gutter="0" w:footer="0" w:header="0"/>
        </w:sectPr>
      </w:pPr>
    </w:p>
    <w:bookmarkStart w:id="62" w:name="page63"/>
    <w:bookmarkEnd w:id="62"/>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Six-Month Delay for Payments to Specified Employee</w:t>
      </w:r>
    </w:p>
    <w:p>
      <w:pPr>
        <w:spacing w:after="0" w:line="224"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In the case of a Participant who is a Specified Employee as of the date of the Participant’s Separation from Service, all payments under the Plan to which the Participant is otherwise entitled due to Separation from Service shall not be made or commenced prior to the first day of the month after six months have elapsed since the Participant’s Separation from Service (or, if earlier, the date of death of the Specified Employee) as required under Treasury Regulation Section 1.409A-3(i)(2). For purposes of complying with the preceding sentence, the delay in the distribution of the first payment will be applied to each payment to which the Specified Employee is otherwise entitled upon a Separation from Service.</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color w:val="auto"/>
        </w:rPr>
        <w:t>Acceleration or Delay of Distribution</w:t>
      </w:r>
    </w:p>
    <w:p>
      <w:pPr>
        <w:spacing w:after="0" w:line="224"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The Administrator in its sole discretion may exercise discretion to accelerate or delay the distribution of any payment under this Plan, if, and only to the extent, allowed under Code section 409A.</w:t>
      </w:r>
    </w:p>
    <w:p>
      <w:pPr>
        <w:spacing w:after="0" w:line="1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VI.  BENEFICIARY DESIGNATION</w:t>
      </w:r>
    </w:p>
    <w:p>
      <w:pPr>
        <w:spacing w:after="0" w:line="237" w:lineRule="exact"/>
        <w:rPr>
          <w:sz w:val="20"/>
          <w:szCs w:val="20"/>
          <w:color w:val="auto"/>
        </w:rPr>
      </w:pPr>
    </w:p>
    <w:p>
      <w:pPr>
        <w:ind w:right="840" w:firstLine="648"/>
        <w:spacing w:after="0" w:line="257" w:lineRule="auto"/>
        <w:rPr>
          <w:sz w:val="20"/>
          <w:szCs w:val="20"/>
          <w:color w:val="auto"/>
        </w:rPr>
      </w:pPr>
      <w:r>
        <w:rPr>
          <w:rFonts w:ascii="Times New Roman" w:cs="Times New Roman" w:eastAsia="Times New Roman" w:hAnsi="Times New Roman"/>
          <w:sz w:val="22"/>
          <w:szCs w:val="22"/>
          <w:color w:val="auto"/>
        </w:rPr>
        <w:t>Each Participant shall have the right to designate one or more Beneficiaries (including primary and contingent Beneficiaries) to receive any benefits payable under the Plan. A Participant shall have the right to change a Beneficiary by designating a new Beneficiary in a manner and on a form approved by the Administrator.</w:t>
      </w:r>
    </w:p>
    <w:p>
      <w:pPr>
        <w:spacing w:after="0" w:line="173"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22"/>
          <w:szCs w:val="22"/>
          <w:color w:val="auto"/>
        </w:rPr>
        <w:t>If a Participant fails to designate a Beneficiary or if all designated Beneficiaries predecease the Participant or die prior to complete distribution of the Participant’s benefits, then payment shall be made to the personal representative (executor or administrator) of the Participant’s estate.</w:t>
      </w:r>
    </w:p>
    <w:p>
      <w:pPr>
        <w:spacing w:after="0" w:line="16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VII.  ADMINISTRATION OF THE PLAN</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Administrator</w:t>
      </w:r>
    </w:p>
    <w:p>
      <w:pPr>
        <w:spacing w:after="0" w:line="224"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21"/>
          <w:szCs w:val="21"/>
          <w:color w:val="auto"/>
        </w:rPr>
        <w:t>The Company shall be the Administrator of the Plan. The Committee shall act on behalf of the Company with respect to the administration of the Plan and may delegate authority with respect to the administration of the Plan to a committee, a person or persons as it deems necessary or appropriate for the administration and operation of the Plan, including the Vice President, Human Resources and the Vice President, Secretary and General Counsel, which such officers may further delegate authority with respect to the administration of the Plan. It is the Company’s intention that, with respect to Participants subject to Section 16 of the Securities Exchange Act of 1934, transactions under the Plan will comply with all applicable requirements of Rule 16b-3 or its successors and with any Company policy with respect to insider trading. To the extent any action by the Administrator fails to so comply, it shall be deemed null and void to the extent permitted by law and deemed advisable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10</w:t>
      </w:r>
    </w:p>
    <w:p>
      <w:pPr>
        <w:sectPr>
          <w:pgSz w:w="11900" w:h="16838" w:orient="portrait"/>
          <w:cols w:equalWidth="0" w:num="1">
            <w:col w:w="11420"/>
          </w:cols>
          <w:pgMar w:left="240" w:top="621" w:right="239" w:bottom="1440" w:gutter="0" w:footer="0" w:header="0"/>
        </w:sectPr>
      </w:pPr>
    </w:p>
    <w:bookmarkStart w:id="63" w:name="page64"/>
    <w:bookmarkEnd w:id="63"/>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Authority of Administrator</w:t>
      </w:r>
    </w:p>
    <w:p>
      <w:pPr>
        <w:spacing w:after="0" w:line="22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1"/>
          <w:szCs w:val="21"/>
          <w:color w:val="auto"/>
        </w:rPr>
        <w:t>The Administrator shall have the authority, duty and power to interpret and construe the provisions of the Plan in its sole discretion and as it deems appropriate; to adopt, establish and revise rules, procedures and regulations relating to the Plan; to determine the conditions subject to which any benefits may be payable; to resolve all questions concerning the status and rights of Participants and others under the Plan, including, but not limited to, eligibility for benefits; and to make any other determinations necessary or advisable for the administration of the Plan. The Administrator shall have the duty and responsibility of maintaining records, mailing the requisite calculations and disbursing payments hereunder. The determinations, interpretations, regulations and calculations of the Administrator shall be final and binding on all persons and parties concerned.</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Operation of Plan</w:t>
      </w:r>
    </w:p>
    <w:p>
      <w:pPr>
        <w:spacing w:after="0" w:line="224" w:lineRule="exact"/>
        <w:rPr>
          <w:sz w:val="20"/>
          <w:szCs w:val="20"/>
          <w:color w:val="auto"/>
        </w:rPr>
      </w:pPr>
    </w:p>
    <w:p>
      <w:pPr>
        <w:ind w:right="200" w:firstLine="648"/>
        <w:spacing w:after="0" w:line="249" w:lineRule="auto"/>
        <w:rPr>
          <w:sz w:val="20"/>
          <w:szCs w:val="20"/>
          <w:color w:val="auto"/>
        </w:rPr>
      </w:pPr>
      <w:r>
        <w:rPr>
          <w:rFonts w:ascii="Times New Roman" w:cs="Times New Roman" w:eastAsia="Times New Roman" w:hAnsi="Times New Roman"/>
          <w:sz w:val="22"/>
          <w:szCs w:val="22"/>
          <w:color w:val="auto"/>
        </w:rPr>
        <w:t>The Administrator shall be responsible for the general operation and administration of the Plan and for carrying out the provisions thereof. The Company shall be responsible for the payment of expenses incurred in the administration of the Plan. The Administrator shall be responsible for determining eligibility for payments and the amounts payable pursuant to the Plan. The Administrator shall be entitled to rely conclusively upon all tables, valuations, certificates, opinions and reports furnished by any actuary, accountant, controller, counsel or other person employed or engaged by or on behalf of the Company with respect to the Plan.</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Claims Procedures</w:t>
      </w:r>
    </w:p>
    <w:p>
      <w:pPr>
        <w:spacing w:after="0" w:line="224"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2"/>
          <w:szCs w:val="22"/>
          <w:color w:val="auto"/>
        </w:rPr>
        <w:t>The Company intends to make payments under the Plan without requiring that a Participant submit a claim form. However, a Participant who believes a payment is due under the Plan may submit a claim for payments. For claims procedure purposes, the Administrator shall administer the claims process on behalf of the Company. The procedures in Section 7.4 are intended to comply with Section 503 of ERISA and Section 2560.503-1 of the Department of Labor Regulations and pertain to claims by Participants and Beneficiaries (“claimants”) for Plan benefits, consideration of such claim and review of claim denials. For these purposes, a “claim” is a request for benefits under the Plan and must be made by the claimant in writing filed with the Administrator and must state the claimant’s name and the nature of the benefits payable. A claim is filed when the requirements of these procedures have been met.</w:t>
      </w:r>
    </w:p>
    <w:p>
      <w:pPr>
        <w:spacing w:after="0" w:line="186" w:lineRule="exact"/>
        <w:rPr>
          <w:sz w:val="20"/>
          <w:szCs w:val="20"/>
          <w:color w:val="auto"/>
        </w:rPr>
      </w:pPr>
    </w:p>
    <w:p>
      <w:pPr>
        <w:ind w:right="20" w:firstLine="656"/>
        <w:spacing w:after="0" w:line="247" w:lineRule="auto"/>
        <w:tabs>
          <w:tab w:leader="none" w:pos="106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is wholly or partially denied, notice of the decision, meeting the requirements of Section 7.4(b), shall be furnished to the claimant within a reasonable period of time after receipt of the claim by the Company. If notice of the denial of a claim is not furnished in accordance with this Section 7.4(a) within a reasonable period of time, the claim shall be deemed denied and the claimant shall be permitted to proceed to the review stage described in Section 7.4(c). For purposes of this Section 7.4(a), the period of time for notification to the claimant will not exceed 90 days (45 days for Disability claims)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(45 days for Disability claims). In no event shall such extension exceed a period of 90 days (30 days for Disability claims) from the end of such initial period. The extension notice shall indicate the special circumstances requiring an extension of time and the date by which the Administrator expects to render the final decision (see the paragraph below for the contents of the extension notice with respect to Disability claims).</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11</w:t>
      </w:r>
    </w:p>
    <w:p>
      <w:pPr>
        <w:sectPr>
          <w:pgSz w:w="11900" w:h="16838" w:orient="portrait"/>
          <w:cols w:equalWidth="0" w:num="1">
            <w:col w:w="11420"/>
          </w:cols>
          <w:pgMar w:left="240" w:top="621" w:right="239" w:bottom="1440" w:gutter="0" w:footer="0" w:header="0"/>
        </w:sectPr>
      </w:pPr>
    </w:p>
    <w:bookmarkStart w:id="64" w:name="page65"/>
    <w:bookmarkEnd w:id="64"/>
    <w:p>
      <w:pPr>
        <w:ind w:right="80" w:firstLine="648"/>
        <w:spacing w:after="0" w:line="261" w:lineRule="auto"/>
        <w:rPr>
          <w:sz w:val="20"/>
          <w:szCs w:val="20"/>
          <w:color w:val="auto"/>
        </w:rPr>
      </w:pPr>
      <w:r>
        <w:rPr>
          <w:rFonts w:ascii="Times New Roman" w:cs="Times New Roman" w:eastAsia="Times New Roman" w:hAnsi="Times New Roman"/>
          <w:sz w:val="21"/>
          <w:szCs w:val="21"/>
          <w:color w:val="auto"/>
        </w:rPr>
        <w:t>In addition, with respect to Disability claims, if, prior to the end of the first 30-day extension period, the Administrator determines that, due to matters beyond the control of the Plan, a decision cannot be rendered within that extension period, the period for making the determination may be extended for up to an additional 30 days, provided that the Administrator notifies the claimant, prior to the expiration of the first 30-day extension period, of the circumstances requiring the extension and the date as of which the Plan expects to render a decision. Both notices of extension shall specifically explain the standards on which entitlement to a benefit is based, the unresolved issues that prevent a decision on the claim, and the additional information needed to resolve those issues, and the claimant shall be afforded at least 45 days within which to provide the specified information.</w:t>
      </w:r>
    </w:p>
    <w:p>
      <w:pPr>
        <w:spacing w:after="0" w:line="174" w:lineRule="exact"/>
        <w:rPr>
          <w:sz w:val="20"/>
          <w:szCs w:val="20"/>
          <w:color w:val="auto"/>
        </w:rPr>
      </w:pPr>
    </w:p>
    <w:p>
      <w:pPr>
        <w:ind w:right="300" w:firstLine="656"/>
        <w:spacing w:after="0" w:line="284" w:lineRule="auto"/>
        <w:tabs>
          <w:tab w:leader="none" w:pos="10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provide to every claimant who is denied a claim for benefits written notice setting forth in a manner calculated to be understood by the claimant:</w:t>
      </w:r>
    </w:p>
    <w:p>
      <w:pPr>
        <w:spacing w:after="0" w:line="144"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pertinent provisions of the Plan on which the denial is based;</w:t>
      </w:r>
    </w:p>
    <w:p>
      <w:pPr>
        <w:spacing w:after="0" w:line="219" w:lineRule="exact"/>
        <w:rPr>
          <w:rFonts w:ascii="Times New Roman" w:cs="Times New Roman" w:eastAsia="Times New Roman" w:hAnsi="Times New Roman"/>
          <w:sz w:val="22"/>
          <w:szCs w:val="22"/>
          <w:color w:val="auto"/>
        </w:rPr>
      </w:pPr>
    </w:p>
    <w:p>
      <w:pPr>
        <w:ind w:left="1960" w:right="100" w:hanging="655"/>
        <w:spacing w:after="0" w:line="271" w:lineRule="auto"/>
        <w:tabs>
          <w:tab w:leader="none" w:pos="19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 and an explanation of why such material or information is necessary;</w:t>
      </w:r>
    </w:p>
    <w:p>
      <w:pPr>
        <w:spacing w:after="0" w:line="157" w:lineRule="exact"/>
        <w:rPr>
          <w:rFonts w:ascii="Times New Roman" w:cs="Times New Roman" w:eastAsia="Times New Roman" w:hAnsi="Times New Roman"/>
          <w:sz w:val="22"/>
          <w:szCs w:val="22"/>
          <w:color w:val="auto"/>
        </w:rPr>
      </w:pPr>
    </w:p>
    <w:p>
      <w:pPr>
        <w:ind w:left="1960" w:right="160" w:hanging="655"/>
        <w:spacing w:after="0" w:line="271" w:lineRule="auto"/>
        <w:tabs>
          <w:tab w:leader="none" w:pos="19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information as to the steps to be taken if the Participant or Beneficiary wishes to submit a claim for review; and</w:t>
      </w:r>
    </w:p>
    <w:p>
      <w:pPr>
        <w:spacing w:after="0" w:line="157" w:lineRule="exact"/>
        <w:rPr>
          <w:rFonts w:ascii="Times New Roman" w:cs="Times New Roman" w:eastAsia="Times New Roman" w:hAnsi="Times New Roman"/>
          <w:sz w:val="22"/>
          <w:szCs w:val="22"/>
          <w:color w:val="auto"/>
        </w:rPr>
      </w:pPr>
    </w:p>
    <w:p>
      <w:pPr>
        <w:ind w:left="1960" w:right="160" w:hanging="655"/>
        <w:spacing w:after="0" w:line="265" w:lineRule="auto"/>
        <w:tabs>
          <w:tab w:leader="none" w:pos="196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adverse benefit determination regarding Disability benefits, if an internal rule, guideline, protocol or other similar criterion was relied upon in making the adverse determination, either a copy of the specific rule, guideline, protocol or other similar criterion; or a statement that such rule, guideline, protocol or other similar criterion was relied upon in making the adverse determination and that a copy of such rule, guideline, protocol or other criterion will be provided free of charge to the claimant upon request.</w:t>
      </w:r>
    </w:p>
    <w:p>
      <w:pPr>
        <w:spacing w:after="0" w:line="165" w:lineRule="exact"/>
        <w:rPr>
          <w:rFonts w:ascii="Times New Roman" w:cs="Times New Roman" w:eastAsia="Times New Roman" w:hAnsi="Times New Roman"/>
          <w:sz w:val="21"/>
          <w:szCs w:val="21"/>
          <w:color w:val="auto"/>
        </w:rPr>
      </w:pPr>
    </w:p>
    <w:p>
      <w:pPr>
        <w:jc w:val="both"/>
        <w:ind w:right="60" w:firstLine="656"/>
        <w:spacing w:after="0" w:line="257" w:lineRule="auto"/>
        <w:tabs>
          <w:tab w:leader="none" w:pos="106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is denied in whole or in part and if the claimant is dissatisfied with the disposition of the claim, the claimant or the claimant’s duly authorized representative shall have a reasonable opportunity to appeal the denied claim to the Administrator or to a person designated by the Administrator, and shall have a full and fair review of the claim and its denial. Under this review procedure, a claimant or the claimant’s duly authorized representative may:</w:t>
      </w:r>
    </w:p>
    <w:p>
      <w:pPr>
        <w:spacing w:after="0" w:line="172"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a review upon written application to the Administrator;</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pertinent documents; and</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issues and comments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12</w:t>
      </w:r>
    </w:p>
    <w:p>
      <w:pPr>
        <w:sectPr>
          <w:pgSz w:w="11900" w:h="16838" w:orient="portrait"/>
          <w:cols w:equalWidth="0" w:num="1">
            <w:col w:w="11420"/>
          </w:cols>
          <w:pgMar w:left="240" w:top="625" w:right="239" w:bottom="1440" w:gutter="0" w:footer="0" w:header="0"/>
        </w:sectPr>
      </w:pPr>
    </w:p>
    <w:bookmarkStart w:id="65" w:name="page66"/>
    <w:bookmarkEnd w:id="65"/>
    <w:p>
      <w:pPr>
        <w:ind w:right="420"/>
        <w:spacing w:after="0" w:line="271" w:lineRule="auto"/>
        <w:rPr>
          <w:sz w:val="20"/>
          <w:szCs w:val="20"/>
          <w:color w:val="auto"/>
        </w:rPr>
      </w:pPr>
      <w:r>
        <w:rPr>
          <w:rFonts w:ascii="Times New Roman" w:cs="Times New Roman" w:eastAsia="Times New Roman" w:hAnsi="Times New Roman"/>
          <w:sz w:val="22"/>
          <w:szCs w:val="22"/>
          <w:color w:val="auto"/>
        </w:rPr>
        <w:t>A claimant must file such a request for review of a denied claim within a reasonable period of time, not to exceed 60 days (180 days for Disability claims) after receipt by the claimant of written notification of denial of a claim.</w:t>
      </w:r>
    </w:p>
    <w:p>
      <w:pPr>
        <w:spacing w:after="0" w:line="158" w:lineRule="exact"/>
        <w:rPr>
          <w:sz w:val="20"/>
          <w:szCs w:val="20"/>
          <w:color w:val="auto"/>
        </w:rPr>
      </w:pPr>
    </w:p>
    <w:p>
      <w:pPr>
        <w:ind w:right="180" w:firstLine="656"/>
        <w:spacing w:after="0" w:line="261" w:lineRule="auto"/>
        <w:tabs>
          <w:tab w:leader="none" w:pos="10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decision by the Administrator shall be made promptly and shall not ordinarily be made later than 60 days (45 days for Disability claims) after the receipt by the Administrator of a request for review, unless special circumstances (such as the need to hold a hearing) require an extension of time for processing, in which case a decision shall be rendered as soon as possible, but not later than 120 days (90 days for Disability claims)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on which the decision is based. The decision on review shall be furnished to the claimant within the period of time described in this Section 7.4(d). If the decision on review is not furnished within such time, the claim shall be deemed denied on review.</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VIII.  AMENDMENT OR TERMINATION</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224"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The Company reserves the power to amend or terminate the Plan at any time by action of the Committee, which may, but need not be ratified by the Board; provided that no amendment or modification shall decrease the then current balances of a Participant’s Accounts. No amendment or modification of the Plan shall affect the rights of any Participant or Beneficiary who has become entitled to the distribution of benefits under the Plan as of the date of the amendment or modification.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Termination</w:t>
      </w:r>
    </w:p>
    <w:p>
      <w:pPr>
        <w:spacing w:after="0" w:line="224"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auto"/>
        </w:rPr>
        <w:t>Although the Company anticipates that the Plan will continue for an indefinite period of time, it reserves the right to terminate the Plan at any time with respect to any or all Participants. Termination of the Plan shall not adversely affect the rights under the Plan of any Participant or Beneficiary who has become entitled to the payment of any Plan benefits as of the date of termination. Any acceleration of the time and form of payment as a result of the termination and liquidation of the Plan shall be in accordance with Treasury Regulation Section 1.409A-3(j))(4)(ix).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13</w:t>
      </w:r>
    </w:p>
    <w:p>
      <w:pPr>
        <w:sectPr>
          <w:pgSz w:w="11900" w:h="16838" w:orient="portrait"/>
          <w:cols w:equalWidth="0" w:num="1">
            <w:col w:w="11420"/>
          </w:cols>
          <w:pgMar w:left="240" w:top="625" w:right="239" w:bottom="1440" w:gutter="0" w:footer="0" w:header="0"/>
        </w:sectPr>
      </w:pPr>
    </w:p>
    <w:bookmarkStart w:id="66" w:name="page67"/>
    <w:bookmarkEnd w:id="66"/>
    <w:p>
      <w:pPr>
        <w:ind w:left="4260"/>
        <w:spacing w:after="0"/>
        <w:rPr>
          <w:sz w:val="20"/>
          <w:szCs w:val="20"/>
          <w:color w:val="auto"/>
        </w:rPr>
      </w:pPr>
      <w:r>
        <w:rPr>
          <w:rFonts w:ascii="Times New Roman" w:cs="Times New Roman" w:eastAsia="Times New Roman" w:hAnsi="Times New Roman"/>
          <w:sz w:val="22"/>
          <w:szCs w:val="22"/>
          <w:b w:val="1"/>
          <w:bCs w:val="1"/>
          <w:color w:val="auto"/>
        </w:rPr>
        <w:t>IX.  SOURCE OF PAYMENTS; NATURE OF INTEREST</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Trust</w:t>
      </w:r>
    </w:p>
    <w:p>
      <w:pPr>
        <w:spacing w:after="0" w:line="224"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1"/>
          <w:szCs w:val="21"/>
          <w:color w:val="auto"/>
        </w:rPr>
        <w:t>The Company has established a Trust that may be used to pay benefits arising under the Plan and costs, charges and expenses relating thereto. Funds deposited in the Trust shall remain the sole and exclusive property of the Company. To the extent that the funds held in the Trust are insufficient to pay such benefits, costs, charges and expenses, the Company shall pay them.</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No Alienation</w:t>
      </w:r>
    </w:p>
    <w:p>
      <w:pPr>
        <w:spacing w:after="0" w:line="224"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21"/>
          <w:szCs w:val="21"/>
          <w:color w:val="auto"/>
        </w:rPr>
        <w:t>Except as the Committee determines is required by law or order of a court of competent jurisdiction, neither the amounts credited to a Participant’s Account nor the right to receive future credits under the Plan may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any person or entity, including claims for alimony, support, separate maintenance and claims in bankruptcy proceedings.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Unfunded Plan</w:t>
      </w:r>
    </w:p>
    <w:p>
      <w:pPr>
        <w:spacing w:after="0" w:line="22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The Plan shall at all times be considered entirely unfunded both for tax purposes and for purposes of Title I of ERISA. Funds invested under the Plan, including amounts held in the Trust,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such bankruptcy or insolvency, the Company shall notify the Trustee in writing of such an occurrence promptly following the date Company obtains knowledge of such occurrence. No Participant or any other person shall have any interests in any particular assets of the Company by reason of the right to receive a benefit under the Plan, and to the extent the Participant or any other person acquires a right to receive benefits under the Plan, such right shall be no greater than the right of any general unsecured creditor of the Company. The Plan constitutes a mere promise by the Company to make payments to the Participants in the future.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No Guaranty</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Nothing contained in the Plan shall constitute a guaranty by the Company or any other person or entity that any funds in any trust or the assets of the Company will be sufficient to pay any benefit hereunder.</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Transfers to the Trust</w:t>
      </w:r>
    </w:p>
    <w:p>
      <w:pPr>
        <w:spacing w:after="0" w:line="22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1"/>
          <w:szCs w:val="21"/>
          <w:color w:val="auto"/>
        </w:rPr>
        <w:t>On the occurrence of a Change of Control or if a Participant elects to direct the investment of amounts credited to the Participant’s account pursuant to Article IV, the Company shall transfer cash or property to the account or accounts maintained in the name of each affected Participant or Participants for the Plan under the Trust in an amount equal to the present value of all accumulated or accrued benefits then payable to or on behalf of such Participant or Participants under the Plan, plus any applicable fees. The Company may also transfer cash or property to the accounts maintained for any Participant under the Trust in an amount equal to the present value of all accumulated or accrued benefits then payable under the Plan at any time in the sole discretion of the Company. Thereafter, the Company may, and after a Change of Control it shall, for each Plan Year, transfer cash or property no</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14</w:t>
      </w:r>
    </w:p>
    <w:p>
      <w:pPr>
        <w:sectPr>
          <w:pgSz w:w="11900" w:h="16838" w:orient="portrait"/>
          <w:cols w:equalWidth="0" w:num="1">
            <w:col w:w="11420"/>
          </w:cols>
          <w:pgMar w:left="240" w:top="621" w:right="239" w:bottom="1440" w:gutter="0" w:footer="0" w:header="0"/>
        </w:sectPr>
      </w:pPr>
    </w:p>
    <w:bookmarkStart w:id="67" w:name="page68"/>
    <w:bookmarkEnd w:id="67"/>
    <w:p>
      <w:pPr>
        <w:jc w:val="both"/>
        <w:ind w:right="180"/>
        <w:spacing w:after="0" w:line="268" w:lineRule="auto"/>
        <w:rPr>
          <w:sz w:val="20"/>
          <w:szCs w:val="20"/>
          <w:color w:val="auto"/>
        </w:rPr>
      </w:pPr>
      <w:r>
        <w:rPr>
          <w:rFonts w:ascii="Times New Roman" w:cs="Times New Roman" w:eastAsia="Times New Roman" w:hAnsi="Times New Roman"/>
          <w:sz w:val="21"/>
          <w:szCs w:val="21"/>
          <w:color w:val="auto"/>
        </w:rPr>
        <w:t>later than 30 days after the end of the Plan Year in which the initial transfer occurs, and thereafter on each anniversary thereof, to such account or accounts maintained for the affected Participant or Participants under the Trust an amount equal to the additional benefit accrued under the terms of the Plan during and in relation to the most recent Plan Year then ended. If a transfer occurs, the accounts of the Participants shall be credited with interest, or earnings and losses in accordance with Article III.</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Unsecured General Creditor</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Participants and their Beneficiaries, heirs, successors and assigns shall have no legal or equitable rights, interests or claims in any property or assets of the Company or of the Trust. For purposes of the payment of benefits under the Plan, any and all of the Company’s assets including any assets of the Trust shall be, and remain until paid, the general, unpledged, unrestricted assets of the Company. The Company’s obligation under the Plan shall consist solely of an unfunded and unsecured promise to pay money in the future.</w:t>
      </w:r>
    </w:p>
    <w:p>
      <w:pPr>
        <w:spacing w:after="0" w:line="1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b w:val="1"/>
          <w:bCs w:val="1"/>
          <w:color w:val="auto"/>
        </w:rPr>
        <w:t>X.  GENERAL PROVISIONS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No Right of Employment</w:t>
      </w:r>
    </w:p>
    <w:p>
      <w:pPr>
        <w:spacing w:after="0" w:line="22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No Participant shall have any right to a benefit under the Plan except in accordance with the terms of the Plan. Establishment and continuance of the Plan shall not be construed to give any Participant the right to be retained in the service of the Company or any Subsidiary.</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Incompetency</w:t>
      </w:r>
    </w:p>
    <w:p>
      <w:pPr>
        <w:spacing w:after="0" w:line="224"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22"/>
          <w:szCs w:val="22"/>
          <w:color w:val="auto"/>
        </w:rPr>
        <w:t>If any person who may be eligible to receive a benefit payment under the Plan has been declared incompetent and a conservator or other person legally charged with the care of such person or of the estate of such person has been appointed, any benefits payable under the Plan that the person is eligible to receive shall be paid to such conservator or other person legally charged with the care of the person or such person’s estate. Except as provided above, when the Administrator has determined that such a person is unable to manage such person’s affairs, the Administrator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Corporate Changes</w:t>
      </w:r>
    </w:p>
    <w:p>
      <w:pPr>
        <w:spacing w:after="0" w:line="224"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auto"/>
        </w:rPr>
        <w:t>The Plan shall not be automatically terminated by a transfer or sale of assets of the Company or by the merger or consolidation of the Company into or with any other corporation or other entity, but the Plan shall continue after such sale, merger or consolidation only if and to the extent that the transferee, purchaser or successor entity agrees to continue the Plan. In the event the Plan is not continued by the transferee, purchaser or successor entity, then the Plan shall terminate subject to the provisions of Article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15</w:t>
      </w:r>
    </w:p>
    <w:p>
      <w:pPr>
        <w:sectPr>
          <w:pgSz w:w="11900" w:h="16838" w:orient="portrait"/>
          <w:cols w:equalWidth="0" w:num="1">
            <w:col w:w="11420"/>
          </w:cols>
          <w:pgMar w:left="240" w:top="625" w:right="239" w:bottom="1440" w:gutter="0" w:footer="0" w:header="0"/>
        </w:sectPr>
      </w:pPr>
    </w:p>
    <w:bookmarkStart w:id="68" w:name="page69"/>
    <w:bookmarkEnd w:id="68"/>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Addresses</w:t>
      </w:r>
    </w:p>
    <w:p>
      <w:pPr>
        <w:spacing w:after="0" w:line="224"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Each Participant shall keep the Company informed of the Participant’s current address and the current address of the Participant’s Beneficiary. The Company shall not be obligated to search for any person.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Limitations on Liability</w:t>
      </w:r>
    </w:p>
    <w:p>
      <w:pPr>
        <w:spacing w:after="0" w:line="224" w:lineRule="exact"/>
        <w:rPr>
          <w:sz w:val="20"/>
          <w:szCs w:val="20"/>
          <w:color w:val="auto"/>
        </w:rPr>
      </w:pPr>
    </w:p>
    <w:p>
      <w:pPr>
        <w:ind w:right="260" w:firstLine="648"/>
        <w:spacing w:after="0" w:line="252" w:lineRule="auto"/>
        <w:rPr>
          <w:sz w:val="20"/>
          <w:szCs w:val="20"/>
          <w:color w:val="auto"/>
        </w:rPr>
      </w:pPr>
      <w:r>
        <w:rPr>
          <w:rFonts w:ascii="Times New Roman" w:cs="Times New Roman" w:eastAsia="Times New Roman" w:hAnsi="Times New Roman"/>
          <w:sz w:val="22"/>
          <w:szCs w:val="22"/>
          <w:color w:val="auto"/>
        </w:rPr>
        <w:t>Notwithstanding any of the provisions of the Plan to the contrary, neither the Company nor any individual acting as an employee or agent of the Company shall be liable to any Participant, any former Participant, or any other person for any claim, loss, liability or expense incurred in connection with the Plan, unless attributable to fraud or willful misconduct on the part of the Company or any such employee or agent of the Company.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Inspection</w:t>
      </w:r>
    </w:p>
    <w:p>
      <w:pPr>
        <w:spacing w:after="0" w:line="224"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Each Participant shall receive a copy of the Plan and the Company will make available for inspection by any Participant or designated Beneficiary a copy of any rules and regulations that are used by the Company in administering the Plan.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color w:val="auto"/>
        </w:rPr>
        <w:t>Withholding</w:t>
      </w:r>
    </w:p>
    <w:p>
      <w:pPr>
        <w:spacing w:after="0" w:line="224"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Any amounts payable pursuant to the Plan may be reduced by the amount of any federal, state or local taxes that the Company reasonably determines is required by law to be withheld with respect to such payments. In addition, any amount payable pursuant to the Plan may be reduced by any amount owed by the Participant to the Company or any Subsidiary if, and only to the extent, permitted under Code Section 409A.</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10.8</w:t>
      </w:r>
      <w:r>
        <w:rPr>
          <w:sz w:val="20"/>
          <w:szCs w:val="20"/>
          <w:color w:val="auto"/>
        </w:rPr>
        <w:tab/>
      </w:r>
      <w:r>
        <w:rPr>
          <w:rFonts w:ascii="Times New Roman" w:cs="Times New Roman" w:eastAsia="Times New Roman" w:hAnsi="Times New Roman"/>
          <w:sz w:val="21"/>
          <w:szCs w:val="21"/>
          <w:b w:val="1"/>
          <w:bCs w:val="1"/>
          <w:color w:val="auto"/>
        </w:rPr>
        <w:t>Singular and Plural</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when otherwise required by the context, any singular terminology shall include the plural.</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10.9</w:t>
      </w:r>
      <w:r>
        <w:rPr>
          <w:sz w:val="20"/>
          <w:szCs w:val="20"/>
          <w:color w:val="auto"/>
        </w:rPr>
        <w:tab/>
      </w:r>
      <w:r>
        <w:rPr>
          <w:rFonts w:ascii="Times New Roman" w:cs="Times New Roman" w:eastAsia="Times New Roman" w:hAnsi="Times New Roman"/>
          <w:sz w:val="21"/>
          <w:szCs w:val="21"/>
          <w:b w:val="1"/>
          <w:bCs w:val="1"/>
          <w:color w:val="auto"/>
        </w:rPr>
        <w:t>Severability</w:t>
      </w:r>
    </w:p>
    <w:p>
      <w:pPr>
        <w:spacing w:after="0" w:line="224"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10.10  Discharge of Obligations</w:t>
      </w:r>
    </w:p>
    <w:p>
      <w:pPr>
        <w:spacing w:after="0" w:line="224"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The payment of benefits under the Plan to a Participant or any Beneficiary shall fully and completely discharge the Company, the Administrator and the Committee from all further obligations under the Plan with respect to the Participant and any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16</w:t>
      </w:r>
    </w:p>
    <w:p>
      <w:pPr>
        <w:sectPr>
          <w:pgSz w:w="11900" w:h="16838" w:orient="portrait"/>
          <w:cols w:equalWidth="0" w:num="1">
            <w:col w:w="11420"/>
          </w:cols>
          <w:pgMar w:left="240" w:top="621"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b w:val="1"/>
          <w:bCs w:val="1"/>
          <w:color w:val="auto"/>
        </w:rPr>
        <w:t>10.11  Governing Law</w:t>
      </w:r>
    </w:p>
    <w:p>
      <w:pPr>
        <w:spacing w:after="0" w:line="224" w:lineRule="exact"/>
        <w:rPr>
          <w:sz w:val="20"/>
          <w:szCs w:val="20"/>
          <w:color w:val="auto"/>
        </w:rPr>
      </w:pPr>
    </w:p>
    <w:p>
      <w:pPr>
        <w:ind w:right="120" w:firstLine="648"/>
        <w:spacing w:after="0" w:line="275" w:lineRule="auto"/>
        <w:rPr>
          <w:sz w:val="20"/>
          <w:szCs w:val="20"/>
          <w:color w:val="auto"/>
        </w:rPr>
      </w:pPr>
      <w:r>
        <w:rPr>
          <w:rFonts w:ascii="Times New Roman" w:cs="Times New Roman" w:eastAsia="Times New Roman" w:hAnsi="Times New Roman"/>
          <w:sz w:val="21"/>
          <w:szCs w:val="21"/>
          <w:color w:val="auto"/>
        </w:rPr>
        <w:t>To the extent that it is not governed by United States federal law, the Plan shall be construed, administered and governed in all respects under and by the applicable laws of the State of Delaware, excluding any conflicts of law rule or principle that might otherwise refer construction or interpretation of the Plan or a deferral election to the substantive law of another jurisdiction.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10.12  Successors</w:t>
      </w:r>
    </w:p>
    <w:p>
      <w:pPr>
        <w:spacing w:after="0" w:line="224" w:lineRule="exact"/>
        <w:rPr>
          <w:sz w:val="20"/>
          <w:szCs w:val="20"/>
          <w:color w:val="auto"/>
        </w:rPr>
      </w:pPr>
    </w:p>
    <w:p>
      <w:pPr>
        <w:ind w:right="760" w:firstLine="648"/>
        <w:spacing w:after="0" w:line="271" w:lineRule="auto"/>
        <w:rPr>
          <w:sz w:val="20"/>
          <w:szCs w:val="20"/>
          <w:color w:val="auto"/>
        </w:rPr>
      </w:pPr>
      <w:r>
        <w:rPr>
          <w:rFonts w:ascii="Times New Roman" w:cs="Times New Roman" w:eastAsia="Times New Roman" w:hAnsi="Times New Roman"/>
          <w:sz w:val="22"/>
          <w:szCs w:val="22"/>
          <w:color w:val="auto"/>
        </w:rPr>
        <w:t>The provisions of the Plan shall bind and inure to the benefit of the Company and its successors and assigns and the Participant and the Participant’s designated Beneficiaries.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10.13  No Assurance of Tax Consequences</w:t>
      </w:r>
    </w:p>
    <w:p>
      <w:pPr>
        <w:spacing w:after="0" w:line="22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Neither the Company nor the Board nor any other person guarantees or assures a Participant or Beneficiary of any particular federal or state income tax, payroll tax or other tax consequence of participation in the Plan. A Participant should consult with professional tax advisors regarding all questions related to the tax consequences of participation.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10.14  Code Section 409A</w:t>
      </w:r>
    </w:p>
    <w:p>
      <w:pPr>
        <w:spacing w:after="0" w:line="224"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auto"/>
        </w:rPr>
        <w:t>The Plan document is intended to comply with the requirements of Code Section 409A (including accompanying regulations and current IRS guidance) and conform to the current operation of the Plan. The terms of the Plan shall be interpreted, operated and administered in a manner consistent with this intention to the extent the Committee deems necessary to comply with Code Section 409A and any official guidance issued thereunder.</w:t>
      </w: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60"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-13970</wp:posOffset>
            </wp:positionV>
            <wp:extent cx="1165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_</w:t>
      </w:r>
      <w:r>
        <w:rPr>
          <w:rFonts w:ascii="Times New Roman" w:cs="Times New Roman" w:eastAsia="Times New Roman" w:hAnsi="Times New Roman"/>
          <w:sz w:val="22"/>
          <w:szCs w:val="22"/>
          <w:u w:val="single" w:color="auto"/>
          <w:color w:val="auto"/>
        </w:rPr>
        <w:t>Amy E. Dahl</w:t>
      </w:r>
      <w:r>
        <w:rPr>
          <w:rFonts w:ascii="Times New Roman" w:cs="Times New Roman" w:eastAsia="Times New Roman" w:hAnsi="Times New Roman"/>
          <w:sz w:val="22"/>
          <w:szCs w:val="22"/>
          <w:color w:val="auto"/>
        </w:rPr>
        <w:t>__________________</w:t>
      </w:r>
    </w:p>
    <w:p>
      <w:pPr>
        <w:spacing w:after="0" w:line="260" w:lineRule="exact"/>
        <w:rPr>
          <w:sz w:val="20"/>
          <w:szCs w:val="20"/>
          <w:color w:val="auto"/>
        </w:rPr>
      </w:pP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-13970</wp:posOffset>
            </wp:positionV>
            <wp:extent cx="2138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8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17</w:t>
      </w:r>
    </w:p>
    <w:p>
      <w:pPr>
        <w:sectPr>
          <w:pgSz w:w="11900" w:h="16838" w:orient="portrait"/>
          <w:cols w:equalWidth="0" w:num="1">
            <w:col w:w="11420"/>
          </w:cols>
          <w:pgMar w:left="240" w:top="621"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2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color w:val="auto"/>
        </w:rPr>
        <w:t>DEFERRED COMPENSATION PLAN FOR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Amended and Restated Effective January 1, 2017</w:t>
      </w:r>
    </w:p>
    <w:p>
      <w:pPr>
        <w:sectPr>
          <w:pgSz w:w="11900" w:h="16838" w:orient="portrait"/>
          <w:cols w:equalWidth="0" w:num="1">
            <w:col w:w="10220"/>
          </w:cols>
          <w:pgMar w:left="1440" w:top="122"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8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20" w:type="dxa"/>
            <w:vAlign w:val="bottom"/>
          </w:tcPr>
          <w:p>
            <w:pPr>
              <w:ind w:left="31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12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120" w:type="dxa"/>
            <w:vAlign w:val="bottom"/>
          </w:tcPr>
          <w:p>
            <w:pPr>
              <w:ind w:left="168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DEFINITIONS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1</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ELIGIBILITY; PARTICIPATION; DEFERRAL</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6</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Eligibility</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6</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Participation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6</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Deferral Election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6</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PARTICIPANTS’ ACCOUNTS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General</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Deferral Credits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Account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3.4</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Continuation of Accounts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8</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VESTING</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8</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DISTRIBUTIONS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8</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Distributable Events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8</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Distribution of Benefits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8</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 Distributions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0"/>
              </w:rPr>
              <w:t>9</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5.4</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Commencement of Distributions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5.5</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Form of Payment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5.6</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Six-Month Delay for Payments to Specified Employee</w:t>
            </w:r>
          </w:p>
        </w:tc>
        <w:tc>
          <w:tcPr>
            <w:tcW w:w="2120" w:type="dxa"/>
            <w:vAlign w:val="bottom"/>
          </w:tcPr>
          <w:p>
            <w:pPr>
              <w:jc w:val="center"/>
              <w:ind w:left="157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5.7</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Acceleration or Delay of Distribution</w:t>
            </w:r>
          </w:p>
        </w:tc>
        <w:tc>
          <w:tcPr>
            <w:tcW w:w="2120" w:type="dxa"/>
            <w:vAlign w:val="bottom"/>
          </w:tcPr>
          <w:p>
            <w:pPr>
              <w:jc w:val="center"/>
              <w:ind w:left="157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BENEFICIARY DESIGNATION</w:t>
            </w:r>
          </w:p>
        </w:tc>
        <w:tc>
          <w:tcPr>
            <w:tcW w:w="2120" w:type="dxa"/>
            <w:vAlign w:val="bottom"/>
          </w:tcPr>
          <w:p>
            <w:pPr>
              <w:jc w:val="center"/>
              <w:ind w:left="157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VII.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ADMINISTRATION OF THE PLAN</w:t>
            </w:r>
          </w:p>
        </w:tc>
        <w:tc>
          <w:tcPr>
            <w:tcW w:w="2120" w:type="dxa"/>
            <w:vAlign w:val="bottom"/>
          </w:tcPr>
          <w:p>
            <w:pPr>
              <w:jc w:val="center"/>
              <w:ind w:left="157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7.1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Administrator</w:t>
            </w:r>
          </w:p>
        </w:tc>
        <w:tc>
          <w:tcPr>
            <w:tcW w:w="2120" w:type="dxa"/>
            <w:vAlign w:val="bottom"/>
          </w:tcPr>
          <w:p>
            <w:pPr>
              <w:jc w:val="center"/>
              <w:ind w:left="157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7.2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Authority of Administrator</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12</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7.3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Operation of Plan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12</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7.4</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Claims Procedures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12</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VIII.</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AMENDMENT OR TERMINATION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14</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8.1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Amendment or Termination of the Plan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14</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8.2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Accounts After Termination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14</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IX.</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SOURCE OF PAYMENTS; NATURE OF INTEREST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Trust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 Alienation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Unfunded Plan</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9.4</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 Guaranty</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15</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9.5</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Transfers to the Trust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16</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9.6</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Unsecured General Creditor</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16</w:t>
            </w: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X.</w:t>
            </w: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GENERAL PROVISIONS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16</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10.1</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 Right of Employment</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16</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10.2</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Incompetency</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16</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10.3</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Corporate Changes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17</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10.4</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Addresses</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17</w:t>
            </w:r>
          </w:p>
        </w:tc>
      </w:tr>
      <w:tr>
        <w:trPr>
          <w:trHeight w:val="297"/>
        </w:trPr>
        <w:tc>
          <w:tcPr>
            <w:tcW w:w="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10.5</w:t>
            </w:r>
          </w:p>
        </w:tc>
        <w:tc>
          <w:tcPr>
            <w:tcW w:w="7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Limitations on Liability</w:t>
            </w:r>
          </w:p>
        </w:tc>
        <w:tc>
          <w:tcPr>
            <w:tcW w:w="212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9"/>
              </w:rPr>
              <w:t>17</w:t>
            </w:r>
          </w:p>
        </w:tc>
      </w:tr>
    </w:tbl>
    <w:p>
      <w:pPr>
        <w:spacing w:after="0" w:line="200" w:lineRule="exact"/>
        <w:rPr>
          <w:sz w:val="20"/>
          <w:szCs w:val="20"/>
          <w:color w:val="auto"/>
        </w:rPr>
      </w:pPr>
    </w:p>
    <w:p>
      <w:pPr>
        <w:sectPr>
          <w:pgSz w:w="11900" w:h="16838" w:orient="portrait"/>
          <w:cols w:equalWidth="0" w:num="1">
            <w:col w:w="10640"/>
          </w:cols>
          <w:pgMar w:left="280" w:top="1283" w:right="979" w:bottom="1440" w:gutter="0" w:footer="0" w:header="0"/>
        </w:sectPr>
      </w:pPr>
    </w:p>
    <w:p>
      <w:pPr>
        <w:spacing w:after="0" w:line="40"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2"/>
          <w:szCs w:val="12"/>
          <w:color w:val="auto"/>
        </w:rPr>
        <w:t>PAGE i</w:t>
      </w:r>
    </w:p>
    <w:p>
      <w:pPr>
        <w:sectPr>
          <w:pgSz w:w="11900" w:h="16838" w:orient="portrait"/>
          <w:cols w:equalWidth="0" w:num="1">
            <w:col w:w="10640"/>
          </w:cols>
          <w:pgMar w:left="280" w:top="1283" w:right="97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83"/>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10.6</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Inspection</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10.7</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Withholding</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10.8</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Voting of Stock</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10.9</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Singular and Plural</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10.10</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10.11</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Discharge of Obligations</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10.12</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Governing Law</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10.13</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Successors</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10.14</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 Assurance of Tax Consequences</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10.15</w:t>
            </w:r>
          </w:p>
        </w:tc>
        <w:tc>
          <w:tcPr>
            <w:tcW w:w="6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Code Section 409A</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3"/>
          <w:szCs w:val="13"/>
          <w:color w:val="auto"/>
        </w:rPr>
        <w:t>PAGE ii</w:t>
      </w:r>
    </w:p>
    <w:p>
      <w:pPr>
        <w:sectPr>
          <w:pgSz w:w="11900" w:h="16838" w:orient="portrait"/>
          <w:cols w:equalWidth="0" w:num="1">
            <w:col w:w="9720"/>
          </w:cols>
          <w:pgMar w:left="1080" w:top="1287" w:right="109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DEFERRED COMPENSATION PLAN FOR OFFICERS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Amended and Restated Effective January 1, 2017</w:t>
      </w:r>
    </w:p>
    <w:p>
      <w:pPr>
        <w:spacing w:after="0" w:line="224"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The Toro Company hereby amends and restates its Deferred Compensation Plan for Officers, most recently amended and restated effective January 1, 2009. This amendment and restatement continues to apply to all amounts deferred on or after January 1, 2005. All grandfathered amounts earned and vested as of December 31, 2004 shall continue to be governed by the 2004 Plan document in accordance with then applicable IRS guidance. All amounts earned or vested from January 1, 2005 through December 31, 2008 shall be governed by the terms of the Plan document, as modified by the operations of the Plan during such period in accordance with Code Section 409A and then applicable IRS guidance (including transition relief).</w:t>
      </w:r>
    </w:p>
    <w:p>
      <w:pPr>
        <w:spacing w:after="0" w:line="1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Plan is an unfunded retirement plan maintained by The Toro Company primarily for the purpose of providing deferred compensation for a select group of management or highly compensated employees within the meaning of ERISA sections 201(2), 301(a)(3) and 401(a)(1). Specifically, selected employees of the Company are provided the opportunity to defer receipt of Performance Shares that may be payable under the Performance Share Plan through credits under the Plan in the form of Units and distribution in the form of Common Stock.</w:t>
      </w:r>
    </w:p>
    <w:p>
      <w:pPr>
        <w:spacing w:after="0" w:line="177" w:lineRule="exact"/>
        <w:rPr>
          <w:sz w:val="20"/>
          <w:szCs w:val="20"/>
          <w:color w:val="auto"/>
        </w:rPr>
      </w:pPr>
    </w:p>
    <w:p>
      <w:pPr>
        <w:ind w:left="5800"/>
        <w:spacing w:after="0"/>
        <w:tabs>
          <w:tab w:leader="none" w:pos="612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24"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When used in the Plan, the following terms have the meanings indicated unless a different meaning is plainly required by the context: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2004 Plan</w:t>
      </w:r>
      <w:r>
        <w:rPr>
          <w:rFonts w:ascii="Times New Roman" w:cs="Times New Roman" w:eastAsia="Times New Roman" w:hAnsi="Times New Roman"/>
          <w:sz w:val="21"/>
          <w:szCs w:val="21"/>
          <w:color w:val="auto"/>
        </w:rPr>
        <w:t>” means the terms of The Toro Company Deferred Compensation Plan for Officers in place as of December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2004.</w:t>
      </w:r>
    </w:p>
    <w:p>
      <w:pPr>
        <w:spacing w:after="0" w:line="196"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a book entry account established and maintained in the Company’s records in the name of a Participant pursuant to Article III of the Plan, and includes Retained Units Accounts, Matching Units Accounts and Performance Share Units Accounts.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is defined in Section 7.1.</w:t>
      </w:r>
    </w:p>
    <w:p>
      <w:pPr>
        <w:spacing w:after="0" w:line="220"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all persons with whom the Company would be considered a single employer under Code section 414(b) or 414(c).</w:t>
      </w:r>
    </w:p>
    <w:p>
      <w:pPr>
        <w:spacing w:after="0" w:line="158"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AMIP II</w:t>
      </w:r>
      <w:r>
        <w:rPr>
          <w:rFonts w:ascii="Times New Roman" w:cs="Times New Roman" w:eastAsia="Times New Roman" w:hAnsi="Times New Roman"/>
          <w:sz w:val="22"/>
          <w:szCs w:val="22"/>
          <w:color w:val="auto"/>
        </w:rPr>
        <w:t>” means, for cash performance awards issued prior to March 16, 2010, The Toro Company Annual Management Incentive Plan II, as amended from time to time, and any successor plan designated as such by the Board.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Term</w:t>
      </w:r>
      <w:r>
        <w:rPr>
          <w:rFonts w:ascii="Times New Roman" w:cs="Times New Roman" w:eastAsia="Times New Roman" w:hAnsi="Times New Roman"/>
          <w:sz w:val="22"/>
          <w:szCs w:val="22"/>
          <w:color w:val="auto"/>
        </w:rPr>
        <w:t>” means the performance period established for an award granted under the Performance Share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w:t>
      </w:r>
    </w:p>
    <w:p>
      <w:pPr>
        <w:sectPr>
          <w:pgSz w:w="11900" w:h="16838" w:orient="portrait"/>
          <w:cols w:equalWidth="0" w:num="1">
            <w:col w:w="11340"/>
          </w:cols>
          <w:pgMar w:left="240" w:top="621" w:right="319" w:bottom="1440" w:gutter="0" w:footer="0" w:header="0"/>
        </w:sectPr>
      </w:pPr>
    </w:p>
    <w:bookmarkStart w:id="74" w:name="page75"/>
    <w:bookmarkEnd w:id="74"/>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the person or persons selected by the Participant to receive the benefits provided under the Plan in the event of the Participant’s death as provided in Article VI.</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 Plan</w:t>
      </w:r>
      <w:r>
        <w:rPr>
          <w:rFonts w:ascii="Times New Roman" w:cs="Times New Roman" w:eastAsia="Times New Roman" w:hAnsi="Times New Roman"/>
          <w:sz w:val="22"/>
          <w:szCs w:val="22"/>
          <w:color w:val="auto"/>
        </w:rPr>
        <w:t>” means the annual performance awards granted under The Toro Company Amended and Restated 2010 Equity and Incentive Plan, as amended from time to time, and any successor plan designated as such by the Board.</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Election</w:t>
      </w:r>
      <w:r>
        <w:rPr>
          <w:rFonts w:ascii="Times New Roman" w:cs="Times New Roman" w:eastAsia="Times New Roman" w:hAnsi="Times New Roman"/>
          <w:sz w:val="22"/>
          <w:szCs w:val="22"/>
          <w:color w:val="auto"/>
        </w:rPr>
        <w:t>” means a Participant’s election under Section 5.2(c) to change the method of payment of amounts payable under the Plan, made in the manner prescribed by the Administrator.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20" w:firstLine="656"/>
        <w:spacing w:after="0" w:line="262" w:lineRule="auto"/>
        <w:tabs>
          <w:tab w:leader="none" w:pos="110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Exchange Act) (a “Person”) of beneficial ownership (within the meaning of Rule 13d-3 under the Exchange Act) of fifteen percent (15%) or more of either (i) the then-outstanding shares of Common Stock of the Company (the “Outstanding Company Common Stock”) or</w:t>
      </w:r>
    </w:p>
    <w:p>
      <w:pPr>
        <w:spacing w:after="0" w:line="2" w:lineRule="exact"/>
        <w:rPr>
          <w:rFonts w:ascii="Times New Roman" w:cs="Times New Roman" w:eastAsia="Times New Roman" w:hAnsi="Times New Roman"/>
          <w:sz w:val="21"/>
          <w:szCs w:val="21"/>
          <w:color w:val="auto"/>
        </w:rPr>
      </w:pPr>
    </w:p>
    <w:p>
      <w:pPr>
        <w:ind w:firstLine="8"/>
        <w:spacing w:after="0" w:line="244" w:lineRule="auto"/>
        <w:tabs>
          <w:tab w:leader="none" w:pos="3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(w) any acquisition directly from the Company, (x) any acquisition by the Company, (y) any acquisition by any employee benefit plan (or related trust) sponsored or maintained by the Company or any corporation controlled by the Company, or (z) any acquisition by any corporation pursuant to a transaction that complies with clauses (i), (ii) and (iii) of subsection (c) of this definition; or</w:t>
      </w:r>
    </w:p>
    <w:p>
      <w:pPr>
        <w:spacing w:after="0" w:line="188" w:lineRule="exact"/>
        <w:rPr>
          <w:rFonts w:ascii="Times New Roman" w:cs="Times New Roman" w:eastAsia="Times New Roman" w:hAnsi="Times New Roman"/>
          <w:sz w:val="22"/>
          <w:szCs w:val="22"/>
          <w:color w:val="auto"/>
        </w:rPr>
      </w:pPr>
    </w:p>
    <w:p>
      <w:pPr>
        <w:ind w:firstLine="656"/>
        <w:spacing w:after="0" w:line="248" w:lineRule="auto"/>
        <w:tabs>
          <w:tab w:leader="none" w:pos="111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2" w:lineRule="exact"/>
        <w:rPr>
          <w:rFonts w:ascii="Times New Roman" w:cs="Times New Roman" w:eastAsia="Times New Roman" w:hAnsi="Times New Roman"/>
          <w:sz w:val="22"/>
          <w:szCs w:val="22"/>
          <w:color w:val="auto"/>
        </w:rPr>
      </w:pPr>
    </w:p>
    <w:p>
      <w:pPr>
        <w:ind w:right="40" w:firstLine="656"/>
        <w:spacing w:after="0" w:line="245" w:lineRule="auto"/>
        <w:tabs>
          <w:tab w:leader="none" w:pos="110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fifteen percent (15%) or more of, respectively, the then-outstanding shares of common stock of the corporation resulting from such</w:t>
      </w:r>
    </w:p>
    <w:p>
      <w:pPr>
        <w:spacing w:after="0" w:line="200" w:lineRule="exact"/>
        <w:rPr>
          <w:sz w:val="20"/>
          <w:szCs w:val="20"/>
          <w:color w:val="auto"/>
        </w:rPr>
      </w:pPr>
    </w:p>
    <w:p>
      <w:pPr>
        <w:spacing w:after="0" w:line="23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2</w:t>
      </w:r>
    </w:p>
    <w:p>
      <w:pPr>
        <w:sectPr>
          <w:pgSz w:w="11900" w:h="16838" w:orient="portrait"/>
          <w:cols w:equalWidth="0" w:num="1">
            <w:col w:w="11400"/>
          </w:cols>
          <w:pgMar w:left="240" w:top="625" w:right="259" w:bottom="1440" w:gutter="0" w:footer="0" w:header="0"/>
        </w:sectPr>
      </w:pPr>
    </w:p>
    <w:bookmarkStart w:id="75" w:name="page76"/>
    <w:bookmarkEnd w:id="75"/>
    <w:p>
      <w:pPr>
        <w:jc w:val="both"/>
        <w:ind w:right="300"/>
        <w:spacing w:after="0" w:line="252" w:lineRule="auto"/>
        <w:rPr>
          <w:sz w:val="20"/>
          <w:szCs w:val="20"/>
          <w:color w:val="auto"/>
        </w:rPr>
      </w:pPr>
      <w:r>
        <w:rPr>
          <w:rFonts w:ascii="Times New Roman" w:cs="Times New Roman" w:eastAsia="Times New Roman" w:hAnsi="Times New Roman"/>
          <w:sz w:val="22"/>
          <w:szCs w:val="22"/>
          <w:color w:val="auto"/>
        </w:rPr>
        <w:t>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Approval by the stockholders of the Company of a complete liquidation or dissolution of the Company.</w:t>
      </w:r>
    </w:p>
    <w:p>
      <w:pPr>
        <w:spacing w:after="0" w:line="220" w:lineRule="exact"/>
        <w:rPr>
          <w:sz w:val="20"/>
          <w:szCs w:val="20"/>
          <w:color w:val="auto"/>
        </w:rPr>
      </w:pPr>
    </w:p>
    <w:p>
      <w:pPr>
        <w:ind w:righ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including, when the context requires, all regulations, interpretations and rulings issued thereunder.</w:t>
      </w:r>
    </w:p>
    <w:p>
      <w:pPr>
        <w:spacing w:after="0" w:line="158"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and Human Resources Committee of the Board, or any successor committee, and its delegates with respect to the Plan.</w:t>
      </w:r>
    </w:p>
    <w:p>
      <w:pPr>
        <w:spacing w:after="0" w:line="158"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Company’s common stock, par value $1.00 per share, and the related preferred share purchase rights, as such shares may be adjusted in accordance with the Performance Share Plan.</w:t>
      </w:r>
    </w:p>
    <w:p>
      <w:pPr>
        <w:spacing w:after="0" w:line="158" w:lineRule="exact"/>
        <w:rPr>
          <w:sz w:val="20"/>
          <w:szCs w:val="20"/>
          <w:color w:val="auto"/>
        </w:rPr>
      </w:pPr>
    </w:p>
    <w:p>
      <w:pPr>
        <w:ind w:right="4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 Units Account</w:t>
      </w:r>
      <w:r>
        <w:rPr>
          <w:rFonts w:ascii="Times New Roman" w:cs="Times New Roman" w:eastAsia="Times New Roman" w:hAnsi="Times New Roman"/>
          <w:sz w:val="22"/>
          <w:szCs w:val="22"/>
          <w:color w:val="auto"/>
        </w:rPr>
        <w:t>” means an Account denominated in Units (including fractions) that are credited in accordance with Section 3.3 and includes the Retained Units Account, the Matching Units Account and the Performance Share Units Account.</w:t>
      </w:r>
    </w:p>
    <w:p>
      <w:pPr>
        <w:spacing w:after="0" w:line="173"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Toro Company, a Delaware corporation. Except as used in Articles VII and VIII, “Company” also includes any participating Subsidiary.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Deferral Election</w:t>
      </w:r>
      <w:r>
        <w:rPr>
          <w:rFonts w:ascii="Times New Roman" w:cs="Times New Roman" w:eastAsia="Times New Roman" w:hAnsi="Times New Roman"/>
          <w:sz w:val="22"/>
          <w:szCs w:val="22"/>
          <w:color w:val="auto"/>
        </w:rPr>
        <w:t>” means a Participant’s election under Section 2.3, made in a manner prescribed by the Administrator.</w:t>
      </w:r>
    </w:p>
    <w:p>
      <w:pPr>
        <w:spacing w:after="0" w:line="22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the Participant is (a) unable to engage in any substantial gainful activity by reason of any medically determinable physical or mental impairment that can be expected to result in death or can be expected to last for a continuous period of not less than 12 months; (b) receiving income replacement benefits for a period of not less than three months under an accident and health plan covering Company employees because of any medically determinable physical or mental impairment that can be expected to result in death or can be expected to last for a continuous period of not less than 12 months; (c) determined to be totally disabled by the Social Security Administration or Railroad Retirement Board; or (d) determined to be disabled in accordance with the Company’s long term disability plan, provided that such plan’s definition complies with Treasury Regulation Section 1.409A-3(i)(4).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3</w:t>
      </w:r>
    </w:p>
    <w:p>
      <w:pPr>
        <w:sectPr>
          <w:pgSz w:w="11900" w:h="16838" w:orient="portrait"/>
          <w:cols w:equalWidth="0" w:num="1">
            <w:col w:w="11420"/>
          </w:cols>
          <w:pgMar w:left="240" w:top="625" w:right="2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Officer</w:t>
      </w:r>
      <w:r>
        <w:rPr>
          <w:rFonts w:ascii="Times New Roman" w:cs="Times New Roman" w:eastAsia="Times New Roman" w:hAnsi="Times New Roman"/>
          <w:sz w:val="22"/>
          <w:szCs w:val="22"/>
          <w:color w:val="auto"/>
        </w:rPr>
        <w:t>” means an Employee who is granted a Performance Share Award.</w:t>
      </w:r>
    </w:p>
    <w:p>
      <w:pPr>
        <w:spacing w:after="0" w:line="220"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means (a) an officer of the Company or a Subsidiary or (b) any other employee of the Company or a Subsidiary who is determined by the Company to be a member of a select group of management or highly compensated employees.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2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the closing price of one share of Common Stock as reported by the New York Stock Exchange, except that where a different meaning is established in the Performance Share Plan for any particular purpose, that meaning shall govern for that purpose.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fiscal year of the Company, which begins on November 1 and ends on the following October 31.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Internal Revenue Service.</w:t>
      </w:r>
    </w:p>
    <w:p>
      <w:pPr>
        <w:spacing w:after="0" w:line="220"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Matching Units Account</w:t>
      </w:r>
      <w:r>
        <w:rPr>
          <w:rFonts w:ascii="Times New Roman" w:cs="Times New Roman" w:eastAsia="Times New Roman" w:hAnsi="Times New Roman"/>
          <w:sz w:val="22"/>
          <w:szCs w:val="22"/>
          <w:color w:val="auto"/>
        </w:rPr>
        <w:t>” means an Account previously established under the Plan in connection with AMIP II compensation, with entries denominated in Units (including fractions), but to which no additional Units may be credited, except with respect to additional Units (or fractions thereof) equal in value to dividends paid on an equivalent value of Common Stock, if any, in accordance with Section 3.3(c).</w:t>
      </w:r>
    </w:p>
    <w:p>
      <w:pPr>
        <w:spacing w:after="0" w:line="18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Eligible Officer who delivers a Deferral Election in accordance with Sections 2.2 and 2.3 and for whom amounts are actually credited to an Account. An individual shall not cease to be a Participant if the person ceases to be an Eligible Officer, as long as amounts remain credited to such Participant’s Accounts. A Beneficiary, a spouse or former spouse, or an executor or personal administrator of a Participant’s estate shall not be treated as a Participant even if such individual or the Participant’s estate has an interest in the Participant’s benefits under the Plan.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Shares</w:t>
      </w:r>
      <w:r>
        <w:rPr>
          <w:rFonts w:ascii="Times New Roman" w:cs="Times New Roman" w:eastAsia="Times New Roman" w:hAnsi="Times New Roman"/>
          <w:sz w:val="21"/>
          <w:szCs w:val="21"/>
          <w:color w:val="auto"/>
        </w:rPr>
        <w:t>” are rights to receive shares of Common Stock or Units, awarded under the Performance Share Plan.</w:t>
      </w:r>
    </w:p>
    <w:p>
      <w:pPr>
        <w:spacing w:after="0" w:line="231"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Share Units Account</w:t>
      </w:r>
      <w:r>
        <w:rPr>
          <w:rFonts w:ascii="Times New Roman" w:cs="Times New Roman" w:eastAsia="Times New Roman" w:hAnsi="Times New Roman"/>
          <w:sz w:val="22"/>
          <w:szCs w:val="22"/>
          <w:color w:val="auto"/>
        </w:rPr>
        <w:t>” means an Account with entries denominated in Units that are credited in accordance with Section 3.3.</w:t>
      </w:r>
    </w:p>
    <w:p>
      <w:pPr>
        <w:spacing w:after="0" w:line="158"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Share Award</w:t>
      </w:r>
      <w:r>
        <w:rPr>
          <w:rFonts w:ascii="Times New Roman" w:cs="Times New Roman" w:eastAsia="Times New Roman" w:hAnsi="Times New Roman"/>
          <w:sz w:val="22"/>
          <w:szCs w:val="22"/>
          <w:color w:val="auto"/>
        </w:rPr>
        <w:t>” means the award that sets forth the number of Performance Shares granted to an Eligible Officer under the Performance Share Plan.</w:t>
      </w:r>
    </w:p>
    <w:p>
      <w:pPr>
        <w:spacing w:after="0" w:line="158"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Share Plan</w:t>
      </w:r>
      <w:r>
        <w:rPr>
          <w:rFonts w:ascii="Times New Roman" w:cs="Times New Roman" w:eastAsia="Times New Roman" w:hAnsi="Times New Roman"/>
          <w:sz w:val="22"/>
          <w:szCs w:val="22"/>
          <w:color w:val="auto"/>
        </w:rPr>
        <w:t>” means The Toro Company Amended and Restated 2010 Equity and Incentive Plan, as amended from time to time, and any successor plan designated as such by the Board. For performance-based equity awards granted prior to March 16, 2010, Performance Share Plan means The Toro Company Performance Share Plan.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Deferred Compensation Plan for Officers, as set forth in this document and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4</w:t>
      </w:r>
    </w:p>
    <w:p>
      <w:pPr>
        <w:sectPr>
          <w:pgSz w:w="11900" w:h="16838" w:orient="portrait"/>
          <w:cols w:equalWidth="0" w:num="1">
            <w:col w:w="11400"/>
          </w:cols>
          <w:pgMar w:left="240" w:top="625" w:right="25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the calendar year.</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Plan</w:t>
      </w:r>
      <w:r>
        <w:rPr>
          <w:rFonts w:ascii="Times New Roman" w:cs="Times New Roman" w:eastAsia="Times New Roman" w:hAnsi="Times New Roman"/>
          <w:sz w:val="22"/>
          <w:szCs w:val="22"/>
          <w:color w:val="auto"/>
        </w:rPr>
        <w:t>” means The Toro Company Investment, Savings and Employee Stock Ownership Plan or any successor or replacement plan.</w:t>
      </w:r>
    </w:p>
    <w:p>
      <w:pPr>
        <w:spacing w:after="0" w:line="158"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Units Account</w:t>
      </w:r>
      <w:r>
        <w:rPr>
          <w:rFonts w:ascii="Times New Roman" w:cs="Times New Roman" w:eastAsia="Times New Roman" w:hAnsi="Times New Roman"/>
          <w:sz w:val="22"/>
          <w:szCs w:val="22"/>
          <w:color w:val="auto"/>
        </w:rPr>
        <w:t>” means an Account previously established under the Plan in connection with AMIP II compensation, with entries denominated in Units (including fractions), but to which no additional Units may be credited, except with respect to additional Units (or fractions thereof) equal in value to dividends paid on an equivalent value of Common Stock, if any, in accordance with Section 3.3(c).</w:t>
      </w:r>
    </w:p>
    <w:p>
      <w:pPr>
        <w:spacing w:after="0" w:line="180"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means any termination of employment with the Company and all Affiliates due to retirement, death, disability, resignation, termination or other reason, provided, however, that no Separation from Service is deemed to occur while a Participant is on a bona fide leave of absence that does not exceed six months, or if longer, the period during which the Participant’s right to reemployment with the Company or any Affiliate is provided by statute or by contract. A Separation from Service shall also include such other change in employment status that constitutes a “separation from service” under Code section 409A.</w:t>
      </w:r>
    </w:p>
    <w:p>
      <w:pPr>
        <w:spacing w:after="0" w:line="181"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means, for purposes of complying with the requirements of Code section 409A(a)(2)(B)(i) (relating to the 6-month delay of benefit distribution payable on account of a Separation from Service), a Participant who is a key employee as defined in Code section 416(i) (without regard to Code section 416(i)(5)) of the Company or any Affiliate at any time during the calendar year ending December 31, shall be treated as a Specified Employee for the entire 12-month period beginning on the next following April 1. For calendar years ending prior to January 1, 2017, a Participant will be treated as a key employee during a calendar year if the Participant was an elected officer at any time during the calendar year. For calendar years beginning on or after January 1, 2017, a Participant will be treated as a key employee if the Participant was an officer as defined for purposes of Section 16 of the Securities Exchange Act of 1934 at any time during the calendar year.</w:t>
      </w:r>
    </w:p>
    <w:p>
      <w:pPr>
        <w:spacing w:after="0" w:line="186"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corporation that is a component member of the controlled group of corporations of which the Company is the common parent. Controlled group shall be determined by reference to Section 1563 of the Code but shall include any corporation described in Section 1563(b)(2) thereof.</w:t>
      </w:r>
    </w:p>
    <w:p>
      <w:pPr>
        <w:spacing w:after="0" w:line="17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means the trust established or maintained by the Company that may be used in connection with the Plan to assist the Company in meeting its obligations under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means the corporation or person or persons selected by the Company to serve as Trustee for the Trust.</w:t>
      </w:r>
    </w:p>
    <w:p>
      <w:pPr>
        <w:spacing w:after="0" w:line="220"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Unforeseeable Emergency</w:t>
      </w:r>
      <w:r>
        <w:rPr>
          <w:rFonts w:ascii="Times New Roman" w:cs="Times New Roman" w:eastAsia="Times New Roman" w:hAnsi="Times New Roman"/>
          <w:sz w:val="22"/>
          <w:szCs w:val="22"/>
          <w:color w:val="auto"/>
        </w:rPr>
        <w:t>” means a severe financial hardship to a Participant resulting from an illness or accident of the Participant, the Participant’s spouse, the Participant’s Beneficiary or the Participant’s dependent (as defined in Code Section 152, without regard to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For example, (a) imminent foreclosure of or eviction from the Participant’s primary residence may constitute an Unforeseeable Emergency; (b) the need to pay for medical expenses, including nonrefundable deductibles, as well as for the costs of prescription drug</w:t>
      </w:r>
    </w:p>
    <w:p>
      <w:pPr>
        <w:spacing w:after="0" w:line="200" w:lineRule="exact"/>
        <w:rPr>
          <w:sz w:val="20"/>
          <w:szCs w:val="20"/>
          <w:color w:val="auto"/>
        </w:rPr>
      </w:pPr>
    </w:p>
    <w:p>
      <w:pPr>
        <w:spacing w:after="0" w:line="2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5</w:t>
      </w:r>
    </w:p>
    <w:p>
      <w:pPr>
        <w:sectPr>
          <w:pgSz w:w="11900" w:h="16838" w:orient="portrait"/>
          <w:cols w:equalWidth="0" w:num="1">
            <w:col w:w="11400"/>
          </w:cols>
          <w:pgMar w:left="240" w:top="625" w:right="259" w:bottom="1440" w:gutter="0" w:footer="0" w:header="0"/>
        </w:sectPr>
      </w:pPr>
    </w:p>
    <w:bookmarkStart w:id="78" w:name="page79"/>
    <w:bookmarkEnd w:id="78"/>
    <w:p>
      <w:pPr>
        <w:spacing w:after="0" w:line="275" w:lineRule="auto"/>
        <w:rPr>
          <w:sz w:val="20"/>
          <w:szCs w:val="20"/>
          <w:color w:val="auto"/>
        </w:rPr>
      </w:pPr>
      <w:r>
        <w:rPr>
          <w:rFonts w:ascii="Times New Roman" w:cs="Times New Roman" w:eastAsia="Times New Roman" w:hAnsi="Times New Roman"/>
          <w:sz w:val="21"/>
          <w:szCs w:val="21"/>
          <w:color w:val="auto"/>
        </w:rPr>
        <w:t>medications, may constitute an Unforeseeable Emergency; (c) the need to pay for the funeral expenses of a spouse, a Beneficiary or a dependent (as defined in Code Section 152, without regard to Sections 152(b)(1), (b)(2) and (d)(1)(B)) may also constitute an Unforeseeable Emergency; and (d) the purchase of a home and the payment of college tuition are not Unforeseeable Emergencies.</w:t>
      </w:r>
    </w:p>
    <w:p>
      <w:pPr>
        <w:spacing w:after="0" w:line="156" w:lineRule="exact"/>
        <w:rPr>
          <w:sz w:val="20"/>
          <w:szCs w:val="20"/>
          <w:color w:val="auto"/>
        </w:rPr>
      </w:pPr>
    </w:p>
    <w:p>
      <w:pPr>
        <w:ind w:right="9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w:t>
      </w:r>
      <w:r>
        <w:rPr>
          <w:rFonts w:ascii="Times New Roman" w:cs="Times New Roman" w:eastAsia="Times New Roman" w:hAnsi="Times New Roman"/>
          <w:sz w:val="22"/>
          <w:szCs w:val="22"/>
          <w:color w:val="auto"/>
        </w:rPr>
        <w:t>” means a denomination that has a value equal to one share of Common Stock, subject to adjustment by the Committee as contemplated by Section 3.3(b) of the Plan.</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II.  ELIGIBILITY; PARTICIPATION; DEFERRAL</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Eligibility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Eligible Officer is eligible to participate in the Plan.</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Participation</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An Eligible Officer may become a Participant in the Plan by executing and delivering to the Administrator, or its delegate, a Deferral Election as provided under Section 2.3.</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Deferral Election</w:t>
      </w:r>
    </w:p>
    <w:p>
      <w:pPr>
        <w:spacing w:after="0" w:line="224" w:lineRule="exact"/>
        <w:rPr>
          <w:sz w:val="20"/>
          <w:szCs w:val="20"/>
          <w:color w:val="auto"/>
        </w:rPr>
      </w:pPr>
    </w:p>
    <w:p>
      <w:pPr>
        <w:ind w:right="20" w:firstLine="656"/>
        <w:spacing w:after="0" w:line="250" w:lineRule="auto"/>
        <w:tabs>
          <w:tab w:leader="none" w:pos="106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Share Award</w:t>
      </w:r>
      <w:r>
        <w:rPr>
          <w:rFonts w:ascii="Times New Roman" w:cs="Times New Roman" w:eastAsia="Times New Roman" w:hAnsi="Times New Roman"/>
          <w:sz w:val="22"/>
          <w:szCs w:val="22"/>
          <w:color w:val="auto"/>
        </w:rPr>
        <w:t>. An Eligible Officer may elect to defer Performance Shares that may be delivered in settlement of a Performance Share Award by completing and submitting a Deferral Election to the Administrator, or its delegate, on or before the date that is the last day of the Fiscal Year immediately prior to the commencement of the last Fiscal Year of the Award Term to which the Performance Share Award relates, provided that the Eligible Officer performs services continuously from the later of the beginning of the Award Term or the date the performance goals are established by the Committee through the date an election is made. In no event may a Deferral Election be made after such compensation has become “readily ascertainable” as defined in Treasury Regulation Section 1.409A-2(a)(8).</w:t>
      </w:r>
    </w:p>
    <w:p>
      <w:pPr>
        <w:spacing w:after="0" w:line="181" w:lineRule="exact"/>
        <w:rPr>
          <w:rFonts w:ascii="Times New Roman" w:cs="Times New Roman" w:eastAsia="Times New Roman" w:hAnsi="Times New Roman"/>
          <w:sz w:val="22"/>
          <w:szCs w:val="22"/>
          <w:color w:val="auto"/>
        </w:rPr>
      </w:pPr>
    </w:p>
    <w:p>
      <w:pPr>
        <w:ind w:right="280" w:firstLine="656"/>
        <w:spacing w:after="0" w:line="284" w:lineRule="auto"/>
        <w:tabs>
          <w:tab w:leader="none" w:pos="10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to be Deferred</w:t>
      </w:r>
      <w:r>
        <w:rPr>
          <w:rFonts w:ascii="Times New Roman" w:cs="Times New Roman" w:eastAsia="Times New Roman" w:hAnsi="Times New Roman"/>
          <w:sz w:val="22"/>
          <w:szCs w:val="22"/>
          <w:color w:val="auto"/>
        </w:rPr>
        <w:t>. A Deferral Election may designate up to 100% of the Performance Shares in a Performance Share Award to be deferred.</w:t>
      </w:r>
    </w:p>
    <w:p>
      <w:pPr>
        <w:spacing w:after="0" w:line="144" w:lineRule="exact"/>
        <w:rPr>
          <w:rFonts w:ascii="Times New Roman" w:cs="Times New Roman" w:eastAsia="Times New Roman" w:hAnsi="Times New Roman"/>
          <w:sz w:val="22"/>
          <w:szCs w:val="22"/>
          <w:color w:val="auto"/>
        </w:rPr>
      </w:pPr>
    </w:p>
    <w:p>
      <w:pPr>
        <w:ind w:right="80" w:firstLine="656"/>
        <w:spacing w:after="0" w:line="284" w:lineRule="auto"/>
        <w:tabs>
          <w:tab w:leader="none" w:pos="106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Following delivery, a Deferral Election under this Section 2.3 will be effective and irrevocable upon the latest date it may be made under Section 2.3(a).</w:t>
      </w:r>
    </w:p>
    <w:p>
      <w:pPr>
        <w:spacing w:after="0" w:line="144" w:lineRule="exact"/>
        <w:rPr>
          <w:rFonts w:ascii="Times New Roman" w:cs="Times New Roman" w:eastAsia="Times New Roman" w:hAnsi="Times New Roman"/>
          <w:sz w:val="22"/>
          <w:szCs w:val="22"/>
          <w:color w:val="auto"/>
        </w:rPr>
      </w:pPr>
    </w:p>
    <w:p>
      <w:pPr>
        <w:ind w:firstLine="656"/>
        <w:spacing w:after="0" w:line="250" w:lineRule="auto"/>
        <w:tabs>
          <w:tab w:leader="none" w:pos="111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Deferral Election Upon 401(k) Hardship</w:t>
      </w:r>
      <w:r>
        <w:rPr>
          <w:rFonts w:ascii="Times New Roman" w:cs="Times New Roman" w:eastAsia="Times New Roman" w:hAnsi="Times New Roman"/>
          <w:sz w:val="22"/>
          <w:szCs w:val="22"/>
          <w:color w:val="auto"/>
        </w:rPr>
        <w:t>. Notwithstanding the foregoing, in the event that a Participant has received a hardship distribution during the Plan Year from any defined contribution plan with a Code section 401(k) cash or deferred arrangement maintained by the Company or any Affiliate, the Participant’s deferrals to be credited under the Plan shall be canceled through the end of the current Plan Year, or the end of the subsequent Plan Year if the six-month period under Treasury Regulation Section 1.401(k)-l(d)(3)(iv)(E)(2) does not end in the current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6</w:t>
      </w:r>
    </w:p>
    <w:p>
      <w:pPr>
        <w:sectPr>
          <w:pgSz w:w="11900" w:h="16838" w:orient="portrait"/>
          <w:cols w:equalWidth="0" w:num="1">
            <w:col w:w="11400"/>
          </w:cols>
          <w:pgMar w:left="240" w:top="625" w:right="259" w:bottom="1440" w:gutter="0" w:footer="0" w:header="0"/>
        </w:sectPr>
      </w:pPr>
    </w:p>
    <w:bookmarkStart w:id="79" w:name="page80"/>
    <w:bookmarkEnd w:id="79"/>
    <w:p>
      <w:pPr>
        <w:ind w:left="4980"/>
        <w:spacing w:after="0"/>
        <w:rPr>
          <w:sz w:val="20"/>
          <w:szCs w:val="20"/>
          <w:color w:val="auto"/>
        </w:rPr>
      </w:pPr>
      <w:r>
        <w:rPr>
          <w:rFonts w:ascii="Times New Roman" w:cs="Times New Roman" w:eastAsia="Times New Roman" w:hAnsi="Times New Roman"/>
          <w:sz w:val="22"/>
          <w:szCs w:val="22"/>
          <w:b w:val="1"/>
          <w:bCs w:val="1"/>
          <w:color w:val="auto"/>
        </w:rPr>
        <w:t>III.  PARTICIPANTS’ ACCOUNTS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224"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The Company shall establish and maintain an Account, and appropriate subaccounts, for each Participant and shall credit such Accounts as provided under this Article III.</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Deferral Credits</w:t>
      </w:r>
    </w:p>
    <w:p>
      <w:pPr>
        <w:spacing w:after="0" w:line="224" w:lineRule="exact"/>
        <w:rPr>
          <w:sz w:val="20"/>
          <w:szCs w:val="20"/>
          <w:color w:val="auto"/>
        </w:rPr>
      </w:pPr>
    </w:p>
    <w:p>
      <w:pPr>
        <w:ind w:right="740" w:firstLine="656"/>
        <w:spacing w:after="0" w:line="284" w:lineRule="auto"/>
        <w:tabs>
          <w:tab w:leader="none" w:pos="106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to Account</w:t>
      </w:r>
      <w:r>
        <w:rPr>
          <w:rFonts w:ascii="Times New Roman" w:cs="Times New Roman" w:eastAsia="Times New Roman" w:hAnsi="Times New Roman"/>
          <w:sz w:val="22"/>
          <w:szCs w:val="22"/>
          <w:color w:val="auto"/>
        </w:rPr>
        <w:t>. Amounts deferred by a Participant under Section 2.3(a) shall be credited to the Participant’s Performance Share Units Account.</w:t>
      </w:r>
    </w:p>
    <w:p>
      <w:pPr>
        <w:spacing w:after="0" w:line="144" w:lineRule="exact"/>
        <w:rPr>
          <w:rFonts w:ascii="Times New Roman" w:cs="Times New Roman" w:eastAsia="Times New Roman" w:hAnsi="Times New Roman"/>
          <w:sz w:val="22"/>
          <w:szCs w:val="22"/>
          <w:color w:val="auto"/>
        </w:rPr>
      </w:pPr>
    </w:p>
    <w:p>
      <w:pPr>
        <w:ind w:right="80" w:firstLine="656"/>
        <w:spacing w:after="0" w:line="257" w:lineRule="auto"/>
        <w:tabs>
          <w:tab w:leader="none" w:pos="10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 Required</w:t>
      </w:r>
      <w:r>
        <w:rPr>
          <w:rFonts w:ascii="Times New Roman" w:cs="Times New Roman" w:eastAsia="Times New Roman" w:hAnsi="Times New Roman"/>
          <w:sz w:val="22"/>
          <w:szCs w:val="22"/>
          <w:color w:val="auto"/>
        </w:rPr>
        <w:t>. No Units or other amount shall be credited to the Participant’s Performance Share Units Account with respect to any Performance Share Award until the Committee has certified in writing as required by the Performance Share Plan that the performance goals established with respect to such award have been achieved and Performance Shares in such award have vested.</w:t>
      </w:r>
    </w:p>
    <w:p>
      <w:pPr>
        <w:spacing w:after="0" w:line="172" w:lineRule="exact"/>
        <w:rPr>
          <w:rFonts w:ascii="Times New Roman" w:cs="Times New Roman" w:eastAsia="Times New Roman" w:hAnsi="Times New Roman"/>
          <w:sz w:val="22"/>
          <w:szCs w:val="22"/>
          <w:color w:val="auto"/>
        </w:rPr>
      </w:pPr>
    </w:p>
    <w:p>
      <w:pPr>
        <w:jc w:val="both"/>
        <w:ind w:right="60" w:firstLine="656"/>
        <w:spacing w:after="0" w:line="263" w:lineRule="auto"/>
        <w:tabs>
          <w:tab w:leader="none" w:pos="106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Units to be Credited</w:t>
      </w:r>
      <w:r>
        <w:rPr>
          <w:rFonts w:ascii="Times New Roman" w:cs="Times New Roman" w:eastAsia="Times New Roman" w:hAnsi="Times New Roman"/>
          <w:sz w:val="22"/>
          <w:szCs w:val="22"/>
          <w:color w:val="auto"/>
        </w:rPr>
        <w:t>. The number of Performance Share Units to be credited to a Participant’s Performance Share Units Account with respect to a Performance Share Award shall be the portion of the total number of Performance Shares in the award that is subject to the Deferral Election.</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Account</w:t>
      </w:r>
    </w:p>
    <w:p>
      <w:pPr>
        <w:spacing w:after="0" w:line="224" w:lineRule="exact"/>
        <w:rPr>
          <w:sz w:val="20"/>
          <w:szCs w:val="20"/>
          <w:color w:val="auto"/>
        </w:rPr>
      </w:pPr>
    </w:p>
    <w:p>
      <w:pPr>
        <w:ind w:right="200" w:firstLine="656"/>
        <w:spacing w:after="0" w:line="284" w:lineRule="auto"/>
        <w:tabs>
          <w:tab w:leader="none" w:pos="106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Accounts</w:t>
      </w:r>
      <w:r>
        <w:rPr>
          <w:rFonts w:ascii="Times New Roman" w:cs="Times New Roman" w:eastAsia="Times New Roman" w:hAnsi="Times New Roman"/>
          <w:sz w:val="22"/>
          <w:szCs w:val="22"/>
          <w:color w:val="auto"/>
        </w:rPr>
        <w:t>. The value of each of a Participant’s Retained Units Account and Matching Units Account, if any, and Performance Share Units Account shall be accounted for separately.</w:t>
      </w:r>
    </w:p>
    <w:p>
      <w:pPr>
        <w:spacing w:after="0" w:line="144" w:lineRule="exact"/>
        <w:rPr>
          <w:rFonts w:ascii="Times New Roman" w:cs="Times New Roman" w:eastAsia="Times New Roman" w:hAnsi="Times New Roman"/>
          <w:sz w:val="22"/>
          <w:szCs w:val="22"/>
          <w:color w:val="auto"/>
        </w:rPr>
      </w:pPr>
    </w:p>
    <w:p>
      <w:pPr>
        <w:ind w:firstLine="656"/>
        <w:spacing w:after="0" w:line="258" w:lineRule="auto"/>
        <w:tabs>
          <w:tab w:leader="none" w:pos="10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Account Value</w:t>
      </w:r>
      <w:r>
        <w:rPr>
          <w:rFonts w:ascii="Times New Roman" w:cs="Times New Roman" w:eastAsia="Times New Roman" w:hAnsi="Times New Roman"/>
          <w:sz w:val="21"/>
          <w:szCs w:val="21"/>
          <w:color w:val="auto"/>
        </w:rPr>
        <w:t>. Subject to the provisions of this Section 3.3(b), the value of Units in a Participant’s Common Stock Units Account shall fluctuate with the Fair Market Value of the Common Stock. In the event of a corporate transaction involving the Company (including, without limitation, any merger, consolidation, recapitalization, reorganization, split off, spin off, reclassification, combination, stock dividend, stock split, reverse stock split, repurchase, exchange,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adjust Accounts to preserve their benefits or potential benefits. Action by the Committee may include (i) appropriate adjustments in the number of Units then credited to an Account; (ii) conversion of Units to other new or different securities into which the Common Stock may be converted; (iii) conversion to a cash balance, or (iv) any other adjustment the Committee determines to be equitable and consistent with the purposes of the Plan. In the event that Common Stock is converted into cash in connection with a corporate transaction described in this Section 3.4(b), the value of the Units in any Account shall be converted to a dollar amount by multiplying the number of Units in each Account by the Fair Market Value of a share of Common Stock on the date of the corporate transaction, and such cash amounts shall thereafter be credited with interest at a rate and in a manner determined by the Company to be consistent with the average prime rate of interest charged by U.S. Bank, National Association to its individual borrowers. If the Trust is funded in the event of a Change of Control, the Trustee shall have authority to change the method of determining the interest crediting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7</w:t>
      </w:r>
    </w:p>
    <w:p>
      <w:pPr>
        <w:sectPr>
          <w:pgSz w:w="11900" w:h="16838" w:orient="portrait"/>
          <w:cols w:equalWidth="0" w:num="1">
            <w:col w:w="11400"/>
          </w:cols>
          <w:pgMar w:left="240" w:top="621" w:right="259" w:bottom="1440" w:gutter="0" w:footer="0" w:header="0"/>
        </w:sectPr>
      </w:pPr>
    </w:p>
    <w:bookmarkStart w:id="80" w:name="page81"/>
    <w:bookmarkEnd w:id="80"/>
    <w:p>
      <w:pPr>
        <w:jc w:val="both"/>
        <w:ind w:firstLine="656"/>
        <w:spacing w:after="0" w:line="257" w:lineRule="auto"/>
        <w:tabs>
          <w:tab w:leader="none" w:pos="106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In the event that the Company pays dividends on its Common Stock, each Common Stock Units Account shall be credited with additional Units (including fractions). The number of additional Units to be credited shall be determined by dividing the aggregate dollar value of the dividends that would be paid on the Units, if such Units were Common Stock, by the Fair Market Value of one share of the Common Stock on the dividend payment date.</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Continuation of Accounts</w:t>
      </w:r>
    </w:p>
    <w:p>
      <w:pPr>
        <w:spacing w:after="0" w:line="224"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22"/>
          <w:szCs w:val="22"/>
          <w:color w:val="auto"/>
        </w:rPr>
        <w:t>Notwithstanding that a Participant ceases to be an Eligible Officer, any Accounts established for such Participant shall continue to be maintained until distribution in accordance with the Plan and the Participant’s Deferral Election.</w:t>
      </w:r>
    </w:p>
    <w:p>
      <w:pPr>
        <w:spacing w:after="0" w:line="15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b w:val="1"/>
          <w:bCs w:val="1"/>
          <w:color w:val="auto"/>
        </w:rPr>
        <w:t>IV.  VESTING</w:t>
      </w:r>
    </w:p>
    <w:p>
      <w:pPr>
        <w:spacing w:after="0" w:line="237" w:lineRule="exact"/>
        <w:rPr>
          <w:sz w:val="20"/>
          <w:szCs w:val="20"/>
          <w:color w:val="auto"/>
        </w:rPr>
      </w:pPr>
    </w:p>
    <w:p>
      <w:pPr>
        <w:jc w:val="right"/>
        <w:ind w:left="660" w:right="3580"/>
        <w:spacing w:after="0" w:line="452" w:lineRule="auto"/>
        <w:rPr>
          <w:sz w:val="20"/>
          <w:szCs w:val="20"/>
          <w:color w:val="auto"/>
        </w:rPr>
      </w:pPr>
      <w:r>
        <w:rPr>
          <w:rFonts w:ascii="Times New Roman" w:cs="Times New Roman" w:eastAsia="Times New Roman" w:hAnsi="Times New Roman"/>
          <w:sz w:val="22"/>
          <w:szCs w:val="22"/>
          <w:color w:val="auto"/>
        </w:rPr>
        <w:t xml:space="preserve">All amounts credited to a Participant’s Accounts shall be 100% vested at all times. </w:t>
      </w:r>
      <w:r>
        <w:rPr>
          <w:rFonts w:ascii="Times New Roman" w:cs="Times New Roman" w:eastAsia="Times New Roman" w:hAnsi="Times New Roman"/>
          <w:sz w:val="22"/>
          <w:szCs w:val="22"/>
          <w:b w:val="1"/>
          <w:bCs w:val="1"/>
          <w:color w:val="auto"/>
        </w:rPr>
        <w:t>V.  DISTRIBUTIONS</w:t>
      </w:r>
    </w:p>
    <w:p>
      <w:pPr>
        <w:spacing w:after="0" w:line="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Distributable Events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Benefits shall be payable under the Plan to or on behalf of a Participant, in accordance with the elections made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under the Plan, on account of the earliest to occur of the following events:</w:t>
      </w:r>
    </w:p>
    <w:p>
      <w:pPr>
        <w:spacing w:after="0" w:line="196"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(other than on account of death); or</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specified date under Section 5.3(a).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Benefit payments shall be made or commenced as provided under Section 5.4.</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Distribution of Benefits</w:t>
      </w:r>
    </w:p>
    <w:p>
      <w:pPr>
        <w:spacing w:after="0" w:line="224" w:lineRule="exact"/>
        <w:rPr>
          <w:sz w:val="20"/>
          <w:szCs w:val="20"/>
          <w:color w:val="auto"/>
        </w:rPr>
      </w:pPr>
    </w:p>
    <w:p>
      <w:pPr>
        <w:ind w:right="20" w:firstLine="656"/>
        <w:spacing w:after="0" w:line="284" w:lineRule="auto"/>
        <w:tabs>
          <w:tab w:leader="none" w:pos="106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of Benefits</w:t>
      </w:r>
      <w:r>
        <w:rPr>
          <w:rFonts w:ascii="Times New Roman" w:cs="Times New Roman" w:eastAsia="Times New Roman" w:hAnsi="Times New Roman"/>
          <w:sz w:val="22"/>
          <w:szCs w:val="22"/>
          <w:color w:val="auto"/>
        </w:rPr>
        <w:t>. In the event a Participant becomes eligible to receive a payment under the Plan, the Participant shall be entitled to receive the value of all the Participant’s Accounts for which a benefit distribution is required.</w:t>
      </w:r>
    </w:p>
    <w:p>
      <w:pPr>
        <w:spacing w:after="0" w:line="144" w:lineRule="exact"/>
        <w:rPr>
          <w:rFonts w:ascii="Times New Roman" w:cs="Times New Roman" w:eastAsia="Times New Roman" w:hAnsi="Times New Roman"/>
          <w:sz w:val="22"/>
          <w:szCs w:val="22"/>
          <w:color w:val="auto"/>
        </w:rPr>
      </w:pPr>
    </w:p>
    <w:p>
      <w:pPr>
        <w:jc w:val="both"/>
        <w:ind w:right="440" w:firstLine="656"/>
        <w:spacing w:after="0" w:line="257" w:lineRule="auto"/>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of Method of Payment</w:t>
      </w:r>
      <w:r>
        <w:rPr>
          <w:rFonts w:ascii="Times New Roman" w:cs="Times New Roman" w:eastAsia="Times New Roman" w:hAnsi="Times New Roman"/>
          <w:sz w:val="22"/>
          <w:szCs w:val="22"/>
          <w:color w:val="auto"/>
        </w:rPr>
        <w:t>. Benefits payable to a Participant or, in the event of the Participant’s death, to the Participant’s designated Beneficiary under the Plan, shall be paid in accordance with one of the available methods of payment referred to in Section 5.2(d) in accordance with the Participant’s initial Deferral Election unless such Participant has elected to change the method of payment in accordance with Section 5.2(c).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8</w:t>
      </w:r>
    </w:p>
    <w:p>
      <w:pPr>
        <w:sectPr>
          <w:pgSz w:w="11900" w:h="16838" w:orient="portrait"/>
          <w:cols w:equalWidth="0" w:num="1">
            <w:col w:w="11360"/>
          </w:cols>
          <w:pgMar w:left="240" w:top="625" w:right="299" w:bottom="1440" w:gutter="0" w:footer="0" w:header="0"/>
        </w:sectPr>
      </w:pPr>
    </w:p>
    <w:bookmarkStart w:id="81" w:name="page82"/>
    <w:bookmarkEnd w:id="81"/>
    <w:p>
      <w:pPr>
        <w:ind w:right="120" w:firstLine="656"/>
        <w:spacing w:after="0" w:line="247" w:lineRule="auto"/>
        <w:tabs>
          <w:tab w:leader="none" w:pos="106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Election of Method of Payment</w:t>
      </w:r>
      <w:r>
        <w:rPr>
          <w:rFonts w:ascii="Times New Roman" w:cs="Times New Roman" w:eastAsia="Times New Roman" w:hAnsi="Times New Roman"/>
          <w:sz w:val="22"/>
          <w:szCs w:val="22"/>
          <w:color w:val="auto"/>
        </w:rPr>
        <w:t>. A Participant may change the method of payment by electing another method available under the Plan by completing and submitting a Change Election to the Administrator, or its delegate, at any time up to one year before the date of the Participant’s Separation from Service; provided, however, that a Participant may make only one such Change Election with respect to each applicable Plan Year deferral. Such Change Elections are also subject to the following: (i) any change shall not take effect until at least 12 months after the date on which the election change is made, and (ii) in the case of a Change Election relating to payments other than on account of an Unforeseeable Emergency, death or Disability of the Participant, the payment shall be deferred for a period of not less than five years after the date such payment would otherwise have been paid (or in the case of installment payments treated as a single payment, five years after the date the first installment would otherwise have been paid); and (iii) with respect to the fixed date distribution under 5.3(a) or installment distributions, the election is made at least 12 months prior to the date of the first scheduled payment.</w:t>
      </w:r>
    </w:p>
    <w:p>
      <w:pPr>
        <w:spacing w:after="0" w:line="192" w:lineRule="exact"/>
        <w:rPr>
          <w:rFonts w:ascii="Times New Roman" w:cs="Times New Roman" w:eastAsia="Times New Roman" w:hAnsi="Times New Roman"/>
          <w:sz w:val="22"/>
          <w:szCs w:val="22"/>
          <w:color w:val="auto"/>
        </w:rPr>
      </w:pPr>
    </w:p>
    <w:p>
      <w:pPr>
        <w:ind w:right="140" w:firstLine="656"/>
        <w:spacing w:after="0" w:line="251" w:lineRule="auto"/>
        <w:tabs>
          <w:tab w:leader="none" w:pos="10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Available Methods of Payment</w:t>
      </w:r>
      <w:r>
        <w:rPr>
          <w:rFonts w:ascii="Times New Roman" w:cs="Times New Roman" w:eastAsia="Times New Roman" w:hAnsi="Times New Roman"/>
          <w:sz w:val="22"/>
          <w:szCs w:val="22"/>
          <w:color w:val="auto"/>
        </w:rPr>
        <w:t>. Available methods of payment are (i) substantially equal annual, quarterly or monthly installment payments over a period not to exceed ten years or (ii) a single lump-sum distribution. The amount of a Participant’s substantially equal installment payment will be determined when benefits commence and re-determined each subsequent January by dividing (i) the balance of the Participant’s Account that is subject to the installment distribution at the end of the month preceding the month in which the first payment for the calendar year is to be made by (ii) the number of installment payments remaining to be made.</w:t>
      </w:r>
    </w:p>
    <w:p>
      <w:pPr>
        <w:spacing w:after="0" w:line="181" w:lineRule="exact"/>
        <w:rPr>
          <w:rFonts w:ascii="Times New Roman" w:cs="Times New Roman" w:eastAsia="Times New Roman" w:hAnsi="Times New Roman"/>
          <w:sz w:val="22"/>
          <w:szCs w:val="22"/>
          <w:color w:val="auto"/>
        </w:rPr>
      </w:pPr>
    </w:p>
    <w:p>
      <w:pPr>
        <w:ind w:right="120" w:firstLine="656"/>
        <w:spacing w:after="0" w:line="257" w:lineRule="auto"/>
        <w:tabs>
          <w:tab w:leader="none" w:pos="106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Election of Method of Payment</w:t>
      </w:r>
      <w:r>
        <w:rPr>
          <w:rFonts w:ascii="Times New Roman" w:cs="Times New Roman" w:eastAsia="Times New Roman" w:hAnsi="Times New Roman"/>
          <w:sz w:val="22"/>
          <w:szCs w:val="22"/>
          <w:color w:val="auto"/>
        </w:rPr>
        <w:t>. If a Participant fails to elect a method of payment in the Participant’s initial Deferral Election, benefits payable under the Plan to or on behalf of a Participant shall be paid in a single distribution to the Participant, or in the event of the Participant’s death, to the Participant’s designated Beneficiary under the Plan. Any change in this default election must comply with Section 5.2(c).</w:t>
      </w:r>
    </w:p>
    <w:p>
      <w:pPr>
        <w:spacing w:after="0" w:line="172" w:lineRule="exact"/>
        <w:rPr>
          <w:rFonts w:ascii="Times New Roman" w:cs="Times New Roman" w:eastAsia="Times New Roman" w:hAnsi="Times New Roman"/>
          <w:sz w:val="22"/>
          <w:szCs w:val="22"/>
          <w:color w:val="auto"/>
        </w:rPr>
      </w:pPr>
    </w:p>
    <w:p>
      <w:pPr>
        <w:ind w:right="200" w:firstLine="656"/>
        <w:spacing w:after="0" w:line="257" w:lineRule="auto"/>
        <w:tabs>
          <w:tab w:leader="none" w:pos="10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Beneficiary</w:t>
      </w:r>
      <w:r>
        <w:rPr>
          <w:rFonts w:ascii="Times New Roman" w:cs="Times New Roman" w:eastAsia="Times New Roman" w:hAnsi="Times New Roman"/>
          <w:sz w:val="22"/>
          <w:szCs w:val="22"/>
          <w:color w:val="auto"/>
        </w:rPr>
        <w:t>. If a Beneficiary dies before the Beneficiary’s interest in the Participant’s Account is distributed in full, the remaining Account balance will be paid as soon as practicable in a single lump sum payment to the personal representative (executor or administrator) of the Beneficiary’s estate.</w:t>
      </w:r>
    </w:p>
    <w:p>
      <w:pPr>
        <w:spacing w:after="0" w:line="2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Other Distributions</w:t>
      </w:r>
    </w:p>
    <w:p>
      <w:pPr>
        <w:spacing w:after="0" w:line="224" w:lineRule="exact"/>
        <w:rPr>
          <w:sz w:val="20"/>
          <w:szCs w:val="20"/>
          <w:color w:val="auto"/>
        </w:rPr>
      </w:pPr>
    </w:p>
    <w:p>
      <w:pPr>
        <w:ind w:right="200" w:firstLine="656"/>
        <w:spacing w:after="0" w:line="263" w:lineRule="auto"/>
        <w:tabs>
          <w:tab w:leader="none" w:pos="106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Date Distributions</w:t>
      </w:r>
      <w:r>
        <w:rPr>
          <w:rFonts w:ascii="Times New Roman" w:cs="Times New Roman" w:eastAsia="Times New Roman" w:hAnsi="Times New Roman"/>
          <w:sz w:val="22"/>
          <w:szCs w:val="22"/>
          <w:color w:val="auto"/>
        </w:rPr>
        <w:t>. A Participant may elect, in the Participant’s Deferral Election with respect to such deferrals credited to the Participant’s Account, to receive a single sum distribution of the Participant’s Account in a specified year no earlier than two years following the year to which such Deferral Election applies.</w:t>
      </w:r>
    </w:p>
    <w:p>
      <w:pPr>
        <w:spacing w:after="0" w:line="167" w:lineRule="exact"/>
        <w:rPr>
          <w:rFonts w:ascii="Times New Roman" w:cs="Times New Roman" w:eastAsia="Times New Roman" w:hAnsi="Times New Roman"/>
          <w:sz w:val="22"/>
          <w:szCs w:val="22"/>
          <w:color w:val="auto"/>
        </w:rPr>
      </w:pPr>
    </w:p>
    <w:p>
      <w:pPr>
        <w:ind w:firstLine="656"/>
        <w:spacing w:after="0" w:line="262" w:lineRule="auto"/>
        <w:tabs>
          <w:tab w:leader="none" w:pos="10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Unforeseeable Emergency Distribution</w:t>
      </w:r>
      <w:r>
        <w:rPr>
          <w:rFonts w:ascii="Times New Roman" w:cs="Times New Roman" w:eastAsia="Times New Roman" w:hAnsi="Times New Roman"/>
          <w:sz w:val="21"/>
          <w:szCs w:val="21"/>
          <w:color w:val="auto"/>
        </w:rPr>
        <w:t>. A Participant who incurs an Unforeseeable Emergency, as determined by the Administrator based on the relevant facts and circumstances, may make a written request to the Administrator for a hardship withdrawal from the Participant’s account. Upon receiving such a request, the Administrator (i) shall cancel a Participant’s deferrals under the Plan for the remainder of the Plan Year, and (ii) may make a distribution from the Participant’s account. Withdrawals of amounts because of an Unforeseeable Emergency are permitted to the extent reasonably necessary to satisfy the emergency need (which may include amounts necessary to pay any federal, state, local or foreign income taxes or penalties reasonably anticipated to result from the distribution). A distribution on account of an Unforeseeable Emergency may not be made to the extent that such emergency is or may be relieved through reimbursement or compensation from insurance or otherwise,</w:t>
      </w:r>
    </w:p>
    <w:p>
      <w:pPr>
        <w:spacing w:after="0" w:line="200" w:lineRule="exact"/>
        <w:rPr>
          <w:sz w:val="20"/>
          <w:szCs w:val="20"/>
          <w:color w:val="auto"/>
        </w:rPr>
      </w:pPr>
    </w:p>
    <w:p>
      <w:pPr>
        <w:spacing w:after="0" w:line="21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9</w:t>
      </w:r>
    </w:p>
    <w:p>
      <w:pPr>
        <w:sectPr>
          <w:pgSz w:w="11900" w:h="16838" w:orient="portrait"/>
          <w:cols w:equalWidth="0" w:num="1">
            <w:col w:w="11420"/>
          </w:cols>
          <w:pgMar w:left="240" w:top="625" w:right="239" w:bottom="1440" w:gutter="0" w:footer="0" w:header="0"/>
        </w:sectPr>
      </w:pPr>
    </w:p>
    <w:bookmarkStart w:id="82" w:name="page83"/>
    <w:bookmarkEnd w:id="82"/>
    <w:p>
      <w:pPr>
        <w:spacing w:after="0" w:line="271" w:lineRule="auto"/>
        <w:rPr>
          <w:sz w:val="20"/>
          <w:szCs w:val="20"/>
          <w:color w:val="auto"/>
        </w:rPr>
      </w:pPr>
      <w:r>
        <w:rPr>
          <w:rFonts w:ascii="Times New Roman" w:cs="Times New Roman" w:eastAsia="Times New Roman" w:hAnsi="Times New Roman"/>
          <w:sz w:val="22"/>
          <w:szCs w:val="22"/>
          <w:color w:val="auto"/>
        </w:rPr>
        <w:t>by liquidation of the Participant’s assets, to the extent the liquidation of such assets would not cause severe financial hardship, or by cessation of deferrals under the Plan.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Commencement of Distributions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Payment of a benefit shall begin in accordance with the provisions of this Section 5.4.</w:t>
      </w:r>
    </w:p>
    <w:p>
      <w:pPr>
        <w:spacing w:after="0" w:line="220" w:lineRule="exact"/>
        <w:rPr>
          <w:sz w:val="20"/>
          <w:szCs w:val="20"/>
          <w:color w:val="auto"/>
        </w:rPr>
      </w:pPr>
    </w:p>
    <w:p>
      <w:pPr>
        <w:ind w:right="80" w:firstLine="656"/>
        <w:spacing w:after="0" w:line="237" w:lineRule="auto"/>
        <w:tabs>
          <w:tab w:leader="none" w:pos="106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a benefit is payable because of a Participant’s Disability, payment shall begin on the 15th day of the first month immediately following the month in which the determination of Disability is made. If a benefit is payable because of a Participant’s death, payment shall begin on or after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first month immediately following the month in which the death occurred, but not later than the last day of the calendar year immediately following the calendar year in which the Participant’s death occurred.</w:t>
      </w:r>
    </w:p>
    <w:p>
      <w:pPr>
        <w:spacing w:after="0" w:line="195" w:lineRule="exact"/>
        <w:rPr>
          <w:rFonts w:ascii="Times New Roman" w:cs="Times New Roman" w:eastAsia="Times New Roman" w:hAnsi="Times New Roman"/>
          <w:sz w:val="22"/>
          <w:szCs w:val="22"/>
          <w:color w:val="auto"/>
        </w:rPr>
      </w:pPr>
    </w:p>
    <w:p>
      <w:pPr>
        <w:ind w:right="120" w:firstLine="656"/>
        <w:spacing w:after="0" w:line="263" w:lineRule="auto"/>
        <w:tabs>
          <w:tab w:leader="none" w:pos="10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Subject to Section 5.6, if a benefit is payable because of a Participant’s Separation from Service with the Company and all Affiliates for any reason other than death, payment shall begin in the January immediately following the calendar year in which the Separation from Service occurs.</w:t>
      </w:r>
    </w:p>
    <w:p>
      <w:pPr>
        <w:spacing w:after="0" w:line="167" w:lineRule="exact"/>
        <w:rPr>
          <w:rFonts w:ascii="Times New Roman" w:cs="Times New Roman" w:eastAsia="Times New Roman" w:hAnsi="Times New Roman"/>
          <w:sz w:val="22"/>
          <w:szCs w:val="22"/>
          <w:color w:val="auto"/>
        </w:rPr>
      </w:pPr>
    </w:p>
    <w:p>
      <w:pPr>
        <w:ind w:right="40" w:firstLine="656"/>
        <w:spacing w:after="0" w:line="263" w:lineRule="auto"/>
        <w:tabs>
          <w:tab w:leader="none" w:pos="106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In-Service Distribution</w:t>
      </w:r>
      <w:r>
        <w:rPr>
          <w:rFonts w:ascii="Times New Roman" w:cs="Times New Roman" w:eastAsia="Times New Roman" w:hAnsi="Times New Roman"/>
          <w:sz w:val="22"/>
          <w:szCs w:val="22"/>
          <w:color w:val="auto"/>
        </w:rPr>
        <w:t>. If a Participant has properly made a specified date distribution election under Section 5.3(a), which is triggered under Section 5.1, payment shall be made in the January of the calendar year in which the Participant has elected to receive the in-service distribution, as set forth in Participant’s Deferral Election.</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Form of Payment</w:t>
      </w:r>
    </w:p>
    <w:p>
      <w:pPr>
        <w:spacing w:after="0" w:line="224"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If a benefit is payable to or on behalf of a Participant under the Plan, vested Units in the Participant’s Common Stock Units Account shall be distributed in the form of an equal number of shares of Common Stock, and any vested fractional Unit, in the discretion of the Administrator, may be converted into a cash payment based on the Fair Market Value of the Common Stock immediately prior to distribution. Common Stock to be distributed under this Plan shall be issued under the Performance Share Plan, subject to all the terms and conditions of the Performance Share Plan; provided that any shares issued as a result of the crediting of dividends under Section 3.3(c) after March 16, 2010 will be issued under The Toro Company Amended and Restated 2010 Equity and Incentive Plan, or, if designated by the Board, a successor to such plan. The terms contained in the Performance Share Plan are incorporated by reference into and made a part of this Plan with respect to such shares of Common Stock distributed under this Plan. In the event of any actual or alleged conflict between provisions of the Performance Share Plan and the provisions of this Plan, the Performance Share Plan shall be controlling.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10</w:t>
      </w:r>
    </w:p>
    <w:p>
      <w:pPr>
        <w:sectPr>
          <w:pgSz w:w="11900" w:h="16838" w:orient="portrait"/>
          <w:cols w:equalWidth="0" w:num="1">
            <w:col w:w="11420"/>
          </w:cols>
          <w:pgMar w:left="240" w:top="625" w:right="239" w:bottom="1440" w:gutter="0" w:footer="0" w:header="0"/>
        </w:sectPr>
      </w:pPr>
    </w:p>
    <w:bookmarkStart w:id="83" w:name="page84"/>
    <w:bookmarkEnd w:id="83"/>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color w:val="auto"/>
        </w:rPr>
        <w:t>Six-Month Delay for Payments to Specified Employee</w:t>
      </w:r>
    </w:p>
    <w:p>
      <w:pPr>
        <w:spacing w:after="0" w:line="224"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In the case of a Participant who is a Specified Employee as of the date of the Participant’s Separation from Service, all payments under the Plan to which the Participant is otherwise entitled due to Separation from Service shall not be made or commenced prior to the first day of the month after six months have elapsed since the Participant’s Separation from Service (or, if earlier, the date of death of the Specified Employee) as required under Treasury Regulation Section 1.409A-3(i)(2). For purposes of complying with the preceding sentence, the delay in the distribution of the first payment will be applied to each payment to which the Specified Employee is otherwise entitled upon a Separation from Service.</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color w:val="auto"/>
        </w:rPr>
        <w:t>Acceleration or Delay of Distribution</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Administrator in its sole discretion may exercise discretion to accelerate or delay the distribution of any payment under this Plan, if, and only to the extent, allowed under Code section 409A.</w:t>
      </w:r>
    </w:p>
    <w:p>
      <w:pPr>
        <w:spacing w:after="0" w:line="19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VI.  BENEFICIARY DESIGNATION</w:t>
      </w:r>
    </w:p>
    <w:p>
      <w:pPr>
        <w:spacing w:after="0" w:line="237" w:lineRule="exact"/>
        <w:rPr>
          <w:sz w:val="20"/>
          <w:szCs w:val="20"/>
          <w:color w:val="auto"/>
        </w:rPr>
      </w:pPr>
    </w:p>
    <w:p>
      <w:pPr>
        <w:ind w:right="800" w:firstLine="648"/>
        <w:spacing w:after="0" w:line="257" w:lineRule="auto"/>
        <w:rPr>
          <w:sz w:val="20"/>
          <w:szCs w:val="20"/>
          <w:color w:val="auto"/>
        </w:rPr>
      </w:pPr>
      <w:r>
        <w:rPr>
          <w:rFonts w:ascii="Times New Roman" w:cs="Times New Roman" w:eastAsia="Times New Roman" w:hAnsi="Times New Roman"/>
          <w:sz w:val="22"/>
          <w:szCs w:val="22"/>
          <w:color w:val="auto"/>
        </w:rPr>
        <w:t>Each Participant shall have the right to designate one or more Beneficiaries (including primary and contingent Beneficiaries) to receive any benefits payable under the Plan. A Participant shall have the right to change a Beneficiary by designating a new Beneficiary in a manner and on a form approved by the Administrator.</w:t>
      </w:r>
    </w:p>
    <w:p>
      <w:pPr>
        <w:spacing w:after="0" w:line="173"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22"/>
          <w:szCs w:val="22"/>
          <w:color w:val="auto"/>
        </w:rPr>
        <w:t>If a Participant fails to designate a Beneficiary or if all designated Beneficiaries predecease the Participant or die prior to complete distribution of the Participant’s benefits, then payment shall be made to the personal representative (executor or administrator) of the Participant’s estate.</w:t>
      </w:r>
    </w:p>
    <w:p>
      <w:pPr>
        <w:spacing w:after="0" w:line="16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VII.  ADMINISTRATION OF THE PLAN</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Administrator</w:t>
      </w:r>
    </w:p>
    <w:p>
      <w:pPr>
        <w:spacing w:after="0" w:line="224"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The Company shall be the Administrator of the Plan. The Committee shall act on behalf of the Company with respect to the administration of the Plan and may delegate authority with respect to the administration of the Plan to a committee, a person or persons as it deems necessary or appropriate for the administration and operation of the Plan, including the Vice President, Human Resources and the Vice President, Secretary and General Counsel, which such officers may further delegate authority with respect to the administration of the Plan. It is the Company’s intention that, with respect to Participants subject to Section 16 of the Securities Exchange Act of 1934, transactions under the Plan will comply with all applicable requirements of Rule 16b-3 or its successors and with any Company policy with respect to insider trading. To the extent any action by the Administrator fails to so comply, it shall be deemed null and void to the extent permitted by law and deemed advisable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11</w:t>
      </w:r>
    </w:p>
    <w:p>
      <w:pPr>
        <w:sectPr>
          <w:pgSz w:w="11900" w:h="16838" w:orient="portrait"/>
          <w:cols w:equalWidth="0" w:num="1">
            <w:col w:w="11380"/>
          </w:cols>
          <w:pgMar w:left="240" w:top="621" w:right="279" w:bottom="1440" w:gutter="0" w:footer="0" w:header="0"/>
        </w:sectPr>
      </w:pPr>
    </w:p>
    <w:bookmarkStart w:id="84" w:name="page85"/>
    <w:bookmarkEnd w:id="84"/>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Authority of Administrator</w:t>
      </w:r>
    </w:p>
    <w:p>
      <w:pPr>
        <w:spacing w:after="0" w:line="22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1"/>
          <w:szCs w:val="21"/>
          <w:color w:val="auto"/>
        </w:rPr>
        <w:t>The Administrator shall have the authority, duty and power to interpret and construe the provisions of the Plan in its sole discretion and as it deems appropriate; to adopt, establish and revise rules, procedures and regulations relating to the Plan; to determine the conditions subject to which any benefits may be payable; to resolve all questions concerning the status and rights of Participants and others under the Plan, including, but not limited to, eligibility for benefits; and to make any other determinations necessary or advisable for the administration of the Plan. The Administrator shall have the duty and responsibility of maintaining records, mailing the requisite calculations and disbursing payments hereunder. The determinations, interpretations, regulations and calculations of the Administrator shall be final and binding on all persons and parties concerned.</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Operation of Plan</w:t>
      </w:r>
    </w:p>
    <w:p>
      <w:pPr>
        <w:spacing w:after="0" w:line="224"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22"/>
          <w:szCs w:val="22"/>
          <w:color w:val="auto"/>
        </w:rPr>
        <w:t>The Administrator shall be responsible for the general operation and administration of the Plan and for carrying out the provisions thereof. The Company shall be responsible for the payment of expenses incurred in the administration of the Plan. The Administrator shall be responsible for determining eligibility for payments and the amounts payable pursuant to the Plan. The Administrator shall be entitled to rely conclusively upon all tables, valuations, certificates, opinions and reports furnished by any actuary, accountant, controller, counsel or other person employed or engaged by or on behalf of the Company with respect to the Plan.</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Claims Procedures</w:t>
      </w:r>
    </w:p>
    <w:p>
      <w:pPr>
        <w:spacing w:after="0" w:line="224"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2"/>
          <w:szCs w:val="22"/>
          <w:color w:val="auto"/>
        </w:rPr>
        <w:t>The Company intends to make payments under the Plan without requiring that a Participant submit a claim form. However, a Participant who believes a payment is due under the Plan may submit a claim for payments. For claims procedure purposes, the Administrator shall administer the claims process on behalf of the Company. The procedures in Section 7.4 are intended to comply with Section 503 of ERISA and Section 2560.503-1 of the Department of Labor Regulations and pertain to claims by Participants and Beneficiaries (“claimants”) for Plan benefits, consideration of such claim and review of claim denials. For these purposes, a “claim” is a request for benefits under the Plan and must be made by the claimant in writing filed with the Administrator and must state the claimant’s name and the nature of the benefits payable. A claim is filed when the requirements of these procedures have been met.</w:t>
      </w:r>
    </w:p>
    <w:p>
      <w:pPr>
        <w:spacing w:after="0" w:line="186" w:lineRule="exact"/>
        <w:rPr>
          <w:sz w:val="20"/>
          <w:szCs w:val="20"/>
          <w:color w:val="auto"/>
        </w:rPr>
      </w:pPr>
    </w:p>
    <w:p>
      <w:pPr>
        <w:ind w:firstLine="656"/>
        <w:spacing w:after="0" w:line="247" w:lineRule="auto"/>
        <w:tabs>
          <w:tab w:leader="none" w:pos="106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is wholly or partially denied, notice of the decision, meeting the requirements of Section 7.4(b), shall be furnished to the claimant within a reasonable period of time after receipt of the claim by the Company. If notice of the denial of a claim is not furnished in accordance with this Section 7.4(a) within a reasonable period of time, the claim shall be deemed denied and the claimant shall be permitted to proceed to the review stage described in Section 7.4(c). For purposes of this Section 7.4(a), the period of time for notification to the claimant will not exceed 90 days (45 days for Disability claims)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(45 days for Disability claims). In no event shall such extension exceed a period of 90 days (30 days for Disability claims) from the end of such initial period. The extension notice shall indicate the special circumstances requiring an extension of time and the date by which the Administrator expects to render the final decision (see the paragraph below for the contents of the extension notice with respect to Disability claims).</w:t>
      </w:r>
    </w:p>
    <w:p>
      <w:pPr>
        <w:spacing w:after="0" w:line="200" w:lineRule="exact"/>
        <w:rPr>
          <w:sz w:val="20"/>
          <w:szCs w:val="20"/>
          <w:color w:val="auto"/>
        </w:rPr>
      </w:pPr>
    </w:p>
    <w:p>
      <w:pPr>
        <w:spacing w:after="0" w:line="2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12</w:t>
      </w:r>
    </w:p>
    <w:p>
      <w:pPr>
        <w:sectPr>
          <w:pgSz w:w="11900" w:h="16838" w:orient="portrait"/>
          <w:cols w:equalWidth="0" w:num="1">
            <w:col w:w="11400"/>
          </w:cols>
          <w:pgMar w:left="240" w:top="621" w:right="259" w:bottom="1440" w:gutter="0" w:footer="0" w:header="0"/>
        </w:sectPr>
      </w:pPr>
    </w:p>
    <w:bookmarkStart w:id="85" w:name="page86"/>
    <w:bookmarkEnd w:id="85"/>
    <w:p>
      <w:pPr>
        <w:ind w:right="40" w:firstLine="648"/>
        <w:spacing w:after="0" w:line="261" w:lineRule="auto"/>
        <w:rPr>
          <w:sz w:val="20"/>
          <w:szCs w:val="20"/>
          <w:color w:val="auto"/>
        </w:rPr>
      </w:pPr>
      <w:r>
        <w:rPr>
          <w:rFonts w:ascii="Times New Roman" w:cs="Times New Roman" w:eastAsia="Times New Roman" w:hAnsi="Times New Roman"/>
          <w:sz w:val="21"/>
          <w:szCs w:val="21"/>
          <w:color w:val="auto"/>
        </w:rPr>
        <w:t>In addition, with respect to Disability claims, if, prior to the end of the first 30-day extension period, the Administrator determines that, due to matters beyond the control of the Plan, a decision cannot be rendered within that extension period, the period for making the determination may be extended for up to an additional 30 days, provided that the Administrator notifies the claimant, prior to the expiration of the first 30-day extension period, of the circumstances requiring the extension and the date as of which the Plan expects to render a decision. Both notices of extension shall specifically explain the standards on which entitlement to a benefit is based, the unresolved issues that prevent a decision on the claim, and the additional information needed to resolve those issues, and the claimant shall be afforded at least 45 days within which to provide the specified information.</w:t>
      </w:r>
    </w:p>
    <w:p>
      <w:pPr>
        <w:spacing w:after="0" w:line="174" w:lineRule="exact"/>
        <w:rPr>
          <w:sz w:val="20"/>
          <w:szCs w:val="20"/>
          <w:color w:val="auto"/>
        </w:rPr>
      </w:pPr>
    </w:p>
    <w:p>
      <w:pPr>
        <w:ind w:right="260" w:firstLine="656"/>
        <w:spacing w:after="0" w:line="284" w:lineRule="auto"/>
        <w:tabs>
          <w:tab w:leader="none" w:pos="10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provide to every claimant who is denied a claim for benefits written notice setting forth in a manner calculated to be understood by the claimant:</w:t>
      </w:r>
    </w:p>
    <w:p>
      <w:pPr>
        <w:spacing w:after="0" w:line="144"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pertinent provisions of the Plan on which the denial is based;</w:t>
      </w:r>
    </w:p>
    <w:p>
      <w:pPr>
        <w:spacing w:after="0" w:line="219" w:lineRule="exact"/>
        <w:rPr>
          <w:rFonts w:ascii="Times New Roman" w:cs="Times New Roman" w:eastAsia="Times New Roman" w:hAnsi="Times New Roman"/>
          <w:sz w:val="22"/>
          <w:szCs w:val="22"/>
          <w:color w:val="auto"/>
        </w:rPr>
      </w:pPr>
    </w:p>
    <w:p>
      <w:pPr>
        <w:ind w:left="1960" w:right="60" w:hanging="655"/>
        <w:spacing w:after="0" w:line="271" w:lineRule="auto"/>
        <w:tabs>
          <w:tab w:leader="none" w:pos="19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 and an explanation of why such material or information is necessary;</w:t>
      </w:r>
    </w:p>
    <w:p>
      <w:pPr>
        <w:spacing w:after="0" w:line="157" w:lineRule="exact"/>
        <w:rPr>
          <w:rFonts w:ascii="Times New Roman" w:cs="Times New Roman" w:eastAsia="Times New Roman" w:hAnsi="Times New Roman"/>
          <w:sz w:val="22"/>
          <w:szCs w:val="22"/>
          <w:color w:val="auto"/>
        </w:rPr>
      </w:pPr>
    </w:p>
    <w:p>
      <w:pPr>
        <w:ind w:left="1960" w:right="120" w:hanging="655"/>
        <w:spacing w:after="0" w:line="271" w:lineRule="auto"/>
        <w:tabs>
          <w:tab w:leader="none" w:pos="19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information as to the steps to be taken if the Participant or Beneficiary wishes to submit a claim for review; and</w:t>
      </w:r>
    </w:p>
    <w:p>
      <w:pPr>
        <w:spacing w:after="0" w:line="157" w:lineRule="exact"/>
        <w:rPr>
          <w:rFonts w:ascii="Times New Roman" w:cs="Times New Roman" w:eastAsia="Times New Roman" w:hAnsi="Times New Roman"/>
          <w:sz w:val="22"/>
          <w:szCs w:val="22"/>
          <w:color w:val="auto"/>
        </w:rPr>
      </w:pPr>
    </w:p>
    <w:p>
      <w:pPr>
        <w:ind w:left="1960" w:hanging="655"/>
        <w:spacing w:after="0" w:line="265" w:lineRule="auto"/>
        <w:tabs>
          <w:tab w:leader="none" w:pos="196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adverse benefit determination regarding Disability benefits, if an internal rule, guideline, protocol or other similar criterion was relied upon in making the adverse determination, either a copy of the specific rule, guideline, protocol or other similar criterion or a statement that such rule, guideline, protocol or other similar criterion was relied upon in making the adverse determination and that a copy of such rule, guideline, protocol or other criterion will be provided free of charge to the claimant upon request.</w:t>
      </w:r>
    </w:p>
    <w:p>
      <w:pPr>
        <w:spacing w:after="0" w:line="165" w:lineRule="exact"/>
        <w:rPr>
          <w:rFonts w:ascii="Times New Roman" w:cs="Times New Roman" w:eastAsia="Times New Roman" w:hAnsi="Times New Roman"/>
          <w:sz w:val="21"/>
          <w:szCs w:val="21"/>
          <w:color w:val="auto"/>
        </w:rPr>
      </w:pPr>
    </w:p>
    <w:p>
      <w:pPr>
        <w:jc w:val="both"/>
        <w:ind w:right="20" w:firstLine="656"/>
        <w:spacing w:after="0" w:line="257" w:lineRule="auto"/>
        <w:tabs>
          <w:tab w:leader="none" w:pos="106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is denied in whole or in part and if the claimant is dissatisfied with the disposition of the claim, the claimant or the claimant’s duly authorized representative shall have a reasonable opportunity to appeal the denied claim to the Administrator or to a person designated by the Administrator, and shall have a full and fair review of the claim and its denial. Under this review procedure, a claimant or the claimant’s duly authorized representative may:</w:t>
      </w:r>
    </w:p>
    <w:p>
      <w:pPr>
        <w:spacing w:after="0" w:line="172"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a review upon written application to the Administrator;</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pertinent documents; and</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issues and comments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13</w:t>
      </w:r>
    </w:p>
    <w:p>
      <w:pPr>
        <w:sectPr>
          <w:pgSz w:w="11900" w:h="16838" w:orient="portrait"/>
          <w:cols w:equalWidth="0" w:num="1">
            <w:col w:w="11380"/>
          </w:cols>
          <w:pgMar w:left="240" w:top="625" w:right="279" w:bottom="1440" w:gutter="0" w:footer="0" w:header="0"/>
        </w:sectPr>
      </w:pPr>
    </w:p>
    <w:bookmarkStart w:id="86" w:name="page87"/>
    <w:bookmarkEnd w:id="86"/>
    <w:p>
      <w:pPr>
        <w:ind w:right="420"/>
        <w:spacing w:after="0" w:line="271" w:lineRule="auto"/>
        <w:rPr>
          <w:sz w:val="20"/>
          <w:szCs w:val="20"/>
          <w:color w:val="auto"/>
        </w:rPr>
      </w:pPr>
      <w:r>
        <w:rPr>
          <w:rFonts w:ascii="Times New Roman" w:cs="Times New Roman" w:eastAsia="Times New Roman" w:hAnsi="Times New Roman"/>
          <w:sz w:val="22"/>
          <w:szCs w:val="22"/>
          <w:color w:val="auto"/>
        </w:rPr>
        <w:t>A claimant must file such a request for review of a denied claim within a reasonable period of time, not to exceed 60 days (180 days for Disability claims) after receipt by the claimant of written notification of denial of a claim.</w:t>
      </w:r>
    </w:p>
    <w:p>
      <w:pPr>
        <w:spacing w:after="0" w:line="158" w:lineRule="exact"/>
        <w:rPr>
          <w:sz w:val="20"/>
          <w:szCs w:val="20"/>
          <w:color w:val="auto"/>
        </w:rPr>
      </w:pPr>
    </w:p>
    <w:p>
      <w:pPr>
        <w:ind w:right="180" w:firstLine="656"/>
        <w:spacing w:after="0" w:line="261" w:lineRule="auto"/>
        <w:tabs>
          <w:tab w:leader="none" w:pos="10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decision by the Administrator shall be made promptly and shall not ordinarily be made later than 60 days (45 days for Disability claims) after the receipt by the Administrator of a request for review, unless special circumstances (such as the need to hold a hearing) require an extension of time for processing, in which case a decision shall be rendered as soon as possible, but not later than 120 days (90 days for Disability claims)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on which the decision is based. The decision on review shall be furnished to the claimant within the period of time described in this Section 7.4(d). If the decision on review is not furnished within such time, the claim shall be deemed denied on review.</w:t>
      </w:r>
    </w:p>
    <w:p>
      <w:pPr>
        <w:spacing w:after="0" w:line="17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VIII.  AMENDMENT OR TERMINATION</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color w:val="auto"/>
        </w:rPr>
        <w:t>Amendment or Termination of the Plan</w:t>
      </w:r>
    </w:p>
    <w:p>
      <w:pPr>
        <w:spacing w:after="0" w:line="22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The Company reserves the power to amend or terminate the Plan at any time by action of the Committee, which may, but need not be ratified by the Board; provided, that no amendment or termination of the Plan may alter, impair or reduce any benefit of a Participant under the Plan to which such Participant may have previously become entitled prior to the effective date of such amendment or termination, without the written consent of such Participant, no amendment may be made that would contravene the amendment and termination provisions of AMIP II, the Bonus Plan or the Performance Share Plan, if applicable, and no amendment may increase the benefits payable to a Participant who is referred to in Section 162(m) of the Code unless AMIP II, the Bonus Plan or the Performance Share Plan, as the case may be, has first been amended to permit an increase, in accordance with the amendment provisions of AMIP II, the Bonus Plan or the Performance Share Plan, relating to stockholder approval.</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Accounts After Termination</w:t>
      </w:r>
    </w:p>
    <w:p>
      <w:pPr>
        <w:spacing w:after="0" w:line="224"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No further Units (or fractions thereof) shall be credited to any Account of any Participant after the date on which the Plan is terminated, except that (a) Accounts shall continue to be credited with additional Units (and fractions thereof) equal in value to dividends paid on an equivalent value of Common Stock, if any, in accordance with Section 3.3(c) until all benefits are distributed to a Participant or to the Participant’s beneficiaries, and (b) the distribution provisions of the Plan shall continue in effect as if the Plan had not been terminated. Accordingly, upon such termination of the Plan the benefits credited to the Accounts shall be payable in accordance with the elections made by the Participants and the distribution provisions of the Plan. In the event that the Committee and the Board properly terminate the Plan so that the time and form of payment are accelerated as a result of such termination, then the time and form of payment shall be in accordance with Treasury Regulation Section 1.409A-3(j)(4)(ix).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14</w:t>
      </w:r>
    </w:p>
    <w:p>
      <w:pPr>
        <w:sectPr>
          <w:pgSz w:w="11900" w:h="16838" w:orient="portrait"/>
          <w:cols w:equalWidth="0" w:num="1">
            <w:col w:w="11420"/>
          </w:cols>
          <w:pgMar w:left="240" w:top="625" w:right="239" w:bottom="1440" w:gutter="0" w:footer="0" w:header="0"/>
        </w:sectPr>
      </w:pPr>
    </w:p>
    <w:bookmarkStart w:id="87" w:name="page88"/>
    <w:bookmarkEnd w:id="87"/>
    <w:p>
      <w:pPr>
        <w:ind w:left="3940"/>
        <w:spacing w:after="0"/>
        <w:rPr>
          <w:sz w:val="20"/>
          <w:szCs w:val="20"/>
          <w:color w:val="auto"/>
        </w:rPr>
      </w:pPr>
      <w:r>
        <w:rPr>
          <w:rFonts w:ascii="Times New Roman" w:cs="Times New Roman" w:eastAsia="Times New Roman" w:hAnsi="Times New Roman"/>
          <w:sz w:val="22"/>
          <w:szCs w:val="22"/>
          <w:b w:val="1"/>
          <w:bCs w:val="1"/>
          <w:color w:val="auto"/>
        </w:rPr>
        <w:t>IX.  SOURCE OF PAYMENTS; NATURE OF INTEREST</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Trust</w:t>
      </w:r>
    </w:p>
    <w:p>
      <w:pPr>
        <w:spacing w:after="0" w:line="224"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1"/>
          <w:szCs w:val="21"/>
          <w:color w:val="auto"/>
        </w:rPr>
        <w:t>The Company has established a Trust that may be used to pay benefits arising under the Plan and costs, charges and expenses relating thereto. Funds deposited in the Trust shall remain the sole and exclusive property of the Company. To the extent that the funds held in the Trust are insufficient to pay such benefits, costs, charges and expenses, the Company shall pay them.</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No Alienation</w:t>
      </w:r>
    </w:p>
    <w:p>
      <w:pPr>
        <w:spacing w:after="0" w:line="22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Except as the Committee determines is required by law or order of a court of competent jurisdiction, amounts credited to a Participant’s Accounts, and any rights or privileges pertaining thereto, may not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any person or entity, including claims for alimony, support, separate maintenance and claims in bankruptcy proceedings.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Unfunded Plan</w:t>
      </w:r>
    </w:p>
    <w:p>
      <w:pPr>
        <w:spacing w:after="0" w:line="22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The Plan shall at all times be considered entirely unfunded both for tax purposes and for purposes of Title I of ERISA. Funds invested under the Plan, including amounts held in the Trust,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such bankruptcy or insolvency, the Company shall notify the Trustee in writing of such an occurrence promptly following the date Company obtains knowledge of such occurrence. No Participant or any other person shall have any interests in any particular assets of the Company by reason of the right to receive a benefit under the Plan, and to the extent a Participant or any other person acquires a right to receive benefits under the Plan, such right shall be no greater than the right of any general unsecured creditor of the Company. The Plan constitutes a mere promise by the Company to make payments to the Participants in the future.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No Guaranty</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Nothing contained in the Plan shall constitute a guaranty by the Company or any other person or entity that any funds in any trust or the assets of the Company will be sufficient to pay any benefit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15</w:t>
      </w:r>
    </w:p>
    <w:p>
      <w:pPr>
        <w:sectPr>
          <w:pgSz w:w="11900" w:h="16838" w:orient="portrait"/>
          <w:cols w:equalWidth="0" w:num="1">
            <w:col w:w="11420"/>
          </w:cols>
          <w:pgMar w:left="240" w:top="621" w:right="239" w:bottom="1440" w:gutter="0" w:footer="0" w:header="0"/>
        </w:sectPr>
      </w:pPr>
    </w:p>
    <w:bookmarkStart w:id="88" w:name="page89"/>
    <w:bookmarkEnd w:id="88"/>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Transfers to the Trust</w:t>
      </w:r>
    </w:p>
    <w:p>
      <w:pPr>
        <w:spacing w:after="0" w:line="22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color w:val="auto"/>
        </w:rPr>
        <w:t>On the occurrence of a Change of Control, the Company shall transfer cash or property to the account or accounts maintained in the name of each affected Participant or Participants for the Plan under the Trust in an amount equal to the present value of all accumulated or accrued benefits then payable to or on behalf of such Participant or Participants under the Plan, plus any applicable fees. The Company may also transfer cash or property to the accounts maintained for any Participant under the Trust in an amount equal to the present value of all accumulated or accrued benefits then payable under the Plan at any time in the sole discretion of the Company. Thereafter, the Company may, and after a Change of Control it shall, for each Plan Year, transfer cash or property no later than 30 days after the end of the Plan Year in which the initial transfer occurs, and thereafter on each anniversary thereof, to such account or accounts maintained for the affected Participant or Participants under the Trust an amount equal to the additional benefit accrued under the terms of the Plan during and in relation to the most recent Plan Year then ended.</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Unsecured General Creditor</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Participants and their Beneficiaries, heirs, successors and assigns shall have no legal or equitable rights, interests or claims in any property or assets of the Company or of the Trust. For purposes of the payment of benefits under the Plan, any and all of the Company’s assets including any assets of the Trust shall be, and remain until paid, the general, unpledged, unrestricted assets of the Company. The Company’s obligation under the Plan shall consist solely of an unfunded and unsecured promise to pay money in the future.</w:t>
      </w:r>
    </w:p>
    <w:p>
      <w:pPr>
        <w:spacing w:after="0" w:line="17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X.  GENERAL PROVISIONS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No Right of Employment</w:t>
      </w:r>
    </w:p>
    <w:p>
      <w:pPr>
        <w:spacing w:after="0" w:line="22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No Participant shall have any right to a benefit under the Plan except in accordance with the terms of the Plan. Establishment and continuance of the Plan shall not be construed to give any Participant the right to be retained in the service of the Company or any Subsidiary.</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Incompetency</w:t>
      </w:r>
    </w:p>
    <w:p>
      <w:pPr>
        <w:spacing w:after="0" w:line="224"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If any person who may be eligible to receive a benefit payment under the Plan has been declared incompetent and a conservator or other person legally charged with the care of such person or of the estate of such person has been appointed, any benefit payable under the Plan that the person is eligible to receive shall be paid to such conservator or other person legally charged with the care of the person or such person’s estate. Except as provided above, when the Administrator has determined that such a person is unable to manage such person’s affairs, the Administrator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16</w:t>
      </w:r>
    </w:p>
    <w:p>
      <w:pPr>
        <w:sectPr>
          <w:pgSz w:w="11900" w:h="16838" w:orient="portrait"/>
          <w:cols w:equalWidth="0" w:num="1">
            <w:col w:w="11420"/>
          </w:cols>
          <w:pgMar w:left="240" w:top="621" w:right="239" w:bottom="1440" w:gutter="0" w:footer="0" w:header="0"/>
        </w:sectPr>
      </w:pPr>
    </w:p>
    <w:bookmarkStart w:id="89" w:name="page90"/>
    <w:bookmarkEnd w:id="89"/>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Corporate Changes</w:t>
      </w:r>
    </w:p>
    <w:p>
      <w:pPr>
        <w:spacing w:after="0" w:line="22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The Plan shall not be automatically terminated by a transfer or sale of assets of the Company or by the merger or consolidation of the Company into or with any other corporation or other entity, but the Plan shall continue after such sale, merger or consolidation only if and to the extent that the transferee, purchaser or successor entity agrees to continue the Plan. In the event the Plan is not continued by the transferee, purchaser or successor entity, then the Plan shall terminate subject to the provisions of Article VIII.</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Addresses</w:t>
      </w:r>
    </w:p>
    <w:p>
      <w:pPr>
        <w:spacing w:after="0" w:line="224" w:lineRule="exact"/>
        <w:rPr>
          <w:sz w:val="20"/>
          <w:szCs w:val="20"/>
          <w:color w:val="auto"/>
        </w:rPr>
      </w:pPr>
    </w:p>
    <w:p>
      <w:pPr>
        <w:ind w:right="580" w:firstLine="648"/>
        <w:spacing w:after="0" w:line="271" w:lineRule="auto"/>
        <w:rPr>
          <w:sz w:val="20"/>
          <w:szCs w:val="20"/>
          <w:color w:val="auto"/>
        </w:rPr>
      </w:pPr>
      <w:r>
        <w:rPr>
          <w:rFonts w:ascii="Times New Roman" w:cs="Times New Roman" w:eastAsia="Times New Roman" w:hAnsi="Times New Roman"/>
          <w:sz w:val="22"/>
          <w:szCs w:val="22"/>
          <w:color w:val="auto"/>
        </w:rPr>
        <w:t>Each Participant shall keep the Company informed of the Participant’s current address and the current address of the Participant’s Beneficiary. The Company shall not be obligated to search for any person.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Limitations on Liability</w:t>
      </w:r>
    </w:p>
    <w:p>
      <w:pPr>
        <w:spacing w:after="0" w:line="224"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22"/>
          <w:szCs w:val="22"/>
          <w:color w:val="auto"/>
        </w:rPr>
        <w:t>Notwithstanding any of the provisions of the Plan to the contrary, neither the Company nor any individual acting as an employee or agent of the Company shall be liable to any Participant, any former Participant, or any other person for any claim, loss, liability or expense incurred in connection with the Plan, unless attributable to fraud or willful misconduct on the part of the Company or any such employee or agent of the Company.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Inspection</w:t>
      </w:r>
    </w:p>
    <w:p>
      <w:pPr>
        <w:spacing w:after="0" w:line="224"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Each Participant shall receive a copy of the Plan and the Company will make available for inspection by any Participant or designated Beneficiary a copy of any rules and regulations that are used by the Company in administering the Plan.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color w:val="auto"/>
        </w:rPr>
        <w:t>Withholding</w:t>
      </w:r>
    </w:p>
    <w:p>
      <w:pPr>
        <w:spacing w:after="0" w:line="22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Any amounts payable pursuant to the Plan may be reduced by the amount of any federal, state or local taxes that the Company reasonably determines is required by law to be withheld with respect to such payments. In addition, any amount payable pursuant to the Plan may be reduced by any amount owed by the Participant to the Company or any Subsidiary if, and only to the extent, permitted under Code Section 409A.</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10.8</w:t>
      </w:r>
      <w:r>
        <w:rPr>
          <w:sz w:val="20"/>
          <w:szCs w:val="20"/>
          <w:color w:val="auto"/>
        </w:rPr>
        <w:tab/>
      </w:r>
      <w:r>
        <w:rPr>
          <w:rFonts w:ascii="Times New Roman" w:cs="Times New Roman" w:eastAsia="Times New Roman" w:hAnsi="Times New Roman"/>
          <w:sz w:val="21"/>
          <w:szCs w:val="21"/>
          <w:b w:val="1"/>
          <w:bCs w:val="1"/>
          <w:color w:val="auto"/>
        </w:rPr>
        <w:t>Voting of Stock</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Participants shall not be entitled to voting rights with respect to Units held in their Accounts.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10.9</w:t>
      </w:r>
      <w:r>
        <w:rPr>
          <w:sz w:val="20"/>
          <w:szCs w:val="20"/>
          <w:color w:val="auto"/>
        </w:rPr>
        <w:tab/>
      </w:r>
      <w:r>
        <w:rPr>
          <w:rFonts w:ascii="Times New Roman" w:cs="Times New Roman" w:eastAsia="Times New Roman" w:hAnsi="Times New Roman"/>
          <w:sz w:val="21"/>
          <w:szCs w:val="21"/>
          <w:b w:val="1"/>
          <w:bCs w:val="1"/>
          <w:color w:val="auto"/>
        </w:rPr>
        <w:t>Singular and Plural</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when otherwise required by the context, any singular terminology shall include the plural.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17</w:t>
      </w:r>
    </w:p>
    <w:p>
      <w:pPr>
        <w:sectPr>
          <w:pgSz w:w="11900" w:h="16838" w:orient="portrait"/>
          <w:cols w:equalWidth="0" w:num="1">
            <w:col w:w="11300"/>
          </w:cols>
          <w:pgMar w:left="240" w:top="6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b w:val="1"/>
          <w:bCs w:val="1"/>
          <w:color w:val="auto"/>
        </w:rPr>
        <w:t>10.10  Severability</w:t>
      </w:r>
    </w:p>
    <w:p>
      <w:pPr>
        <w:spacing w:after="0" w:line="224"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10.11  Discharge of Obligations</w:t>
      </w:r>
    </w:p>
    <w:p>
      <w:pPr>
        <w:spacing w:after="0" w:line="224"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The payment of benefits under the Plan to a Participant or any Beneficiary shall fully and completely discharge the Company, the Administrator and the Committee from all further obligations under the Plan with respect to the Participant and any Beneficiary.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10.12  Governing Law</w:t>
      </w:r>
    </w:p>
    <w:p>
      <w:pPr>
        <w:spacing w:after="0" w:line="224"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1"/>
          <w:szCs w:val="21"/>
          <w:color w:val="auto"/>
        </w:rPr>
        <w:t>To the extent that it is not governed by United States federal law, the Plan shall be construed, administered and governed in all respects under and by the applicable laws of the State of Delaware, excluding any conflicts of law rule or principle that might otherwise refer construction or interpretation of the Plan or a deferral election to the substantive law of another jurisdiction.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10.13  Successors</w:t>
      </w:r>
    </w:p>
    <w:p>
      <w:pPr>
        <w:spacing w:after="0" w:line="224" w:lineRule="exact"/>
        <w:rPr>
          <w:sz w:val="20"/>
          <w:szCs w:val="20"/>
          <w:color w:val="auto"/>
        </w:rPr>
      </w:pPr>
    </w:p>
    <w:p>
      <w:pPr>
        <w:ind w:right="740" w:firstLine="648"/>
        <w:spacing w:after="0" w:line="271" w:lineRule="auto"/>
        <w:rPr>
          <w:sz w:val="20"/>
          <w:szCs w:val="20"/>
          <w:color w:val="auto"/>
        </w:rPr>
      </w:pPr>
      <w:r>
        <w:rPr>
          <w:rFonts w:ascii="Times New Roman" w:cs="Times New Roman" w:eastAsia="Times New Roman" w:hAnsi="Times New Roman"/>
          <w:sz w:val="22"/>
          <w:szCs w:val="22"/>
          <w:color w:val="auto"/>
        </w:rPr>
        <w:t>The provisions of the Plan shall bind and inure to the benefit of the Company and its successors and assigns and the Participant and the Participant’s designated Beneficiaries.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10.14  No Assurance of Tax Consequences</w:t>
      </w:r>
    </w:p>
    <w:p>
      <w:pPr>
        <w:spacing w:after="0" w:line="22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Neither the Company nor the Board nor any other person guarantees or assures a Participant or Beneficiary of any particular federal or state income tax, payroll tax or other tax consequence of participation in the Plan. A Participant should consult with professional tax advisors regarding all questions related to the tax consequences of participation.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10.15  Code Section 409A</w:t>
      </w:r>
    </w:p>
    <w:p>
      <w:pPr>
        <w:spacing w:after="0" w:line="224"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The Plan document is intended to comply with the requirements of Code Section 409A (including accompanying regulations and current IRS guidance) and conform to the current operation of the Plan. The terms of the Plan shall be interpreted, operated and administered in a manner consistent with this intention to the extent the Committee deems necessary to comply with Code Section 409A and any official guidance issued thereunder.</w:t>
      </w:r>
    </w:p>
    <w:p>
      <w:pPr>
        <w:spacing w:after="0" w:line="1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-13970</wp:posOffset>
            </wp:positionV>
            <wp:extent cx="1165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-13970</wp:posOffset>
            </wp:positionV>
            <wp:extent cx="86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4870" cy="8890"/>
                    </a:xfrm>
                    <a:prstGeom prst="rect">
                      <a:avLst/>
                    </a:prstGeom>
                    <a:noFill/>
                  </pic:spPr>
                </pic:pic>
              </a:graphicData>
            </a:graphic>
          </wp:anchor>
        </w:drawing>
      </w:r>
    </w:p>
    <w:p>
      <w:pPr>
        <w:spacing w:after="0" w:line="2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Title: 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-13970</wp:posOffset>
            </wp:positionV>
            <wp:extent cx="20034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034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18</w:t>
      </w:r>
    </w:p>
    <w:p>
      <w:pPr>
        <w:sectPr>
          <w:pgSz w:w="11900" w:h="16838" w:orient="portrait"/>
          <w:cols w:equalWidth="0" w:num="1">
            <w:col w:w="11400"/>
          </w:cols>
          <w:pgMar w:left="240" w:top="621" w:right="25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2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DEFERRED COMPENSATION PLAN</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FOR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Amended and Restated Effective January 1, 2017</w:t>
      </w:r>
    </w:p>
    <w:p>
      <w:pPr>
        <w:sectPr>
          <w:pgSz w:w="11900" w:h="16838" w:orient="portrait"/>
          <w:cols w:equalWidth="0" w:num="1">
            <w:col w:w="10220"/>
          </w:cols>
          <w:pgMar w:left="1440" w:top="12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87"/>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60" w:type="dxa"/>
            <w:vAlign w:val="bottom"/>
          </w:tcPr>
          <w:p>
            <w:pPr>
              <w:ind w:left="33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40" w:type="dxa"/>
            <w:vAlign w:val="bottom"/>
          </w:tcPr>
          <w:p>
            <w:pPr>
              <w:spacing w:after="0"/>
              <w:rPr>
                <w:sz w:val="24"/>
                <w:szCs w:val="24"/>
                <w:color w:val="auto"/>
              </w:rPr>
            </w:pPr>
          </w:p>
        </w:tc>
      </w:tr>
      <w:tr>
        <w:trPr>
          <w:trHeight w:val="297"/>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240" w:type="dxa"/>
            <w:vAlign w:val="bottom"/>
          </w:tcPr>
          <w:p>
            <w:pPr>
              <w:ind w:left="180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297"/>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1</w:t>
            </w:r>
          </w:p>
        </w:tc>
      </w:tr>
      <w:tr>
        <w:trPr>
          <w:trHeight w:val="297"/>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ELIGIBILITY; PARTICIPATION; DEFERRAL</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5</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2.1</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Eligibility</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5</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2.2</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Participation</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5</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2.3</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Deferral Election</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5</w:t>
            </w:r>
          </w:p>
        </w:tc>
      </w:tr>
      <w:tr>
        <w:trPr>
          <w:trHeight w:val="297"/>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CREDITING AND VESTING</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5</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3.1</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Amounts to Be Credited to Accounts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5</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3.2</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Vesting</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6</w:t>
            </w:r>
          </w:p>
        </w:tc>
      </w:tr>
      <w:tr>
        <w:trPr>
          <w:trHeight w:val="297"/>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DISTRIBUTIONS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4.1</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Distributable Events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4.2</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Method of Payment</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7</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4.3</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Death Prior to Completion of Payment</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8</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4.4</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Distribution Prior to Retirement</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8</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4.5</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Unforeseeable Emergencies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8</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4.6</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Commencement of Distributions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9</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4.7</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Acceleration or Delay of Distributions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9</w:t>
            </w:r>
          </w:p>
        </w:tc>
      </w:tr>
      <w:tr>
        <w:trPr>
          <w:trHeight w:val="297"/>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BENEFICIARY DESIGNATION</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9</w:t>
            </w:r>
          </w:p>
        </w:tc>
      </w:tr>
      <w:tr>
        <w:trPr>
          <w:trHeight w:val="297"/>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VI.</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ADMINISTRATION OF THE PLAN</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9</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6.1</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Committee Duties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0"/>
              </w:rPr>
              <w:t>9</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6.2</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Administrative Committee; Agents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6.3</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Binding Effect of Decisions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6.4</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Indemnity of Committee and Administrative Committee</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6.5</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Claims Procedures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10</w:t>
            </w:r>
          </w:p>
        </w:tc>
      </w:tr>
      <w:tr>
        <w:trPr>
          <w:trHeight w:val="297"/>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VII.</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AMENDMENT OR TERMINATION</w:t>
            </w:r>
          </w:p>
        </w:tc>
        <w:tc>
          <w:tcPr>
            <w:tcW w:w="224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Amendment</w:t>
            </w:r>
          </w:p>
        </w:tc>
        <w:tc>
          <w:tcPr>
            <w:tcW w:w="224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7.2</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Termination</w:t>
            </w:r>
          </w:p>
        </w:tc>
        <w:tc>
          <w:tcPr>
            <w:tcW w:w="224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VIII.</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SOURCE OF PAYMENTS; NATURE OF INTEREST</w:t>
            </w:r>
          </w:p>
        </w:tc>
        <w:tc>
          <w:tcPr>
            <w:tcW w:w="224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8.1</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Trust</w:t>
            </w:r>
          </w:p>
        </w:tc>
        <w:tc>
          <w:tcPr>
            <w:tcW w:w="224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8.2</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 Alienation</w:t>
            </w:r>
          </w:p>
        </w:tc>
        <w:tc>
          <w:tcPr>
            <w:tcW w:w="224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8.3</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Unfunded Plan</w:t>
            </w:r>
          </w:p>
        </w:tc>
        <w:tc>
          <w:tcPr>
            <w:tcW w:w="224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11</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8.4</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 Guaranty</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12</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8.5</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Transfers to the Trust</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12</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8.6</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Voting of Stock</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12</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8.7</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Unsecured General Creditor</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12</w:t>
            </w:r>
          </w:p>
        </w:tc>
      </w:tr>
      <w:tr>
        <w:trPr>
          <w:trHeight w:val="297"/>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IX.</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GENERAL PROVISIONS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13</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 Right to Remain in Service</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13</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9.2</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Incompetency</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13</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9.3</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Corporate Changes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13</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9.4</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Addresses</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13</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9.5</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Limitations on Liability</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13</w:t>
            </w:r>
          </w:p>
        </w:tc>
      </w:tr>
      <w:tr>
        <w:trPr>
          <w:trHeight w:val="297"/>
        </w:trPr>
        <w:tc>
          <w:tcPr>
            <w:tcW w:w="5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9.6</w:t>
            </w:r>
          </w:p>
        </w:tc>
        <w:tc>
          <w:tcPr>
            <w:tcW w:w="7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Inspection</w:t>
            </w:r>
          </w:p>
        </w:tc>
        <w:tc>
          <w:tcPr>
            <w:tcW w:w="2240" w:type="dxa"/>
            <w:vAlign w:val="bottom"/>
          </w:tcPr>
          <w:p>
            <w:pPr>
              <w:jc w:val="center"/>
              <w:ind w:left="1712"/>
              <w:spacing w:after="0"/>
              <w:rPr>
                <w:sz w:val="20"/>
                <w:szCs w:val="20"/>
                <w:color w:val="auto"/>
              </w:rPr>
            </w:pPr>
            <w:r>
              <w:rPr>
                <w:rFonts w:ascii="Times New Roman" w:cs="Times New Roman" w:eastAsia="Times New Roman" w:hAnsi="Times New Roman"/>
                <w:sz w:val="22"/>
                <w:szCs w:val="22"/>
                <w:color w:val="auto"/>
                <w:w w:val="99"/>
              </w:rPr>
              <w:t>14</w:t>
            </w:r>
          </w:p>
        </w:tc>
      </w:tr>
    </w:tbl>
    <w:p>
      <w:pPr>
        <w:spacing w:after="0" w:line="200" w:lineRule="exact"/>
        <w:rPr>
          <w:sz w:val="20"/>
          <w:szCs w:val="20"/>
          <w:color w:val="auto"/>
        </w:rPr>
      </w:pPr>
    </w:p>
    <w:p>
      <w:pPr>
        <w:sectPr>
          <w:pgSz w:w="11900" w:h="16838" w:orient="portrait"/>
          <w:cols w:equalWidth="0" w:num="1">
            <w:col w:w="10860"/>
          </w:cols>
          <w:pgMar w:left="280" w:top="1283" w:right="759" w:bottom="1440" w:gutter="0" w:footer="0" w:header="0"/>
        </w:sectPr>
      </w:pPr>
    </w:p>
    <w:p>
      <w:pPr>
        <w:spacing w:after="0" w:line="40"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2"/>
          <w:szCs w:val="12"/>
          <w:color w:val="auto"/>
        </w:rPr>
        <w:t>PAGE i</w:t>
      </w:r>
    </w:p>
    <w:p>
      <w:pPr>
        <w:sectPr>
          <w:pgSz w:w="11900" w:h="16838" w:orient="portrait"/>
          <w:cols w:equalWidth="0" w:num="1">
            <w:col w:w="10860"/>
          </w:cols>
          <w:pgMar w:left="280" w:top="1283" w:right="75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9.7</w:t>
            </w:r>
          </w:p>
        </w:tc>
        <w:tc>
          <w:tcPr>
            <w:tcW w:w="6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Singular and Plural</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9.8</w:t>
            </w:r>
          </w:p>
        </w:tc>
        <w:tc>
          <w:tcPr>
            <w:tcW w:w="6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9.9</w:t>
            </w:r>
          </w:p>
        </w:tc>
        <w:tc>
          <w:tcPr>
            <w:tcW w:w="6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Discharge of Obligations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9.10</w:t>
            </w:r>
          </w:p>
        </w:tc>
        <w:tc>
          <w:tcPr>
            <w:tcW w:w="6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Governing Law</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9.11</w:t>
            </w:r>
          </w:p>
        </w:tc>
        <w:tc>
          <w:tcPr>
            <w:tcW w:w="6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Successors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9.12</w:t>
            </w:r>
          </w:p>
        </w:tc>
        <w:tc>
          <w:tcPr>
            <w:tcW w:w="6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 Assurance of Tax Consequences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9.13</w:t>
            </w:r>
          </w:p>
        </w:tc>
        <w:tc>
          <w:tcPr>
            <w:tcW w:w="6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Code Section 409A</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pacing w:after="0" w:line="200" w:lineRule="exact"/>
        <w:rPr>
          <w:sz w:val="20"/>
          <w:szCs w:val="20"/>
          <w:color w:val="auto"/>
        </w:rPr>
      </w:pPr>
    </w:p>
    <w:p>
      <w:pPr>
        <w:spacing w:after="0" w:line="29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3"/>
          <w:szCs w:val="13"/>
          <w:color w:val="auto"/>
        </w:rPr>
        <w:t>PAGE ii</w:t>
      </w:r>
    </w:p>
    <w:p>
      <w:pPr>
        <w:sectPr>
          <w:pgSz w:w="11900" w:h="16838" w:orient="portrait"/>
          <w:cols w:equalWidth="0" w:num="1">
            <w:col w:w="10080"/>
          </w:cols>
          <w:pgMar w:left="960" w:top="1287" w:right="859" w:bottom="1440" w:gutter="0" w:footer="0" w:header="0"/>
        </w:sectPr>
      </w:pPr>
    </w:p>
    <w:bookmarkStart w:id="94" w:name="page95"/>
    <w:bookmarkEnd w:id="9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DEFERRED COMPENSATION PLAN</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Amended and Restated Effective January 1, 2017</w:t>
      </w:r>
    </w:p>
    <w:p>
      <w:pPr>
        <w:spacing w:after="0" w:line="224"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The Toro Company hereby amends and restates its Deferred Compensation Plan for Non-Employee Directors. This amendment and restatement is effective for all amounts deferred on or after January 1, 2005. All grandfathered amounts earned and vested as of December 31, 2004 shall continue to be governed by the 2004 Plan in accordance with then applicable IRS guidance. All amounts earned or vested from January 1, 2005 through December 31, 2008 shall be governed by the terms of the Plan document, as modified by the operations of the Plan during such period in accordance with Code Section 409A and then applicable IRS guidance (including transition relief).</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The growth and success of the Company depends on its ability to attract and retain the services of Directors of the highest competence, initiative, integrity and ability. The purpose of the Plan is to advance the interests of the Company and its stockholders through a deferred compensation program designed to attract, motivate and retain Directors. The Plan shall be unfunded for tax purposes.</w:t>
      </w:r>
    </w:p>
    <w:p>
      <w:pPr>
        <w:spacing w:after="0" w:line="176" w:lineRule="exact"/>
        <w:rPr>
          <w:sz w:val="20"/>
          <w:szCs w:val="20"/>
          <w:color w:val="auto"/>
        </w:rPr>
      </w:pPr>
    </w:p>
    <w:p>
      <w:pPr>
        <w:ind w:left="5800"/>
        <w:spacing w:after="0"/>
        <w:tabs>
          <w:tab w:leader="none" w:pos="612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24"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For purposes of the Plan, the following words and phrases have the meanings indicated, unless a different meaning is clearly indicated by the context:</w:t>
      </w:r>
    </w:p>
    <w:p>
      <w:pPr>
        <w:spacing w:after="0" w:line="158"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2004 Plan</w:t>
      </w:r>
      <w:r>
        <w:rPr>
          <w:rFonts w:ascii="Times New Roman" w:cs="Times New Roman" w:eastAsia="Times New Roman" w:hAnsi="Times New Roman"/>
          <w:sz w:val="22"/>
          <w:szCs w:val="22"/>
          <w:color w:val="auto"/>
        </w:rPr>
        <w:t>” means the terms of The Toro Company Deferred Compensation Plan for Non-Employee Directors in place as of December 31, 2004.</w:t>
      </w:r>
    </w:p>
    <w:p>
      <w:pPr>
        <w:spacing w:after="0" w:line="158"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a book entry account established and maintained in the Company’s records in the name of a Participant pursuant to Articles II and III, and includes a Cash Account and a Common Stock Units Account.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Committee</w:t>
      </w:r>
      <w:r>
        <w:rPr>
          <w:rFonts w:ascii="Times New Roman" w:cs="Times New Roman" w:eastAsia="Times New Roman" w:hAnsi="Times New Roman"/>
          <w:sz w:val="22"/>
          <w:szCs w:val="22"/>
          <w:color w:val="auto"/>
        </w:rPr>
        <w:t>” means the committee described in Section 6.2.</w:t>
      </w:r>
    </w:p>
    <w:p>
      <w:pPr>
        <w:spacing w:after="0" w:line="220"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all persons with whom the Company would be considered a single employer under Code section 414(b) or 414(c).</w:t>
      </w:r>
    </w:p>
    <w:p>
      <w:pPr>
        <w:spacing w:after="0" w:line="158"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one or more individuals, trusts, estates or other entities, designated in accordance with, or otherwise determined under, Article V to receive benefits under the Plan upon the death of a Participant.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Account</w:t>
      </w:r>
      <w:r>
        <w:rPr>
          <w:rFonts w:ascii="Times New Roman" w:cs="Times New Roman" w:eastAsia="Times New Roman" w:hAnsi="Times New Roman"/>
          <w:sz w:val="22"/>
          <w:szCs w:val="22"/>
          <w:color w:val="auto"/>
        </w:rPr>
        <w:t>” means an Account with entries denominated in dollars, credited in accordance with Section 3.1(a).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w:t>
      </w:r>
    </w:p>
    <w:p>
      <w:pPr>
        <w:sectPr>
          <w:pgSz w:w="11900" w:h="16838" w:orient="portrait"/>
          <w:cols w:equalWidth="0" w:num="1">
            <w:col w:w="11380"/>
          </w:cols>
          <w:pgMar w:left="240" w:top="621" w:right="279" w:bottom="1440" w:gutter="0" w:footer="0" w:header="0"/>
        </w:sectPr>
      </w:pPr>
    </w:p>
    <w:bookmarkStart w:id="95" w:name="page96"/>
    <w:bookmarkEnd w:id="95"/>
    <w:p>
      <w:pPr>
        <w:ind w:right="7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Election</w:t>
      </w:r>
      <w:r>
        <w:rPr>
          <w:rFonts w:ascii="Times New Roman" w:cs="Times New Roman" w:eastAsia="Times New Roman" w:hAnsi="Times New Roman"/>
          <w:sz w:val="22"/>
          <w:szCs w:val="22"/>
          <w:color w:val="auto"/>
        </w:rPr>
        <w:t>” means a Participant’s election under Section 4.2(b) to change the method of payment of amounts payable under the Plan, made in a manner prescribed by the Committee.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40" w:firstLine="656"/>
        <w:spacing w:after="0" w:line="262" w:lineRule="auto"/>
        <w:tabs>
          <w:tab w:leader="none" w:pos="110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Exchange Act) (a “Person”) of beneficial ownership (within the meaning of Rule 13d-3 under the Exchange Act) of fifteen percent (15%) or more of either (i) the then-outstanding shares of Common Stock of the Company (the “Outstanding Company Common Stock”) or</w:t>
      </w:r>
    </w:p>
    <w:p>
      <w:pPr>
        <w:spacing w:after="0" w:line="2" w:lineRule="exact"/>
        <w:rPr>
          <w:rFonts w:ascii="Times New Roman" w:cs="Times New Roman" w:eastAsia="Times New Roman" w:hAnsi="Times New Roman"/>
          <w:sz w:val="21"/>
          <w:szCs w:val="21"/>
          <w:color w:val="auto"/>
        </w:rPr>
      </w:pPr>
    </w:p>
    <w:p>
      <w:pPr>
        <w:ind w:firstLine="8"/>
        <w:spacing w:after="0" w:line="244" w:lineRule="auto"/>
        <w:tabs>
          <w:tab w:leader="none" w:pos="31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(w) any acquisition directly from the Company, (x) any acquisition by the Company, (y) any acquisition by any employee benefit plan (or related trust) sponsored or maintained by the Company or any corporation controlled by the Company, or (z) any acquisition by any corporation pursuant to a transaction that complies with clauses (i), (ii) and (iii) of subsection (c) of this definition; or</w:t>
      </w:r>
    </w:p>
    <w:p>
      <w:pPr>
        <w:spacing w:after="0" w:line="188" w:lineRule="exact"/>
        <w:rPr>
          <w:rFonts w:ascii="Times New Roman" w:cs="Times New Roman" w:eastAsia="Times New Roman" w:hAnsi="Times New Roman"/>
          <w:sz w:val="22"/>
          <w:szCs w:val="22"/>
          <w:color w:val="auto"/>
        </w:rPr>
      </w:pPr>
    </w:p>
    <w:p>
      <w:pPr>
        <w:ind w:right="20" w:firstLine="656"/>
        <w:spacing w:after="0" w:line="248" w:lineRule="auto"/>
        <w:tabs>
          <w:tab w:leader="none" w:pos="111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2" w:lineRule="exact"/>
        <w:rPr>
          <w:rFonts w:ascii="Times New Roman" w:cs="Times New Roman" w:eastAsia="Times New Roman" w:hAnsi="Times New Roman"/>
          <w:sz w:val="22"/>
          <w:szCs w:val="22"/>
          <w:color w:val="auto"/>
        </w:rPr>
      </w:pPr>
    </w:p>
    <w:p>
      <w:pPr>
        <w:ind w:right="20" w:firstLine="656"/>
        <w:spacing w:after="0" w:line="245" w:lineRule="auto"/>
        <w:tabs>
          <w:tab w:leader="none" w:pos="110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fifteen percent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spacing w:after="0" w:line="2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2</w:t>
      </w:r>
    </w:p>
    <w:p>
      <w:pPr>
        <w:sectPr>
          <w:pgSz w:w="11900" w:h="16838" w:orient="portrait"/>
          <w:cols w:equalWidth="0" w:num="1">
            <w:col w:w="11420"/>
          </w:cols>
          <w:pgMar w:left="240" w:top="625" w:right="239" w:bottom="1440" w:gutter="0" w:footer="0" w:header="0"/>
        </w:sectPr>
      </w:pPr>
    </w:p>
    <w:bookmarkStart w:id="96" w:name="page97"/>
    <w:bookmarkEnd w:id="96"/>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Approval by the stockholders of the Company of a complete liquidation or dissolution of the Company.</w:t>
      </w:r>
    </w:p>
    <w:p>
      <w:pPr>
        <w:spacing w:after="0" w:line="220"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and in effect from time to time, including, when the context requires, all regulations, interpretations and rulings issued thereunder.</w:t>
      </w:r>
    </w:p>
    <w:p>
      <w:pPr>
        <w:spacing w:after="0" w:line="158" w:lineRule="exact"/>
        <w:rPr>
          <w:sz w:val="20"/>
          <w:szCs w:val="20"/>
          <w:color w:val="auto"/>
        </w:rPr>
      </w:pPr>
    </w:p>
    <w:p>
      <w:pPr>
        <w:ind w:right="7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committee described in Article VI, and if an Administrative Committee has been appointed pursuant to Section 6.2, shall include such Administrative Committee.</w:t>
      </w:r>
    </w:p>
    <w:p>
      <w:pPr>
        <w:spacing w:after="0" w:line="158"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Company’s Common Stock, par value $1.00 per share, and related preferred share purchase rights, as such shares may be adjusted in accordance with Section 3.1(c).</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 Units Account</w:t>
      </w:r>
      <w:r>
        <w:rPr>
          <w:rFonts w:ascii="Times New Roman" w:cs="Times New Roman" w:eastAsia="Times New Roman" w:hAnsi="Times New Roman"/>
          <w:sz w:val="22"/>
          <w:szCs w:val="22"/>
          <w:color w:val="auto"/>
        </w:rPr>
        <w:t>” means an Account with entries denominated in Units (including fractions) that are credited in accordance with Section 3.1(b).</w:t>
      </w:r>
    </w:p>
    <w:p>
      <w:pPr>
        <w:spacing w:after="0" w:line="158" w:lineRule="exact"/>
        <w:rPr>
          <w:sz w:val="20"/>
          <w:szCs w:val="20"/>
          <w:color w:val="auto"/>
        </w:rPr>
      </w:pPr>
    </w:p>
    <w:p>
      <w:pPr>
        <w:ind w:right="9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Toro Company, a Delaware corporation, and any successor to all or substantially all of the Company’s assets or business.</w:t>
      </w:r>
    </w:p>
    <w:p>
      <w:pPr>
        <w:spacing w:after="0" w:line="158"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Deferral Election</w:t>
      </w:r>
      <w:r>
        <w:rPr>
          <w:rFonts w:ascii="Times New Roman" w:cs="Times New Roman" w:eastAsia="Times New Roman" w:hAnsi="Times New Roman"/>
          <w:sz w:val="22"/>
          <w:szCs w:val="22"/>
          <w:color w:val="auto"/>
        </w:rPr>
        <w:t>” means a Participant’s deferral election under Section 2.3 and related distribution election under Section 4.1 for each Plan Year, made in a manner and form prescribed by the Committee.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any member of the Board who is not an employee of the Company, or of any Affiliate of the Company.</w:t>
      </w:r>
    </w:p>
    <w:p>
      <w:pPr>
        <w:spacing w:after="0" w:line="220"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Director’s Fees</w:t>
      </w:r>
      <w:r>
        <w:rPr>
          <w:rFonts w:ascii="Times New Roman" w:cs="Times New Roman" w:eastAsia="Times New Roman" w:hAnsi="Times New Roman"/>
          <w:sz w:val="22"/>
          <w:szCs w:val="22"/>
          <w:color w:val="auto"/>
        </w:rPr>
        <w:t>” means amounts payable to a Director as cash compensation (but not as reimbursement of expenses) or as stock grants or awards for serving on the Board, including retainer fees and meeting fees, if 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has meaning described in Section 4.2(c).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means the closing price of one share of Common Stock as reported by the New York Stock Exchange.</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Internal Revenue Service.</w:t>
      </w:r>
    </w:p>
    <w:p>
      <w:pPr>
        <w:spacing w:after="0" w:line="22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 Director who elects to participate in the Plan in accordance with Article II. An individual’s status as a Participant shall continue for as long as the individual has a balance credited to an Account under the Plan, even if the Participant is no longer a Director. A Beneficiary, a spouse or former spouse, or an executor or personal administrator of a Participant’s estate shall not be treated as a Participant even if such individual or the Participant’s estate has an interest in the Participant’s benefits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3</w:t>
      </w:r>
    </w:p>
    <w:p>
      <w:pPr>
        <w:sectPr>
          <w:pgSz w:w="11900" w:h="16838" w:orient="portrait"/>
          <w:cols w:equalWidth="0" w:num="1">
            <w:col w:w="11420"/>
          </w:cols>
          <w:pgMar w:left="240" w:top="625" w:right="239" w:bottom="1440" w:gutter="0" w:footer="0" w:header="0"/>
        </w:sectPr>
      </w:pPr>
    </w:p>
    <w:bookmarkStart w:id="97" w:name="page98"/>
    <w:bookmarkEnd w:id="97"/>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Deferred Compensation Plan for Non-Employee Directors, as set forth in this document and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the calendar year.</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Retire(s)</w:t>
      </w:r>
      <w:r>
        <w:rPr>
          <w:rFonts w:ascii="Times New Roman" w:cs="Times New Roman" w:eastAsia="Times New Roman" w:hAnsi="Times New Roman"/>
          <w:sz w:val="22"/>
          <w:szCs w:val="22"/>
          <w:color w:val="auto"/>
        </w:rPr>
        <w:t>” means a Director’s “separation from service” from the Company and all Affiliates for any reason, including death. The determination of whether the Director has had a “separation from service” shall be made in accordance with Code Section 409A.</w:t>
      </w:r>
    </w:p>
    <w:p>
      <w:pPr>
        <w:spacing w:after="0" w:line="17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Stable Return Fund Measure</w:t>
      </w:r>
      <w:r>
        <w:rPr>
          <w:rFonts w:ascii="Times New Roman" w:cs="Times New Roman" w:eastAsia="Times New Roman" w:hAnsi="Times New Roman"/>
          <w:sz w:val="22"/>
          <w:szCs w:val="22"/>
          <w:color w:val="auto"/>
        </w:rPr>
        <w:t>” means the earnings rate paid or credited from time to time on assets held in the Stable Return Fund, or such other fund established to replace the Stable Return Fund, under The Toro Company Investment, Savings and Employee Stock Ownership Plan, or its successor plan.</w:t>
      </w:r>
    </w:p>
    <w:p>
      <w:pPr>
        <w:spacing w:after="0" w:line="173" w:lineRule="exact"/>
        <w:rPr>
          <w:sz w:val="20"/>
          <w:szCs w:val="20"/>
          <w:color w:val="auto"/>
        </w:rPr>
      </w:pPr>
    </w:p>
    <w:p>
      <w:pPr>
        <w:ind w:right="7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means a trust established or maintained by the Company to be used in connection with the Plan to assist the Company in meeting its obligations under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means the financial institution or individual acting at the time as trustee of the Trust.</w:t>
      </w:r>
    </w:p>
    <w:p>
      <w:pPr>
        <w:spacing w:after="0" w:line="220"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Unforeseeable Emergency</w:t>
      </w:r>
      <w:r>
        <w:rPr>
          <w:rFonts w:ascii="Times New Roman" w:cs="Times New Roman" w:eastAsia="Times New Roman" w:hAnsi="Times New Roman"/>
          <w:sz w:val="22"/>
          <w:szCs w:val="22"/>
          <w:color w:val="auto"/>
        </w:rPr>
        <w:t>” means a severe financial hardship to a Participant resulting from an illness or accident of the Participant, the Participant’s spouse, the Participant’s Beneficiary or the Participant’s dependent (as defined in Code Section 152, without regard to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For example, (a) imminent foreclosure of or eviction from the Participant’s primary residence may constitute an Unforeseeable Emergency; (b) the need to pay for medical expenses, including nonrefundable deductibles, as well as for the costs of prescription drug medications, may constitute an Unforeseeable Emergency; (c) the need to pay for the funeral expenses of a spouse, a Beneficiary or a dependent (as defined in Code Section 152, without regard to Sections 152(b)(1), (b)(2) and (d)(1)(B)) may also constitute an Unforeseeable Emergency; and (d) the purchase of a home and the payment of college tuition are not Unforeseeable Emergencies.</w:t>
      </w:r>
    </w:p>
    <w:p>
      <w:pPr>
        <w:spacing w:after="0" w:line="186" w:lineRule="exact"/>
        <w:rPr>
          <w:sz w:val="20"/>
          <w:szCs w:val="20"/>
          <w:color w:val="auto"/>
        </w:rPr>
      </w:pPr>
    </w:p>
    <w:p>
      <w:pPr>
        <w:ind w:right="10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w:t>
      </w:r>
      <w:r>
        <w:rPr>
          <w:rFonts w:ascii="Times New Roman" w:cs="Times New Roman" w:eastAsia="Times New Roman" w:hAnsi="Times New Roman"/>
          <w:sz w:val="22"/>
          <w:szCs w:val="22"/>
          <w:color w:val="auto"/>
        </w:rPr>
        <w:t>” means a denomination that has a value equal to one share of Common Stock, subject to adjustment by the Committee in accordance with Section 3.1(c)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4</w:t>
      </w:r>
    </w:p>
    <w:p>
      <w:pPr>
        <w:sectPr>
          <w:pgSz w:w="11900" w:h="16838" w:orient="portrait"/>
          <w:cols w:equalWidth="0" w:num="1">
            <w:col w:w="11420"/>
          </w:cols>
          <w:pgMar w:left="240" w:top="625" w:right="239" w:bottom="1440" w:gutter="0" w:footer="0" w:header="0"/>
        </w:sectPr>
      </w:pPr>
    </w:p>
    <w:bookmarkStart w:id="98" w:name="page99"/>
    <w:bookmarkEnd w:id="98"/>
    <w:p>
      <w:pPr>
        <w:ind w:left="4240"/>
        <w:spacing w:after="0"/>
        <w:rPr>
          <w:sz w:val="20"/>
          <w:szCs w:val="20"/>
          <w:color w:val="auto"/>
        </w:rPr>
      </w:pPr>
      <w:r>
        <w:rPr>
          <w:rFonts w:ascii="Times New Roman" w:cs="Times New Roman" w:eastAsia="Times New Roman" w:hAnsi="Times New Roman"/>
          <w:sz w:val="22"/>
          <w:szCs w:val="22"/>
          <w:b w:val="1"/>
          <w:bCs w:val="1"/>
          <w:color w:val="auto"/>
        </w:rPr>
        <w:t>II.  ELIGIBILITY; PARTICIPATION; DEFERRAL</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color w:val="auto"/>
        </w:rPr>
        <w:t>Eligibility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Director is eligible to participate in the Plan.</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color w:val="auto"/>
        </w:rPr>
        <w:t>Participation</w:t>
      </w:r>
    </w:p>
    <w:p>
      <w:pPr>
        <w:spacing w:after="0" w:line="224"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A Director may become a Participant in the Plan by completing and delivering to the Office of the Corporate Secretary a Deferral Election as provided under Section 2.3.</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Deferral Election</w:t>
      </w:r>
    </w:p>
    <w:p>
      <w:pPr>
        <w:spacing w:after="0" w:line="224" w:lineRule="exact"/>
        <w:rPr>
          <w:sz w:val="20"/>
          <w:szCs w:val="20"/>
          <w:color w:val="auto"/>
        </w:rPr>
      </w:pPr>
    </w:p>
    <w:p>
      <w:pPr>
        <w:ind w:right="80" w:firstLine="656"/>
        <w:spacing w:after="0" w:line="253" w:lineRule="auto"/>
        <w:tabs>
          <w:tab w:leader="none" w:pos="106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for Delivery</w:t>
      </w:r>
      <w:r>
        <w:rPr>
          <w:rFonts w:ascii="Times New Roman" w:cs="Times New Roman" w:eastAsia="Times New Roman" w:hAnsi="Times New Roman"/>
          <w:sz w:val="22"/>
          <w:szCs w:val="22"/>
          <w:color w:val="auto"/>
        </w:rPr>
        <w:t>. A Director may elect to defer Director’s Fees by delivery of a completed Deferral Election not later than December 31 of the year prior to the Plan Year to which it relates. Notwithstanding the foregoing, in a year in which an individual first becomes a Director, the individual may submit a Deferral Election not later than 30 days after the date the individual becomes eligible to participate in the Plan, provided that the election shall be effective only with respect to Director’s Fees paid for services to be performed after the election becomes irrevocable.</w:t>
      </w:r>
    </w:p>
    <w:p>
      <w:pPr>
        <w:spacing w:after="0" w:line="179" w:lineRule="exact"/>
        <w:rPr>
          <w:rFonts w:ascii="Times New Roman" w:cs="Times New Roman" w:eastAsia="Times New Roman" w:hAnsi="Times New Roman"/>
          <w:sz w:val="22"/>
          <w:szCs w:val="22"/>
          <w:color w:val="auto"/>
        </w:rPr>
      </w:pPr>
    </w:p>
    <w:p>
      <w:pPr>
        <w:ind w:right="240" w:firstLine="656"/>
        <w:spacing w:after="0" w:line="257" w:lineRule="auto"/>
        <w:tabs>
          <w:tab w:leader="none" w:pos="10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Irrevocable</w:t>
      </w:r>
      <w:r>
        <w:rPr>
          <w:rFonts w:ascii="Times New Roman" w:cs="Times New Roman" w:eastAsia="Times New Roman" w:hAnsi="Times New Roman"/>
          <w:sz w:val="22"/>
          <w:szCs w:val="22"/>
          <w:color w:val="auto"/>
        </w:rPr>
        <w:t>. A Deferral Election is effective and becomes irrevocable upon the latest date it may be made under Section 2.3(a) with respect to the Plan Year (or portion thereof) to which it relates. A Participant may change a Deferral Election for a subsequent Plan Year by delivering a new Deferral Election to the Office of the Corporate Secretary not later than December 31 of the preceding Plan Year.</w:t>
      </w:r>
    </w:p>
    <w:p>
      <w:pPr>
        <w:spacing w:after="0" w:line="168" w:lineRule="exact"/>
        <w:rPr>
          <w:rFonts w:ascii="Times New Roman" w:cs="Times New Roman" w:eastAsia="Times New Roman" w:hAnsi="Times New Roman"/>
          <w:sz w:val="22"/>
          <w:szCs w:val="22"/>
          <w:color w:val="auto"/>
        </w:rPr>
      </w:pPr>
    </w:p>
    <w:p>
      <w:pPr>
        <w:ind w:left="5540" w:hanging="496"/>
        <w:spacing w:after="0"/>
        <w:tabs>
          <w:tab w:leader="none" w:pos="5540"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CREDITING AND VESTING</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Amounts to Be Credited to Accounts</w:t>
      </w:r>
    </w:p>
    <w:p>
      <w:pPr>
        <w:spacing w:after="0" w:line="224" w:lineRule="exact"/>
        <w:rPr>
          <w:sz w:val="20"/>
          <w:szCs w:val="20"/>
          <w:color w:val="auto"/>
        </w:rPr>
      </w:pPr>
    </w:p>
    <w:p>
      <w:pPr>
        <w:ind w:firstLine="656"/>
        <w:spacing w:after="0" w:line="260" w:lineRule="auto"/>
        <w:tabs>
          <w:tab w:leader="none" w:pos="106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Account</w:t>
      </w:r>
      <w:r>
        <w:rPr>
          <w:rFonts w:ascii="Times New Roman" w:cs="Times New Roman" w:eastAsia="Times New Roman" w:hAnsi="Times New Roman"/>
          <w:sz w:val="21"/>
          <w:szCs w:val="21"/>
          <w:color w:val="auto"/>
        </w:rPr>
        <w:t>. A Participant’s Cash Account shall be credited with Director’s Fees payable in cash that were deferred pursuant to a valid Deferral Election. The Participant’s Cash Account shall be further credited with earnings at a rate and in a manner authorized by the Committee from time to time; provided that the earnings rate shall be based on a Participant’s selection from among fund choices made available by the Committee from time to time, and provided further that the choices available for a Cash Account shall not include a Common Stock fund. Earnings shall be credited as of the end of each business day that the Committee authorizes the Plan’s recordkeeping system to determine the value of gains and losses. Notwithstanding the foregoing, for Participants who did not make a one-time election as of October 31, 2006 to allocate all funds in all Accounts, past and future, so that earnings are based on the rate of return of one or more of the funds made available by the Committee as described above, the earnings shall be credited at a rate based on the Stable Return Fund Measure. The Committee will not be responsible in any manner to any Participant, Beneficiary or other person for any damages, losses or liabilities, costs or expenses of any kind arising in connection with any designation of a fund or the Participant’s designation of a crediting rate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5</w:t>
      </w:r>
    </w:p>
    <w:p>
      <w:pPr>
        <w:sectPr>
          <w:pgSz w:w="11900" w:h="16838" w:orient="portrait"/>
          <w:cols w:equalWidth="0" w:num="1">
            <w:col w:w="11320"/>
          </w:cols>
          <w:pgMar w:left="240" w:top="621" w:right="339" w:bottom="1440" w:gutter="0" w:footer="0" w:header="0"/>
        </w:sectPr>
      </w:pPr>
    </w:p>
    <w:bookmarkStart w:id="99" w:name="page100"/>
    <w:bookmarkEnd w:id="99"/>
    <w:p>
      <w:pPr>
        <w:ind w:firstLine="656"/>
        <w:spacing w:after="0" w:line="263" w:lineRule="auto"/>
        <w:tabs>
          <w:tab w:leader="none" w:pos="10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Stock Units Account</w:t>
      </w:r>
      <w:r>
        <w:rPr>
          <w:rFonts w:ascii="Times New Roman" w:cs="Times New Roman" w:eastAsia="Times New Roman" w:hAnsi="Times New Roman"/>
          <w:sz w:val="22"/>
          <w:szCs w:val="22"/>
          <w:color w:val="auto"/>
        </w:rPr>
        <w:t>. A Participant’s Common Stock Units Account shall be credited with a number of Units equal to the number of shares of Common Stock that otherwise would have been issued to a Participant by way of a stock grant or award for Director’s Fees, but that were deferred pursuant to a valid Deferral Election.</w:t>
      </w:r>
    </w:p>
    <w:p>
      <w:pPr>
        <w:spacing w:after="0" w:line="167" w:lineRule="exact"/>
        <w:rPr>
          <w:rFonts w:ascii="Times New Roman" w:cs="Times New Roman" w:eastAsia="Times New Roman" w:hAnsi="Times New Roman"/>
          <w:sz w:val="22"/>
          <w:szCs w:val="22"/>
          <w:color w:val="auto"/>
        </w:rPr>
      </w:pPr>
    </w:p>
    <w:p>
      <w:pPr>
        <w:ind w:right="400" w:firstLine="656"/>
        <w:spacing w:after="0" w:line="284" w:lineRule="auto"/>
        <w:tabs>
          <w:tab w:leader="none" w:pos="106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 Value</w:t>
      </w:r>
      <w:r>
        <w:rPr>
          <w:rFonts w:ascii="Times New Roman" w:cs="Times New Roman" w:eastAsia="Times New Roman" w:hAnsi="Times New Roman"/>
          <w:sz w:val="22"/>
          <w:szCs w:val="22"/>
          <w:color w:val="auto"/>
        </w:rPr>
        <w:t>. Subject to the second paragraph of this Section 3.1(c) the value of Units in a Common Stock Units Account shall fluctuate with the Fair Market Value of the Common Stock.</w:t>
      </w:r>
    </w:p>
    <w:p>
      <w:pPr>
        <w:spacing w:after="0" w:line="144"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2"/>
          <w:szCs w:val="22"/>
          <w:color w:val="auto"/>
        </w:rPr>
        <w:t>In the event of a corporate transaction involving the Company (including, without limitation, any merger, consolidation, recapitalization, reorganization, split off, spinoff, reclassification, combination, stock dividend, stock split, reverse stock split, repurchase, exchange,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adjust Accounts to preserve their benefits or potential benefits, which shall be consistent with any action taken by the Board with respect to adjusting the outstanding Common Stock. Action by the Committee may include (i) appropriate adjustments in the number of Units then credited to an Account; (ii) conversion of Units to other new or different securities into which the Common Stock may be converted; (iii) conversion to a cash balance, or (iv) any other adjustment the Committee determines to be equitable and consistent with the purposes of the Plan. In the event that Common Stock is converted into cash in connection with a corporate transaction described in this Section 3.1(c), the value of the Units in any Account shall be converted to a dollar amount by multiplying the number of Units in each Account by the Fair Market Value of a share of Common Stock on the date of the corporate transaction, and such amounts shall thereafter be credited with interest at a rate and in a manner consistent with Section 3.1(a). If the Trust is funded in the event of a Change of Control, the Trustee shall have authority to change the method of determining the interest crediting rate.</w:t>
      </w:r>
    </w:p>
    <w:p>
      <w:pPr>
        <w:spacing w:after="0" w:line="191" w:lineRule="exact"/>
        <w:rPr>
          <w:sz w:val="20"/>
          <w:szCs w:val="20"/>
          <w:color w:val="auto"/>
        </w:rPr>
      </w:pPr>
    </w:p>
    <w:p>
      <w:pPr>
        <w:ind w:right="60" w:firstLine="656"/>
        <w:spacing w:after="0" w:line="284" w:lineRule="auto"/>
        <w:tabs>
          <w:tab w:leader="none" w:pos="10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of Crediting</w:t>
      </w:r>
      <w:r>
        <w:rPr>
          <w:rFonts w:ascii="Times New Roman" w:cs="Times New Roman" w:eastAsia="Times New Roman" w:hAnsi="Times New Roman"/>
          <w:sz w:val="22"/>
          <w:szCs w:val="22"/>
          <w:color w:val="auto"/>
        </w:rPr>
        <w:t>. Director’s Fees deferred under the Plan shall be withheld and credited to a Participant’s Account as of the date they otherwise would be paid to the Participant, whether or not payment occurs during the Plan Year itself.</w:t>
      </w:r>
    </w:p>
    <w:p>
      <w:pPr>
        <w:spacing w:after="0" w:line="144" w:lineRule="exact"/>
        <w:rPr>
          <w:rFonts w:ascii="Times New Roman" w:cs="Times New Roman" w:eastAsia="Times New Roman" w:hAnsi="Times New Roman"/>
          <w:sz w:val="22"/>
          <w:szCs w:val="22"/>
          <w:color w:val="auto"/>
        </w:rPr>
      </w:pPr>
    </w:p>
    <w:p>
      <w:pPr>
        <w:ind w:right="20" w:firstLine="656"/>
        <w:spacing w:after="0" w:line="257" w:lineRule="auto"/>
        <w:tabs>
          <w:tab w:leader="none" w:pos="106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In the event that the Company pays dividends on its Common Stock, the Common Stock Units Account shall be credited with additional Units (including fractions). The number of additional Units to be credited shall be determined by dividing the aggregate dollar value of the dividends that would be paid on the Units, if such Units were Common Stock, by the Fair Market Value of one share of the Common Stock on the dividend payment date.</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Vesting</w:t>
      </w:r>
    </w:p>
    <w:p>
      <w:pPr>
        <w:spacing w:after="0" w:line="224"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A Participant’s Cash Account and Common Stock Units Account shall at all times be fully vested, subject only to the Participant’s status as a general creditor of the Company, as provided in Article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6</w:t>
      </w:r>
    </w:p>
    <w:p>
      <w:pPr>
        <w:sectPr>
          <w:pgSz w:w="11900" w:h="16838" w:orient="portrait"/>
          <w:cols w:equalWidth="0" w:num="1">
            <w:col w:w="11380"/>
          </w:cols>
          <w:pgMar w:left="240" w:top="625" w:right="279" w:bottom="1440" w:gutter="0" w:footer="0" w:header="0"/>
        </w:sectPr>
      </w:pPr>
    </w:p>
    <w:bookmarkStart w:id="100" w:name="page101"/>
    <w:bookmarkEnd w:id="100"/>
    <w:p>
      <w:pPr>
        <w:ind w:left="5600"/>
        <w:spacing w:after="0"/>
        <w:rPr>
          <w:sz w:val="20"/>
          <w:szCs w:val="20"/>
          <w:color w:val="auto"/>
        </w:rPr>
      </w:pPr>
      <w:r>
        <w:rPr>
          <w:rFonts w:ascii="Times New Roman" w:cs="Times New Roman" w:eastAsia="Times New Roman" w:hAnsi="Times New Roman"/>
          <w:sz w:val="22"/>
          <w:szCs w:val="22"/>
          <w:b w:val="1"/>
          <w:bCs w:val="1"/>
          <w:color w:val="auto"/>
        </w:rPr>
        <w:t>IV.  DISTRIBUTIONS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Distributable Events</w:t>
      </w:r>
    </w:p>
    <w:p>
      <w:pPr>
        <w:spacing w:after="0" w:line="224"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Distributions under the Plan shall be payable in accordance with a Participant’s Deferral Election upon the earliest of (i) Retirement, (ii) a specified date under Section 4.4, or (iii) an Unforeseeable Emergency under Section 4.5.</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Method of Payment</w:t>
      </w:r>
    </w:p>
    <w:p>
      <w:pPr>
        <w:spacing w:after="0" w:line="224" w:lineRule="exact"/>
        <w:rPr>
          <w:sz w:val="20"/>
          <w:szCs w:val="20"/>
          <w:color w:val="auto"/>
        </w:rPr>
      </w:pPr>
    </w:p>
    <w:p>
      <w:pPr>
        <w:ind w:firstLine="656"/>
        <w:spacing w:after="0" w:line="248" w:lineRule="auto"/>
        <w:tabs>
          <w:tab w:leader="none" w:pos="106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of Method of Payment</w:t>
      </w:r>
      <w:r>
        <w:rPr>
          <w:rFonts w:ascii="Times New Roman" w:cs="Times New Roman" w:eastAsia="Times New Roman" w:hAnsi="Times New Roman"/>
          <w:sz w:val="22"/>
          <w:szCs w:val="22"/>
          <w:color w:val="auto"/>
        </w:rPr>
        <w:t>. A Participant may elect in the Participant’s initial Deferral Election and in a manner determined by the Committee (i) to receive Cash Account distributions in a single lump sum or in substantially equal monthly, quarterly or annual installments over a period of time not to exceed ten years, and (ii) to receive Common Stock Units Account distributions in either a single distribution or in annual installments over a period of time not to exceed ten years. If a Participant does not make a valid election with respect to the method of payment of benefits, then such benefits shall be payable in a single distribution. The amount of a Participant’s substantially equal installment payment will be determined when benefits commence and re-determined each subsequent January by dividing (i) the balance of the Participant’s Account that is subject to the installment distribution at the end of the month preceding the month in which the first payment for the calendar year is to be made by (ii) the number of installment payments remaining to be made.</w:t>
      </w:r>
    </w:p>
    <w:p>
      <w:pPr>
        <w:spacing w:after="0" w:line="186" w:lineRule="exact"/>
        <w:rPr>
          <w:rFonts w:ascii="Times New Roman" w:cs="Times New Roman" w:eastAsia="Times New Roman" w:hAnsi="Times New Roman"/>
          <w:sz w:val="22"/>
          <w:szCs w:val="22"/>
          <w:color w:val="auto"/>
        </w:rPr>
      </w:pPr>
    </w:p>
    <w:p>
      <w:pPr>
        <w:ind w:firstLine="656"/>
        <w:spacing w:after="0" w:line="260" w:lineRule="auto"/>
        <w:tabs>
          <w:tab w:leader="none" w:pos="10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Method of Payment</w:t>
      </w:r>
      <w:r>
        <w:rPr>
          <w:rFonts w:ascii="Times New Roman" w:cs="Times New Roman" w:eastAsia="Times New Roman" w:hAnsi="Times New Roman"/>
          <w:sz w:val="21"/>
          <w:szCs w:val="21"/>
          <w:color w:val="auto"/>
        </w:rPr>
        <w:t>. A distribution election may be changed to an allowable alternative payment period by completing and submitting a Change Election to the Committee, in a manner approved by the Committee, or its delegate; provided, however, that an election submitted less than one year before the distribution is to commence shall not be given effect. Each Participant may make only one Change Election with respect to each applicable Plan Year deferral. The most recent effective Change Election received by the Office of the Corporate Secretary shall govern the payment. Such Change Elections are also subject to the following: (i) any change shall not take effect until at least 12 months after the date on which the Change Election is made; (ii) the Change Election must be made at least 12 months before the date the payment is scheduled to be made (or in the case of installment or annuity payments treated as a single payment, the date the first amount was scheduled to be paid); and (iii) in the case of a Change Election relating to payments other than on account of an Unforeseeable Emergency or the death of the Participant, the payment shall be deferred for a period of not less than five years after the date such payment would otherwise have been paid (or in the case of installment payments, five years after the date the first amount would otherwise have been paid).</w:t>
      </w:r>
    </w:p>
    <w:p>
      <w:pPr>
        <w:spacing w:after="0" w:line="174" w:lineRule="exact"/>
        <w:rPr>
          <w:rFonts w:ascii="Times New Roman" w:cs="Times New Roman" w:eastAsia="Times New Roman" w:hAnsi="Times New Roman"/>
          <w:sz w:val="21"/>
          <w:szCs w:val="21"/>
          <w:color w:val="auto"/>
        </w:rPr>
      </w:pPr>
    </w:p>
    <w:p>
      <w:pPr>
        <w:ind w:firstLine="656"/>
        <w:spacing w:after="0" w:line="247" w:lineRule="auto"/>
        <w:tabs>
          <w:tab w:leader="none" w:pos="106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w:t>
      </w:r>
      <w:r>
        <w:rPr>
          <w:rFonts w:ascii="Times New Roman" w:cs="Times New Roman" w:eastAsia="Times New Roman" w:hAnsi="Times New Roman"/>
          <w:sz w:val="22"/>
          <w:szCs w:val="22"/>
          <w:color w:val="auto"/>
        </w:rPr>
        <w:t>. Any Account denominated in Units shall be payable only in shares of Common Stock, except that, in the Administrator’s discretion, cash may be paid for any fractional share. As provided in Section 4.2(a), distributions of Common Stock shall be made either in a single distribution or in annual installments. Common Stock to be distributed under this Plan, including for crediting dividends, will be issued under The Toro Company Amended and Restated 2010 Equity and Incentive Plan, as amended from time to time, any predecessor plan, or any successor plan designated as such by the Board, that was in effect at the time of the deferral of the receipt of the Common Stock under this Plan (collectively the “Equity Plan”). The issuance of shares under the Equity Plan shall be subject to all of the terms and conditions of the Equity Plan, which terms and conditions are incorporated herein and made a part hereof with respect to such shares of Common Stock distributed under this Plan. In the event of any actual or alleged conflict between the Equity Plan and the provisions of this Plan, the provisions of the Equity Plan shall be controlling.</w:t>
      </w:r>
    </w:p>
    <w:p>
      <w:pPr>
        <w:spacing w:after="0" w:line="200" w:lineRule="exact"/>
        <w:rPr>
          <w:sz w:val="20"/>
          <w:szCs w:val="20"/>
          <w:color w:val="auto"/>
        </w:rPr>
      </w:pPr>
    </w:p>
    <w:p>
      <w:pPr>
        <w:spacing w:after="0" w:line="23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7</w:t>
      </w:r>
    </w:p>
    <w:p>
      <w:pPr>
        <w:sectPr>
          <w:pgSz w:w="11900" w:h="16838" w:orient="portrait"/>
          <w:cols w:equalWidth="0" w:num="1">
            <w:col w:w="11380"/>
          </w:cols>
          <w:pgMar w:left="240" w:top="621" w:right="279" w:bottom="1440" w:gutter="0" w:footer="0" w:header="0"/>
        </w:sectPr>
      </w:pPr>
    </w:p>
    <w:bookmarkStart w:id="101" w:name="page102"/>
    <w:bookmarkEnd w:id="101"/>
    <w:p>
      <w:pPr>
        <w:ind w:right="80" w:firstLine="656"/>
        <w:spacing w:after="0" w:line="257" w:lineRule="auto"/>
        <w:tabs>
          <w:tab w:leader="none" w:pos="10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Distribution</w:t>
      </w:r>
      <w:r>
        <w:rPr>
          <w:rFonts w:ascii="Times New Roman" w:cs="Times New Roman" w:eastAsia="Times New Roman" w:hAnsi="Times New Roman"/>
          <w:sz w:val="22"/>
          <w:szCs w:val="22"/>
          <w:color w:val="auto"/>
        </w:rPr>
        <w:t>. As provided in Section 4.2(a), if a Participant does not make a valid election with respect to the payment of benefits, benefits payable under the Plan to or on behalf of the Participant shall be paid in a single distribution to the Participant, or in the event of the Participant’s death, to the Participant’s designated Beneficiary under the Plan. Any change in this default election must comply with Section 4.2(b).</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Death Prior to Completion of Payment</w:t>
      </w:r>
    </w:p>
    <w:p>
      <w:pPr>
        <w:spacing w:after="0" w:line="22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If a Participant dies after Retirement but before the Participant’s Accounts are distributed in full, the remaining Account balance shall be paid to the Participant’s Beneficiary in a lump sum or, if the Participant has so elected, in installments. If a Beneficiary dies before the Beneficiary’s interest in the Participant’s Accounts are distributed in full, the remaining Account balance will be paid as soon as practicable in a single lump sum payment to the personal representative (executor or administrator) of the Beneficiary’s estate.</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color w:val="auto"/>
        </w:rPr>
        <w:t>Distribution Prior to Retirement</w:t>
      </w:r>
    </w:p>
    <w:p>
      <w:pPr>
        <w:spacing w:after="0" w:line="22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A Participant may elect in the Participant’s Deferral Election to receive all or part of the balance of either or both of the Cash Account or the Common Stock Units Account in any specified year prior to Retirement. Except as provided in Section 4.5, no distribution date prior to Retirement shall be acceptable unless such date falls at least two Plan Years after the Plan Year for which the initial distribution election is made. A distribution in any year shall not exceed the aggregate of the balance of each of the Cash Account and Common Stock Units Account as of the last day of the Plan Year immediately prior to the Plan Year in which the distribution is made. Any distribution made pursuant to an election hereunder shall be made in a single lump sum in such distribution year.</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color w:val="auto"/>
        </w:rPr>
        <w:t>Unforeseeable Emergencies</w:t>
      </w:r>
    </w:p>
    <w:p>
      <w:pPr>
        <w:spacing w:after="0" w:line="224"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2"/>
          <w:szCs w:val="22"/>
          <w:color w:val="auto"/>
        </w:rPr>
        <w:t>A Participant who experiences an Unforeseeable Emergency, as determined by the Committee based on the relevant facts and circumstances, may request a hardship withdrawal from the Participant’s Accounts under the Plan. Upon receiving such a request, the Committee (i) shall cancel the Participant’s deferrals under the Plan for the remainder of the Plan Year, and (ii) may make a distribution from the Participant’s Accounts. Withdrawals of amounts because of an Unforeseeable Emergency are permitted only to the extent reasonably necessary to satisfy the emergency need (which may include amounts necessary to pay any federal, state, local or foreign income taxes or penalties reasonably anticipated to result from the distribution). A distribution on account of an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8</w:t>
      </w:r>
    </w:p>
    <w:p>
      <w:pPr>
        <w:sectPr>
          <w:pgSz w:w="11900" w:h="16838" w:orient="portrait"/>
          <w:cols w:equalWidth="0" w:num="1">
            <w:col w:w="11380"/>
          </w:cols>
          <w:pgMar w:left="240" w:top="625" w:right="279" w:bottom="1440" w:gutter="0" w:footer="0" w:header="0"/>
        </w:sectPr>
      </w:pPr>
    </w:p>
    <w:bookmarkStart w:id="102" w:name="page103"/>
    <w:bookmarkEnd w:id="102"/>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4.6</w:t>
      </w:r>
      <w:r>
        <w:rPr>
          <w:sz w:val="20"/>
          <w:szCs w:val="20"/>
          <w:color w:val="auto"/>
        </w:rPr>
        <w:tab/>
      </w:r>
      <w:r>
        <w:rPr>
          <w:rFonts w:ascii="Times New Roman" w:cs="Times New Roman" w:eastAsia="Times New Roman" w:hAnsi="Times New Roman"/>
          <w:sz w:val="21"/>
          <w:szCs w:val="21"/>
          <w:b w:val="1"/>
          <w:bCs w:val="1"/>
          <w:color w:val="auto"/>
        </w:rPr>
        <w:t>Commencement of Distributions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Payment of a benefit shall begin in accordance with the provisions of this Section 4.6.</w:t>
      </w:r>
    </w:p>
    <w:p>
      <w:pPr>
        <w:spacing w:after="0" w:line="220" w:lineRule="exact"/>
        <w:rPr>
          <w:sz w:val="20"/>
          <w:szCs w:val="20"/>
          <w:color w:val="auto"/>
        </w:rPr>
      </w:pPr>
    </w:p>
    <w:p>
      <w:pPr>
        <w:ind w:right="20" w:firstLine="656"/>
        <w:spacing w:after="0" w:line="251" w:lineRule="auto"/>
        <w:tabs>
          <w:tab w:leader="none" w:pos="106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If a benefit is payable because of a Participant’s Retirement (other than on account of death), the single lump sum distribution shall be made, or installment payments shall commence, in January immediately after the calendar year in which the Participant Retires. If the benefit is payable on account of the Participant’s death, payment shall be made, or commenced, as soon as practical, on or after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first month immediately following the month in which the death occurred, but not later than the last day of the calendar year immediately following the calendar year in which the Participant’s death occurred.</w:t>
      </w:r>
    </w:p>
    <w:p>
      <w:pPr>
        <w:spacing w:after="0" w:line="177" w:lineRule="exact"/>
        <w:rPr>
          <w:rFonts w:ascii="Times New Roman" w:cs="Times New Roman" w:eastAsia="Times New Roman" w:hAnsi="Times New Roman"/>
          <w:sz w:val="21"/>
          <w:szCs w:val="21"/>
          <w:color w:val="auto"/>
        </w:rPr>
      </w:pPr>
    </w:p>
    <w:p>
      <w:pPr>
        <w:ind w:right="40" w:firstLine="656"/>
        <w:spacing w:after="0" w:line="257" w:lineRule="auto"/>
        <w:tabs>
          <w:tab w:leader="none" w:pos="111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In-Service Distribution</w:t>
      </w:r>
      <w:r>
        <w:rPr>
          <w:rFonts w:ascii="Times New Roman" w:cs="Times New Roman" w:eastAsia="Times New Roman" w:hAnsi="Times New Roman"/>
          <w:sz w:val="22"/>
          <w:szCs w:val="22"/>
          <w:color w:val="auto"/>
        </w:rPr>
        <w:t>. If a Participant has properly made a specified date distribution election under Section 4.4, which is triggered under Section 4.1, payment shall be made in the January of the calendar year in which the Participant has elected to receive the in-service distribution, as set forth in Participant’s Deferral Election.</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4.7</w:t>
      </w:r>
      <w:r>
        <w:rPr>
          <w:sz w:val="20"/>
          <w:szCs w:val="20"/>
          <w:color w:val="auto"/>
        </w:rPr>
        <w:tab/>
      </w:r>
      <w:r>
        <w:rPr>
          <w:rFonts w:ascii="Times New Roman" w:cs="Times New Roman" w:eastAsia="Times New Roman" w:hAnsi="Times New Roman"/>
          <w:sz w:val="21"/>
          <w:szCs w:val="21"/>
          <w:b w:val="1"/>
          <w:bCs w:val="1"/>
          <w:color w:val="auto"/>
        </w:rPr>
        <w:t>Acceleration or Delay of Distributions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Committee in its sole discretion may exercise discretion to accelerate or delay the distribution of any payment under the Plan, if, and only to the extent, allowed under Code section 409A.</w:t>
      </w:r>
    </w:p>
    <w:p>
      <w:pPr>
        <w:spacing w:after="0" w:line="15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V.  BENEFICIARY DESIGNATION</w:t>
      </w:r>
    </w:p>
    <w:p>
      <w:pPr>
        <w:spacing w:after="0" w:line="237" w:lineRule="exact"/>
        <w:rPr>
          <w:sz w:val="20"/>
          <w:szCs w:val="20"/>
          <w:color w:val="auto"/>
        </w:rPr>
      </w:pPr>
    </w:p>
    <w:p>
      <w:pPr>
        <w:ind w:right="840" w:firstLine="648"/>
        <w:spacing w:after="0" w:line="257" w:lineRule="auto"/>
        <w:rPr>
          <w:sz w:val="20"/>
          <w:szCs w:val="20"/>
          <w:color w:val="auto"/>
        </w:rPr>
      </w:pPr>
      <w:r>
        <w:rPr>
          <w:rFonts w:ascii="Times New Roman" w:cs="Times New Roman" w:eastAsia="Times New Roman" w:hAnsi="Times New Roman"/>
          <w:sz w:val="22"/>
          <w:szCs w:val="22"/>
          <w:color w:val="auto"/>
        </w:rPr>
        <w:t>Each Participant shall have the right to designate one or more Beneficiaries (including primary and contingent Beneficiaries) to receive any benefits payable under the Plan. A Participant shall have the right to change a Beneficiary by designating a new Beneficiary in a manner and on a form approved by the Committee.</w:t>
      </w:r>
    </w:p>
    <w:p>
      <w:pPr>
        <w:spacing w:after="0" w:line="173"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22"/>
          <w:szCs w:val="22"/>
          <w:color w:val="auto"/>
        </w:rPr>
        <w:t>If a Participant fails to designate a Beneficiary or if all designated Beneficiaries predecease the Participant or die prior to complete distribution of the Participant’s benefits, then payment shall be made to the personal representative (executor or administrator) of the Participant’s estate.</w:t>
      </w:r>
    </w:p>
    <w:p>
      <w:pPr>
        <w:spacing w:after="0" w:line="16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VI.  ADMINISTRATION OF THE PLAN</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Committee Duties</w:t>
      </w:r>
    </w:p>
    <w:p>
      <w:pPr>
        <w:spacing w:after="0" w:line="22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The Plan shall be administered by the Committee, which shall consist of the Board, or such committee as the Board may appoint. Members of the Committee may be Participants. The Committee shall have the discretion and authority, subject to Section 7.1, to make amendments to the Plan or in its discretion it may recommend amendments to the Board for its action. The Committee shall have the discretion and authority to make, amend, interpret and enforce appropriate rules and regulations for the administration of the Plan and to decide or resolve, in its discretion, any and all questions involving interpretation of the Plan. Any individual serving on the Committee who is a Participant shall not vote or act on any matter relating solely to himself or herself. When making a determination or calculation, the Committee shall be entitled to rely on information furnished by a Participant or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9</w:t>
      </w:r>
    </w:p>
    <w:p>
      <w:pPr>
        <w:sectPr>
          <w:pgSz w:w="11900" w:h="16838" w:orient="portrait"/>
          <w:cols w:equalWidth="0" w:num="1">
            <w:col w:w="11420"/>
          </w:cols>
          <w:pgMar w:left="240" w:top="621" w:right="239" w:bottom="1440" w:gutter="0" w:footer="0" w:header="0"/>
        </w:sectPr>
      </w:pPr>
    </w:p>
    <w:bookmarkStart w:id="103" w:name="page104"/>
    <w:bookmarkEnd w:id="103"/>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Administrative Committee; Agents</w:t>
      </w:r>
    </w:p>
    <w:p>
      <w:pPr>
        <w:spacing w:after="0" w:line="224"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The Committee may, from time to time, appoint an Administrative Committee and delegate to the Administrative Committee such duties and responsibilities (including the authority to make ministerial or administrative amendments to the Plan) with respect to the Plan as the Committee may determine. The Committee and the Administrative Committee may employ agents and delegate to them such duties as either Committee sees fit (including acting through a duly appointed representative) and may from time to time consult with counsel who may be counsel to the Company.</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Binding Effect of Decisions</w:t>
      </w:r>
    </w:p>
    <w:p>
      <w:pPr>
        <w:spacing w:after="0" w:line="224"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The decisions or actions of the Committee and the Administrative Committee with respect to the administration, interpretation and application of the Plan and the rules and regulations hereunder shall be final and conclusive and shall be binding upon all persons having any interest in the Plan.</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Indemnity of Committee and Administrative Committee</w:t>
      </w:r>
    </w:p>
    <w:p>
      <w:pPr>
        <w:spacing w:after="0" w:line="224" w:lineRule="exact"/>
        <w:rPr>
          <w:sz w:val="20"/>
          <w:szCs w:val="20"/>
          <w:color w:val="auto"/>
        </w:rPr>
      </w:pPr>
    </w:p>
    <w:p>
      <w:pPr>
        <w:ind w:right="200" w:firstLine="648"/>
        <w:spacing w:after="0" w:line="252" w:lineRule="auto"/>
        <w:rPr>
          <w:sz w:val="20"/>
          <w:szCs w:val="20"/>
          <w:color w:val="auto"/>
        </w:rPr>
      </w:pPr>
      <w:r>
        <w:rPr>
          <w:rFonts w:ascii="Times New Roman" w:cs="Times New Roman" w:eastAsia="Times New Roman" w:hAnsi="Times New Roman"/>
          <w:sz w:val="22"/>
          <w:szCs w:val="22"/>
          <w:color w:val="auto"/>
        </w:rPr>
        <w:t>The Company shall indemnify and hold harmless the members of the Committee, the Administrative Committee, and any agent or employee to whom the duties of the Committee or the Administrative Committee may be delegated, against any and all claims, losses, damages, expenses or liabilities arising from any action or failure to act with respect to the Plan, except in the case of willful misconduct.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color w:val="auto"/>
        </w:rPr>
        <w:t>Claims Procedures</w:t>
      </w:r>
    </w:p>
    <w:p>
      <w:pPr>
        <w:spacing w:after="0" w:line="22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Company intends to make payments under the Plan without requiring that a Participant submit a claim form. However, a Participant who believes a payment is due under the Plan may submit a claim for payments. The procedures in this Section 6.5 pertain to claims by Participants and Beneficiaries (“claimants”) for Plan benefits, consideration of such claims and review of claim denials. For these purposes, a “claim” is a request for benefits under the Plan, which must be made by the claimant in writing, filed with the Committee and must state the claimant’s name and the nature of benefits payable.</w:t>
      </w:r>
    </w:p>
    <w:p>
      <w:pPr>
        <w:spacing w:after="0" w:line="181" w:lineRule="exact"/>
        <w:rPr>
          <w:sz w:val="20"/>
          <w:szCs w:val="20"/>
          <w:color w:val="auto"/>
        </w:rPr>
      </w:pPr>
    </w:p>
    <w:p>
      <w:pPr>
        <w:jc w:val="both"/>
        <w:ind w:right="380" w:firstLine="656"/>
        <w:spacing w:after="0" w:line="263" w:lineRule="auto"/>
        <w:tabs>
          <w:tab w:leader="none" w:pos="106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is wholly or partially denied, notice of the decision shall be furnished to the claimant within a reasonable period of time after receipt of the claim by the Company. If written notice of the decision of the claim is not provided within 90 days, the claim shall be deemed denied.</w:t>
      </w:r>
    </w:p>
    <w:p>
      <w:pPr>
        <w:spacing w:after="0" w:line="167" w:lineRule="exact"/>
        <w:rPr>
          <w:rFonts w:ascii="Times New Roman" w:cs="Times New Roman" w:eastAsia="Times New Roman" w:hAnsi="Times New Roman"/>
          <w:sz w:val="22"/>
          <w:szCs w:val="22"/>
          <w:color w:val="auto"/>
        </w:rPr>
      </w:pPr>
    </w:p>
    <w:p>
      <w:pPr>
        <w:jc w:val="both"/>
        <w:ind w:right="80" w:firstLine="656"/>
        <w:spacing w:after="0" w:line="257" w:lineRule="auto"/>
        <w:tabs>
          <w:tab w:leader="none" w:pos="10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is denied in whole or in part and if the claimant is dissatisfied with the disposition of the claim, the claimant may appeal the denied claim to the Committee for a review of the claim and its denial. A claimant must file a request for review of a denied claim within a reasonable period of time, not to exceed 60 days after receipt by the claimant of written notification of denial of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10</w:t>
      </w:r>
    </w:p>
    <w:p>
      <w:pPr>
        <w:sectPr>
          <w:pgSz w:w="11900" w:h="16838" w:orient="portrait"/>
          <w:cols w:equalWidth="0" w:num="1">
            <w:col w:w="11400"/>
          </w:cols>
          <w:pgMar w:left="240" w:top="621" w:right="259" w:bottom="1440" w:gutter="0" w:footer="0" w:header="0"/>
        </w:sectPr>
      </w:pPr>
    </w:p>
    <w:bookmarkStart w:id="104" w:name="page105"/>
    <w:bookmarkEnd w:id="104"/>
    <w:p>
      <w:pPr>
        <w:ind w:right="120" w:firstLine="656"/>
        <w:spacing w:after="0" w:line="284" w:lineRule="auto"/>
        <w:tabs>
          <w:tab w:leader="none" w:pos="106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decision by the Committee shall be made promptly after the receipt by the Committee of a request for review. If the decision on review is not furnished within 90 days, the claim shall be deemed denied on review.</w:t>
      </w:r>
    </w:p>
    <w:p>
      <w:pPr>
        <w:spacing w:after="0" w:line="14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VII.  AMENDMENT OR TERMINATION</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22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The Company reserves the power to amend or terminate the Plan at any time by action of the Committee, ratified by the Board; provided that no amendment shall decrease the then current balances of a Participant’s Accounts. No amendment of the Plan shall affect the rights of any Participant or Beneficiary who has become entitled to the distribution of benefits under the Plan as of the date of the amendment.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Termination</w:t>
      </w:r>
    </w:p>
    <w:p>
      <w:pPr>
        <w:spacing w:after="0" w:line="224"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Although the Company anticipates that the Plan will continue for an indefinite period of time, it reserves the right to terminate the Plan at any time with respect to any or all Participants. Termination of the Plan shall not adversely affect the rights under the Plan of any Participant or Beneficiary who has become entitled to the payment of any Plan benefits as of the date of termination. Any acceleration of the time and form of payment as a result of the termination and liquidation of the Plan shall be in accordance with Treasury Regulation Section 1.409A-3(j)(4)(ix).</w:t>
      </w:r>
    </w:p>
    <w:p>
      <w:pPr>
        <w:spacing w:after="0" w:line="17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VIII.  SOURCE OF PAYMENTS; NATURE OF INTEREST</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Trust</w:t>
      </w:r>
    </w:p>
    <w:p>
      <w:pPr>
        <w:spacing w:after="0" w:line="224"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21"/>
          <w:szCs w:val="21"/>
          <w:color w:val="auto"/>
        </w:rPr>
        <w:t>The Company has established a Trust that may be used to pay benefits arising under the Plan and costs, charges and expenses relating thereto. Funds deposited in the Trust shall remain the sole and exclusive property of the Company. To the extent that the funds held in the Trust are insufficient to pay such benefits, costs, charges and expenses, the Company shall pay them.</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No Alienation</w:t>
      </w:r>
    </w:p>
    <w:p>
      <w:pPr>
        <w:spacing w:after="0" w:line="224"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Except as the Committee determines is required by law or order of a court of competent jurisdiction, neither Units credited to a Participant’s Accounts nor the benefits payable hereunder, including any rights or privileges pertaining thereto, may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any person or entity, including claims for alimony, support, separate maintenance and claims in bankruptcy proceedings.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color w:val="auto"/>
        </w:rPr>
        <w:t>Unfunded Plan</w:t>
      </w:r>
    </w:p>
    <w:p>
      <w:pPr>
        <w:spacing w:after="0" w:line="224"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auto"/>
        </w:rPr>
        <w:t>The Plan shall at all times be considered entirely unfunded for tax purposes. Funds invested under the Trust shall continue for all purposes to be part of the general assets of the Company and available to the general creditors of the Company in the event of a bankruptcy (involvement in a pending proceeding under the Federal Bankruptcy Code) or insolvency (inability to pay debts as they mature). In the event of such a bankruptcy or insolvency, the Company shall notify the Trustee of the Trust in writing of such an occurrence promptly after the Company obtains knowledge of such occurrence. No Participant or any other person shall have any interest in any particular assets of the Company by reason</w:t>
      </w:r>
    </w:p>
    <w:p>
      <w:pPr>
        <w:spacing w:after="0" w:line="200" w:lineRule="exact"/>
        <w:rPr>
          <w:sz w:val="20"/>
          <w:szCs w:val="20"/>
          <w:color w:val="auto"/>
        </w:rPr>
      </w:pPr>
    </w:p>
    <w:p>
      <w:pPr>
        <w:spacing w:after="0" w:line="22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11</w:t>
      </w:r>
    </w:p>
    <w:p>
      <w:pPr>
        <w:sectPr>
          <w:pgSz w:w="11900" w:h="16838" w:orient="portrait"/>
          <w:cols w:equalWidth="0" w:num="1">
            <w:col w:w="11400"/>
          </w:cols>
          <w:pgMar w:left="240" w:top="625" w:right="259" w:bottom="1440" w:gutter="0" w:footer="0" w:header="0"/>
        </w:sectPr>
      </w:pPr>
    </w:p>
    <w:bookmarkStart w:id="105" w:name="page106"/>
    <w:bookmarkEnd w:id="105"/>
    <w:p>
      <w:pPr>
        <w:jc w:val="both"/>
        <w:spacing w:after="0" w:line="257" w:lineRule="auto"/>
        <w:rPr>
          <w:sz w:val="20"/>
          <w:szCs w:val="20"/>
          <w:color w:val="auto"/>
        </w:rPr>
      </w:pPr>
      <w:r>
        <w:rPr>
          <w:rFonts w:ascii="Times New Roman" w:cs="Times New Roman" w:eastAsia="Times New Roman" w:hAnsi="Times New Roman"/>
          <w:sz w:val="22"/>
          <w:szCs w:val="22"/>
          <w:color w:val="auto"/>
        </w:rPr>
        <w:t>of the right to receive a benefit under the Plan, and to the extent a Participant or any other person acquires a right to receive benefits under the Plan, such right shall be no greater than the right of any general unsecured creditor of the Company. The Plan constitutes a mere promise by the Company to make payments to the Participants in the future.</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No Guaranty</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Nothing contained in the Plan shall constitute a guaranty by the Company or any other person or entity that any funds in any trust or the assets of the Company will be sufficient to pay any benefit hereunder.</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color w:val="auto"/>
        </w:rPr>
        <w:t>Transfers to the Trust</w:t>
      </w:r>
    </w:p>
    <w:p>
      <w:pPr>
        <w:spacing w:after="0" w:line="22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color w:val="auto"/>
        </w:rPr>
        <w:t>On the occurrence of a Change of Control, the Company shall transfer cash or property to the Account or Accounts maintained in the name of each affected Participant or Participants for the Plan under the Trust in an amount equal to the present value of all accumulated or accrued benefits then payable to or on behalf of such Participant or Participants under the Plan, plus any applicable fees. The Company may also transfer cash or property to the Accounts maintained for any Participant under the Trust in an amount equal to the present value of all accumulated or accrued benefits then payable under the Plan at any time in the sole discretion of the Company. Thereafter, the Company may, and after a Change of Control it shall, for each Plan Year, transfer cash or property no later than 30 days after the end of the Plan Year in which the initial transfer occurs, and thereafter on each anniversary thereof, to such Account or Accounts maintained for the affected Participant or Participants under the Trust an amount equal to the additional benefit accrued under the terms of the Plan during and in relation to the most recent Plan Year then ended.</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8.6</w:t>
      </w:r>
      <w:r>
        <w:rPr>
          <w:sz w:val="20"/>
          <w:szCs w:val="20"/>
          <w:color w:val="auto"/>
        </w:rPr>
        <w:tab/>
      </w:r>
      <w:r>
        <w:rPr>
          <w:rFonts w:ascii="Times New Roman" w:cs="Times New Roman" w:eastAsia="Times New Roman" w:hAnsi="Times New Roman"/>
          <w:sz w:val="21"/>
          <w:szCs w:val="21"/>
          <w:b w:val="1"/>
          <w:bCs w:val="1"/>
          <w:color w:val="auto"/>
        </w:rPr>
        <w:t>Voting of Stock</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Participants shall not be entitled to voting rights with respect to Units held in their Accounts.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8.7</w:t>
      </w:r>
      <w:r>
        <w:rPr>
          <w:sz w:val="20"/>
          <w:szCs w:val="20"/>
          <w:color w:val="auto"/>
        </w:rPr>
        <w:tab/>
      </w:r>
      <w:r>
        <w:rPr>
          <w:rFonts w:ascii="Times New Roman" w:cs="Times New Roman" w:eastAsia="Times New Roman" w:hAnsi="Times New Roman"/>
          <w:sz w:val="21"/>
          <w:szCs w:val="21"/>
          <w:b w:val="1"/>
          <w:bCs w:val="1"/>
          <w:color w:val="auto"/>
        </w:rPr>
        <w:t>Unsecured General Creditor</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Participants and their Beneficiaries, heirs, successors and assigns shall have no legal or equitable rights, interests or claims in any property or assets of the Company or of the Trust. For purposes of the payment of benefits under the Plan, any and all of the Company’s assets including any assets of the Trust shall be, and remain until paid, the general, unpledged, unrestricted assets of the Company. The Company’s obligation under the Plan shall consist solely of an unfunded and unsecured promise to pay money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12</w:t>
      </w:r>
    </w:p>
    <w:p>
      <w:pPr>
        <w:sectPr>
          <w:pgSz w:w="11900" w:h="16838" w:orient="portrait"/>
          <w:cols w:equalWidth="0" w:num="1">
            <w:col w:w="11420"/>
          </w:cols>
          <w:pgMar w:left="240" w:top="625" w:right="239" w:bottom="1440" w:gutter="0" w:footer="0" w:header="0"/>
        </w:sectPr>
      </w:pPr>
    </w:p>
    <w:bookmarkStart w:id="106" w:name="page107"/>
    <w:bookmarkEnd w:id="106"/>
    <w:p>
      <w:pPr>
        <w:ind w:left="5220"/>
        <w:spacing w:after="0"/>
        <w:rPr>
          <w:sz w:val="20"/>
          <w:szCs w:val="20"/>
          <w:color w:val="auto"/>
        </w:rPr>
      </w:pPr>
      <w:r>
        <w:rPr>
          <w:rFonts w:ascii="Times New Roman" w:cs="Times New Roman" w:eastAsia="Times New Roman" w:hAnsi="Times New Roman"/>
          <w:sz w:val="22"/>
          <w:szCs w:val="22"/>
          <w:b w:val="1"/>
          <w:bCs w:val="1"/>
          <w:color w:val="auto"/>
        </w:rPr>
        <w:t>IX.  GENERAL PROVISIONS</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No Right to Remain in Service</w:t>
      </w:r>
    </w:p>
    <w:p>
      <w:pPr>
        <w:spacing w:after="0" w:line="22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No Participant shall have any right to a benefit under the Plan except in accordance with the terms of the Plan. Establishment and continuance of the Plan shall not be construed to give any Participant the right to be retained in the service of the Company.</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Incompetency</w:t>
      </w:r>
    </w:p>
    <w:p>
      <w:pPr>
        <w:spacing w:after="0" w:line="22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If any person who may be eligible to receive a benefit under the Plan has been declared incompetent and a conservator or other person legally charged with the care of such person or of the estate of such person has been appointed, any benefit payable under the Plan that the person is eligible to receive shall be paid to such conservator or other person legally charged with the care of the person or such person’s estate. Except as provided above, when the Committee has determined that such a person is unable to manage such person’s affairs, the Committee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Corporate Changes</w:t>
      </w:r>
    </w:p>
    <w:p>
      <w:pPr>
        <w:spacing w:after="0" w:line="224"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The Plan shall not be automatically terminated by a transfer or sale of assets of the Company or by the merger or consolidation of the Company into or with any other corporation or other entity, but the Plan shall continue after such sale, merger or consolidation only if and to the extent that the transferee, purchaser or successor entity agrees to continue the Plan. In the event the Plan is not continued by the transferee, purchaser or successor entity, then the Plan shall terminate subject to the provisions of Article VII.</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Addresses</w:t>
      </w:r>
    </w:p>
    <w:p>
      <w:pPr>
        <w:spacing w:after="0" w:line="224" w:lineRule="exact"/>
        <w:rPr>
          <w:sz w:val="20"/>
          <w:szCs w:val="20"/>
          <w:color w:val="auto"/>
        </w:rPr>
      </w:pPr>
    </w:p>
    <w:p>
      <w:pPr>
        <w:ind w:right="680" w:firstLine="648"/>
        <w:spacing w:after="0" w:line="271" w:lineRule="auto"/>
        <w:rPr>
          <w:sz w:val="20"/>
          <w:szCs w:val="20"/>
          <w:color w:val="auto"/>
        </w:rPr>
      </w:pPr>
      <w:r>
        <w:rPr>
          <w:rFonts w:ascii="Times New Roman" w:cs="Times New Roman" w:eastAsia="Times New Roman" w:hAnsi="Times New Roman"/>
          <w:sz w:val="22"/>
          <w:szCs w:val="22"/>
          <w:color w:val="auto"/>
        </w:rPr>
        <w:t>Each Participant shall keep the Company informed of the Participant’s current address and the current address of the Participant’s Beneficiary. The Company shall not be obligated to search for any person.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Limitations on Liability</w:t>
      </w:r>
    </w:p>
    <w:p>
      <w:pPr>
        <w:spacing w:after="0" w:line="224" w:lineRule="exact"/>
        <w:rPr>
          <w:sz w:val="20"/>
          <w:szCs w:val="20"/>
          <w:color w:val="auto"/>
        </w:rPr>
      </w:pPr>
    </w:p>
    <w:p>
      <w:pPr>
        <w:ind w:right="380" w:firstLine="648"/>
        <w:spacing w:after="0" w:line="252" w:lineRule="auto"/>
        <w:rPr>
          <w:sz w:val="20"/>
          <w:szCs w:val="20"/>
          <w:color w:val="auto"/>
        </w:rPr>
      </w:pPr>
      <w:r>
        <w:rPr>
          <w:rFonts w:ascii="Times New Roman" w:cs="Times New Roman" w:eastAsia="Times New Roman" w:hAnsi="Times New Roman"/>
          <w:sz w:val="22"/>
          <w:szCs w:val="22"/>
          <w:color w:val="auto"/>
        </w:rPr>
        <w:t>Notwithstanding any of the provisions of the Plan to the contrary, neither the Company nor any individual acting as an employee or agent of the Company shall be liable to any Participant or any other person for any claim, loss, liability or expense incurred in connection with the Plan, unless attributable to fraud or willful misconduct on the part of the Company or any such employee or agent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13</w:t>
      </w:r>
    </w:p>
    <w:p>
      <w:pPr>
        <w:sectPr>
          <w:pgSz w:w="11900" w:h="16838" w:orient="portrait"/>
          <w:cols w:equalWidth="0" w:num="1">
            <w:col w:w="11400"/>
          </w:cols>
          <w:pgMar w:left="240" w:top="621" w:right="259" w:bottom="1440" w:gutter="0" w:footer="0" w:header="0"/>
        </w:sectPr>
      </w:pPr>
    </w:p>
    <w:bookmarkStart w:id="107" w:name="page108"/>
    <w:bookmarkEnd w:id="107"/>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Inspection</w:t>
      </w:r>
    </w:p>
    <w:p>
      <w:pPr>
        <w:spacing w:after="0" w:line="224"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Each Participant shall receive a copy of the Plan and the Company will make available for inspection by any Participant or designated Beneficiary a copy of any rules and regulations that are used by the Company in administering the Plan.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9.7</w:t>
      </w:r>
      <w:r>
        <w:rPr>
          <w:sz w:val="20"/>
          <w:szCs w:val="20"/>
          <w:color w:val="auto"/>
        </w:rPr>
        <w:tab/>
      </w:r>
      <w:r>
        <w:rPr>
          <w:rFonts w:ascii="Times New Roman" w:cs="Times New Roman" w:eastAsia="Times New Roman" w:hAnsi="Times New Roman"/>
          <w:sz w:val="21"/>
          <w:szCs w:val="21"/>
          <w:b w:val="1"/>
          <w:bCs w:val="1"/>
          <w:color w:val="auto"/>
        </w:rPr>
        <w:t>Singular and Plural</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when otherwise required by the context, any singular terminology shall include the plural.</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9.8</w:t>
      </w:r>
      <w:r>
        <w:rPr>
          <w:sz w:val="20"/>
          <w:szCs w:val="20"/>
          <w:color w:val="auto"/>
        </w:rPr>
        <w:tab/>
      </w:r>
      <w:r>
        <w:rPr>
          <w:rFonts w:ascii="Times New Roman" w:cs="Times New Roman" w:eastAsia="Times New Roman" w:hAnsi="Times New Roman"/>
          <w:sz w:val="21"/>
          <w:szCs w:val="21"/>
          <w:b w:val="1"/>
          <w:bCs w:val="1"/>
          <w:color w:val="auto"/>
        </w:rPr>
        <w:t>Severability</w:t>
      </w:r>
    </w:p>
    <w:p>
      <w:pPr>
        <w:spacing w:after="0" w:line="224"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9.9</w:t>
      </w:r>
      <w:r>
        <w:rPr>
          <w:sz w:val="20"/>
          <w:szCs w:val="20"/>
          <w:color w:val="auto"/>
        </w:rPr>
        <w:tab/>
      </w:r>
      <w:r>
        <w:rPr>
          <w:rFonts w:ascii="Times New Roman" w:cs="Times New Roman" w:eastAsia="Times New Roman" w:hAnsi="Times New Roman"/>
          <w:sz w:val="21"/>
          <w:szCs w:val="21"/>
          <w:b w:val="1"/>
          <w:bCs w:val="1"/>
          <w:color w:val="auto"/>
        </w:rPr>
        <w:t>Discharge of Obligations</w:t>
      </w:r>
    </w:p>
    <w:p>
      <w:pPr>
        <w:spacing w:after="0" w:line="224" w:lineRule="exact"/>
        <w:rPr>
          <w:sz w:val="20"/>
          <w:szCs w:val="20"/>
          <w:color w:val="auto"/>
        </w:rPr>
      </w:pPr>
    </w:p>
    <w:p>
      <w:pPr>
        <w:ind w:right="680" w:firstLine="648"/>
        <w:spacing w:after="0" w:line="295" w:lineRule="auto"/>
        <w:rPr>
          <w:sz w:val="20"/>
          <w:szCs w:val="20"/>
          <w:color w:val="auto"/>
        </w:rPr>
      </w:pPr>
      <w:r>
        <w:rPr>
          <w:rFonts w:ascii="Times New Roman" w:cs="Times New Roman" w:eastAsia="Times New Roman" w:hAnsi="Times New Roman"/>
          <w:sz w:val="21"/>
          <w:szCs w:val="21"/>
          <w:color w:val="auto"/>
        </w:rPr>
        <w:t>The payment of benefits under the Plan to a Participant or any Beneficiary shall fully and completely discharge the Company and the Committee from all further obligations under the Plan with respect to the Participant and any Beneficiary.</w:t>
      </w:r>
    </w:p>
    <w:p>
      <w:pPr>
        <w:spacing w:after="0" w:line="1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9.10</w:t>
      </w:r>
      <w:r>
        <w:rPr>
          <w:sz w:val="20"/>
          <w:szCs w:val="20"/>
          <w:color w:val="auto"/>
        </w:rPr>
        <w:tab/>
      </w:r>
      <w:r>
        <w:rPr>
          <w:rFonts w:ascii="Times New Roman" w:cs="Times New Roman" w:eastAsia="Times New Roman" w:hAnsi="Times New Roman"/>
          <w:sz w:val="21"/>
          <w:szCs w:val="21"/>
          <w:b w:val="1"/>
          <w:bCs w:val="1"/>
          <w:color w:val="auto"/>
        </w:rPr>
        <w:t>Governing Law</w:t>
      </w:r>
    </w:p>
    <w:p>
      <w:pPr>
        <w:spacing w:after="0" w:line="224"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1"/>
          <w:szCs w:val="21"/>
          <w:color w:val="auto"/>
        </w:rPr>
        <w:t>To the extent that it is not governed by United States federal law, the Plan shall be construed, administered and governed in all respects under and by the applicable laws of the State of Delaware, excluding any conflicts of law rule or principle that might otherwise refer construction or interpretation of the Plan or a deferral election to the substantive law of another jurisdiction.</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9.11</w:t>
      </w:r>
      <w:r>
        <w:rPr>
          <w:sz w:val="20"/>
          <w:szCs w:val="20"/>
          <w:color w:val="auto"/>
        </w:rPr>
        <w:tab/>
      </w:r>
      <w:r>
        <w:rPr>
          <w:rFonts w:ascii="Times New Roman" w:cs="Times New Roman" w:eastAsia="Times New Roman" w:hAnsi="Times New Roman"/>
          <w:sz w:val="21"/>
          <w:szCs w:val="21"/>
          <w:b w:val="1"/>
          <w:bCs w:val="1"/>
          <w:color w:val="auto"/>
        </w:rPr>
        <w:t>Successors</w:t>
      </w:r>
    </w:p>
    <w:p>
      <w:pPr>
        <w:spacing w:after="0" w:line="224" w:lineRule="exact"/>
        <w:rPr>
          <w:sz w:val="20"/>
          <w:szCs w:val="20"/>
          <w:color w:val="auto"/>
        </w:rPr>
      </w:pPr>
    </w:p>
    <w:p>
      <w:pPr>
        <w:ind w:right="740" w:firstLine="648"/>
        <w:spacing w:after="0" w:line="271" w:lineRule="auto"/>
        <w:rPr>
          <w:sz w:val="20"/>
          <w:szCs w:val="20"/>
          <w:color w:val="auto"/>
        </w:rPr>
      </w:pPr>
      <w:r>
        <w:rPr>
          <w:rFonts w:ascii="Times New Roman" w:cs="Times New Roman" w:eastAsia="Times New Roman" w:hAnsi="Times New Roman"/>
          <w:sz w:val="22"/>
          <w:szCs w:val="22"/>
          <w:color w:val="auto"/>
        </w:rPr>
        <w:t>The provisions of the Plan shall bind and inure to the benefit of the Company and its successors and assigns and the Participant and the Participant’s designated Beneficiaries.</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9.12</w:t>
      </w:r>
      <w:r>
        <w:rPr>
          <w:sz w:val="20"/>
          <w:szCs w:val="20"/>
          <w:color w:val="auto"/>
        </w:rPr>
        <w:tab/>
      </w:r>
      <w:r>
        <w:rPr>
          <w:rFonts w:ascii="Times New Roman" w:cs="Times New Roman" w:eastAsia="Times New Roman" w:hAnsi="Times New Roman"/>
          <w:sz w:val="21"/>
          <w:szCs w:val="21"/>
          <w:b w:val="1"/>
          <w:bCs w:val="1"/>
          <w:color w:val="auto"/>
        </w:rPr>
        <w:t>No Assurance of Tax Consequences</w:t>
      </w:r>
    </w:p>
    <w:p>
      <w:pPr>
        <w:spacing w:after="0" w:line="22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Neither the Company nor the Board nor any other person guarantees or assures a Participant or Beneficiary of any particular federal or state income tax, payroll tax or other tax consequence of participation in the Plan. A Participant should consult with professional tax advisors regarding all questions related to the tax consequences of participation.</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9.13</w:t>
      </w:r>
      <w:r>
        <w:rPr>
          <w:sz w:val="20"/>
          <w:szCs w:val="20"/>
          <w:color w:val="auto"/>
        </w:rPr>
        <w:tab/>
      </w:r>
      <w:r>
        <w:rPr>
          <w:rFonts w:ascii="Times New Roman" w:cs="Times New Roman" w:eastAsia="Times New Roman" w:hAnsi="Times New Roman"/>
          <w:sz w:val="21"/>
          <w:szCs w:val="21"/>
          <w:b w:val="1"/>
          <w:bCs w:val="1"/>
          <w:color w:val="auto"/>
        </w:rPr>
        <w:t>Code Section 409A</w:t>
      </w:r>
    </w:p>
    <w:p>
      <w:pPr>
        <w:spacing w:after="0" w:line="224"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The Plan is intended to comply with the requirements of Code Section 409A (including accompanying regulations and current IRS guidance) and conform to the current operation of the Plan. The terms of the Plan shall be interpreted, operated and administered in a manner consistent with this intention to the extent the Committee deems necessary to comply with Code Section 409A and any official guidance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PAGE 14</w:t>
      </w:r>
    </w:p>
    <w:p>
      <w:pPr>
        <w:sectPr>
          <w:pgSz w:w="11900" w:h="16838" w:orient="portrait"/>
          <w:cols w:equalWidth="0" w:num="1">
            <w:col w:w="11400"/>
          </w:cols>
          <w:pgMar w:left="240" w:top="621" w:right="259" w:bottom="1440" w:gutter="0" w:footer="0" w:header="0"/>
        </w:sectPr>
      </w:pPr>
    </w:p>
    <w:bookmarkStart w:id="108" w:name="page109"/>
    <w:bookmarkEnd w:id="108"/>
    <w:p>
      <w:pPr>
        <w:jc w:val="center"/>
        <w:ind w:right="159"/>
        <w:spacing w:after="0"/>
        <w:rPr>
          <w:sz w:val="20"/>
          <w:szCs w:val="20"/>
          <w:color w:val="auto"/>
        </w:rPr>
      </w:pPr>
      <w:r>
        <w:rPr>
          <w:rFonts w:ascii="Times New Roman" w:cs="Times New Roman" w:eastAsia="Times New Roman" w:hAnsi="Times New Roman"/>
          <w:sz w:val="21"/>
          <w:szCs w:val="21"/>
          <w:color w:val="auto"/>
        </w:rPr>
        <w:t>THE TORO COMPANY</w:t>
      </w:r>
    </w:p>
    <w:p>
      <w:pPr>
        <w:spacing w:after="0" w:line="200" w:lineRule="exact"/>
        <w:rPr>
          <w:sz w:val="20"/>
          <w:szCs w:val="20"/>
          <w:color w:val="auto"/>
        </w:rPr>
      </w:pPr>
    </w:p>
    <w:p>
      <w:pPr>
        <w:spacing w:after="0" w:line="328" w:lineRule="exact"/>
        <w:rPr>
          <w:sz w:val="20"/>
          <w:szCs w:val="20"/>
          <w:color w:val="auto"/>
        </w:rPr>
      </w:pPr>
    </w:p>
    <w:p>
      <w:pPr>
        <w:ind w:left="3340"/>
        <w:spacing w:after="0"/>
        <w:tabs>
          <w:tab w:leader="none" w:pos="3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-13970</wp:posOffset>
            </wp:positionV>
            <wp:extent cx="1165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_</w:t>
      </w:r>
      <w:r>
        <w:rPr>
          <w:rFonts w:ascii="Times New Roman" w:cs="Times New Roman" w:eastAsia="Times New Roman" w:hAnsi="Times New Roman"/>
          <w:sz w:val="22"/>
          <w:szCs w:val="22"/>
          <w:u w:val="single" w:color="auto"/>
          <w:color w:val="auto"/>
        </w:rPr>
        <w:t>Amy E. Dahl</w:t>
      </w:r>
      <w:r>
        <w:rPr>
          <w:rFonts w:ascii="Times New Roman" w:cs="Times New Roman" w:eastAsia="Times New Roman" w:hAnsi="Times New Roman"/>
          <w:sz w:val="22"/>
          <w:szCs w:val="22"/>
          <w:color w:val="auto"/>
        </w:rPr>
        <w:t>_________________</w:t>
      </w:r>
    </w:p>
    <w:p>
      <w:pPr>
        <w:spacing w:after="0" w:line="200" w:lineRule="exact"/>
        <w:rPr>
          <w:sz w:val="20"/>
          <w:szCs w:val="20"/>
          <w:color w:val="auto"/>
        </w:rPr>
      </w:pPr>
    </w:p>
    <w:p>
      <w:pPr>
        <w:spacing w:after="0" w:line="31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Title: 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2416810</wp:posOffset>
            </wp:positionH>
            <wp:positionV relativeFrom="paragraph">
              <wp:posOffset>-13970</wp:posOffset>
            </wp:positionV>
            <wp:extent cx="20377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3771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3"/>
          <w:szCs w:val="13"/>
          <w:color w:val="auto"/>
        </w:rPr>
        <w:t>PAGE 15</w:t>
      </w:r>
    </w:p>
    <w:p>
      <w:pPr>
        <w:sectPr>
          <w:pgSz w:w="11900" w:h="16838" w:orient="portrait"/>
          <w:cols w:equalWidth="0" w:num="1">
            <w:col w:w="9019"/>
          </w:cols>
          <w:pgMar w:left="1440" w:top="625" w:right="1440"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2017</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159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2017</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159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11" w:name="page112"/>
    <w:bookmarkEnd w:id="1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ind w:left="1062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The Toro Company (the “Company”) on Form 10-Q for the quarterly period ended February 3, 2017 as filed with the Securities and Exchange Commission on the date hereof (the “Report”), we, Richard M. Olson,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159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8,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159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8, 2017</w:t>
      </w: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lvl w:ilvl="1">
      <w:lvlJc w:val="left"/>
      <w:lvlText w:val="(%2)"/>
      <w:numFmt w:val="lowerRoman"/>
      <w:start w:val="2"/>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32"/>
    </w:lvl>
  </w:abstractNum>
  <w:abstractNum w:abstractNumId="8">
    <w:nsid w:val="5577F8E1"/>
    <w:multiLevelType w:val="hybridMultilevel"/>
    <w:lvl w:ilvl="0">
      <w:lvlJc w:val="left"/>
      <w:lvlText w:val="%1"/>
      <w:numFmt w:val="decimal"/>
      <w:start w:val="1"/>
    </w:lvl>
    <w:lvl w:ilvl="1">
      <w:lvlJc w:val="left"/>
      <w:lvlText w:val="%2"/>
      <w:numFmt w:val="decimal"/>
      <w:start w:val="101"/>
    </w:lvl>
    <w:lvl w:ilvl="2">
      <w:lvlJc w:val="left"/>
      <w:lvlText w:val="(%3)"/>
      <w:numFmt w:val="lowerRoman"/>
      <w:start w:val="1"/>
    </w:lvl>
  </w:abstractNum>
  <w:abstractNum w:abstractNumId="9">
    <w:nsid w:val="440BADFC"/>
    <w:multiLevelType w:val="hybridMultilevel"/>
    <w:lvl w:ilvl="0">
      <w:lvlJc w:val="left"/>
      <w:lvlText w:val="%1"/>
      <w:numFmt w:val="decimal"/>
      <w:start w:val="1"/>
    </w:lvl>
    <w:lvl w:ilvl="1">
      <w:lvlJc w:val="left"/>
      <w:lvlText w:val="%2"/>
      <w:numFmt w:val="decimal"/>
      <w:start w:val="1"/>
    </w:lvl>
    <w:lvl w:ilvl="2">
      <w:lvlJc w:val="left"/>
      <w:lvlText w:val="(%3)"/>
      <w:numFmt w:val="lowerRoman"/>
      <w:start w:val="4"/>
    </w:lvl>
  </w:abstractNum>
  <w:abstractNum w:abstractNumId="10">
    <w:nsid w:val="5072367"/>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upperLetter"/>
      <w:start w:val="9"/>
    </w:lvl>
  </w:abstractNum>
  <w:abstractNum w:abstractNumId="13">
    <w:nsid w:val="7724C67E"/>
    <w:multiLevelType w:val="hybridMultilevel"/>
    <w:lvl w:ilvl="0">
      <w:lvlJc w:val="left"/>
      <w:lvlText w:val="%1"/>
      <w:numFmt w:val="lowerLetter"/>
      <w:start w:val="1"/>
    </w:lvl>
    <w:lvl w:ilvl="1">
      <w:lvlJc w:val="left"/>
      <w:lvlText w:val="(%2)"/>
      <w:numFmt w:val="lowerLetter"/>
      <w:start w:val="1"/>
    </w:lvl>
  </w:abstractNum>
  <w:abstractNum w:abstractNumId="14">
    <w:nsid w:val="5C482A97"/>
    <w:multiLevelType w:val="hybridMultilevel"/>
    <w:lvl w:ilvl="0">
      <w:lvlJc w:val="left"/>
      <w:lvlText w:val="(%1)"/>
      <w:numFmt w:val="lowerLetter"/>
      <w:start w:val="35"/>
    </w:lvl>
    <w:lvl w:ilvl="1">
      <w:lvlJc w:val="left"/>
      <w:lvlText w:val="(%2)"/>
      <w:numFmt w:val="lowerLetter"/>
      <w:start w:val="2"/>
    </w:lvl>
  </w:abstractNum>
  <w:abstractNum w:abstractNumId="15">
    <w:nsid w:val="2463B9EA"/>
    <w:multiLevelType w:val="hybridMultilevel"/>
    <w:lvl w:ilvl="0">
      <w:lvlJc w:val="left"/>
      <w:lvlText w:val="(%1)"/>
      <w:numFmt w:val="lowerLetter"/>
      <w:start w:val="1"/>
    </w:lvl>
    <w:lvl w:ilvl="1">
      <w:lvlJc w:val="left"/>
      <w:lvlText w:val="(%2)"/>
      <w:numFmt w:val="lowerLetter"/>
      <w:start w:val="2"/>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Letter"/>
      <w:start w:val="2"/>
    </w:lvl>
    <w:lvl w:ilvl="1">
      <w:lvlJc w:val="left"/>
      <w:lvlText w:val="(%2)"/>
      <w:numFmt w:val="lowerRoman"/>
      <w:start w:val="1"/>
    </w:lvl>
  </w:abstractNum>
  <w:abstractNum w:abstractNumId="19">
    <w:nsid w:val="580BD78F"/>
    <w:multiLevelType w:val="hybridMultilevel"/>
    <w:lvl w:ilvl="0">
      <w:lvlJc w:val="left"/>
      <w:lvlText w:val="(%1)"/>
      <w:numFmt w:val="lowerLetter"/>
      <w:start w:val="3"/>
    </w:lvl>
    <w:lvl w:ilvl="1">
      <w:lvlJc w:val="left"/>
      <w:lvlText w:val="(%2)"/>
      <w:numFmt w:val="lowerRoman"/>
      <w:start w:val="1"/>
    </w:lvl>
  </w:abstractNum>
  <w:abstractNum w:abstractNumId="20">
    <w:nsid w:val="153EA438"/>
    <w:multiLevelType w:val="hybridMultilevel"/>
    <w:lvl w:ilvl="0">
      <w:lvlJc w:val="left"/>
      <w:lvlText w:val="(%1)"/>
      <w:numFmt w:val="lowerLetter"/>
      <w:start w:val="4"/>
    </w:lvl>
  </w:abstractNum>
  <w:abstractNum w:abstractNumId="21">
    <w:nsid w:val="3855585C"/>
    <w:multiLevelType w:val="hybridMultilevel"/>
    <w:lvl w:ilvl="0">
      <w:lvlJc w:val="left"/>
      <w:lvlText w:val="%1"/>
      <w:numFmt w:val="upperLetter"/>
      <w:start w:val="61"/>
    </w:lvl>
  </w:abstractNum>
  <w:abstractNum w:abstractNumId="22">
    <w:nsid w:val="70A64E2A"/>
    <w:multiLevelType w:val="hybridMultilevel"/>
    <w:lvl w:ilvl="0">
      <w:lvlJc w:val="left"/>
      <w:lvlText w:val="%1"/>
      <w:numFmt w:val="lowerLetter"/>
      <w:start w:val="1"/>
    </w:lvl>
    <w:lvl w:ilvl="1">
      <w:lvlJc w:val="left"/>
      <w:lvlText w:val="(%2)"/>
      <w:numFmt w:val="lowerLetter"/>
      <w:start w:val="1"/>
    </w:lvl>
  </w:abstractNum>
  <w:abstractNum w:abstractNumId="23">
    <w:nsid w:val="6A2342EC"/>
    <w:multiLevelType w:val="hybridMultilevel"/>
    <w:lvl w:ilvl="0">
      <w:lvlJc w:val="left"/>
      <w:lvlText w:val="(%1)"/>
      <w:numFmt w:val="lowerLetter"/>
      <w:start w:val="35"/>
    </w:lvl>
    <w:lvl w:ilvl="1">
      <w:lvlJc w:val="left"/>
      <w:lvlText w:val="(%2)"/>
      <w:numFmt w:val="lowerLetter"/>
      <w:start w:val="2"/>
    </w:lvl>
  </w:abstractNum>
  <w:abstractNum w:abstractNumId="24">
    <w:nsid w:val="2A487CB0"/>
    <w:multiLevelType w:val="hybridMultilevel"/>
    <w:lvl w:ilvl="0">
      <w:lvlJc w:val="left"/>
      <w:lvlText w:val="(%1)"/>
      <w:numFmt w:val="lowerLetter"/>
      <w:start w:val="1"/>
    </w:lvl>
    <w:lvl w:ilvl="1">
      <w:lvlJc w:val="left"/>
      <w:lvlText w:val="%2."/>
      <w:numFmt w:val="upperLetter"/>
      <w:start w:val="61"/>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lowerLetter"/>
      <w:start w:val="2"/>
    </w:lvl>
    <w:lvl w:ilvl="1">
      <w:lvlJc w:val="left"/>
      <w:lvlText w:val="(%2)"/>
      <w:numFmt w:val="lowerRoman"/>
      <w:start w:val="1"/>
    </w:lvl>
  </w:abstractNum>
  <w:abstractNum w:abstractNumId="32">
    <w:nsid w:val="6DE91B18"/>
    <w:multiLevelType w:val="hybridMultilevel"/>
    <w:lvl w:ilvl="0">
      <w:lvlJc w:val="left"/>
      <w:lvlText w:val="(%1)"/>
      <w:numFmt w:val="lowerLetter"/>
      <w:start w:val="4"/>
    </w:lvl>
  </w:abstractNum>
  <w:abstractNum w:abstractNumId="33">
    <w:nsid w:val="38437FDB"/>
    <w:multiLevelType w:val="hybridMultilevel"/>
    <w:lvl w:ilvl="0">
      <w:lvlJc w:val="left"/>
      <w:lvlText w:val="%1"/>
      <w:numFmt w:val="lowerLetter"/>
      <w:start w:val="1"/>
    </w:lvl>
    <w:lvl w:ilvl="1">
      <w:lvlJc w:val="left"/>
      <w:lvlText w:val="(%2)"/>
      <w:numFmt w:val="lowerLetter"/>
      <w:start w:val="1"/>
    </w:lvl>
  </w:abstractNum>
  <w:abstractNum w:abstractNumId="34">
    <w:nsid w:val="7644A45C"/>
    <w:multiLevelType w:val="hybridMultilevel"/>
    <w:lvl w:ilvl="0">
      <w:lvlJc w:val="left"/>
      <w:lvlText w:val="(%1)"/>
      <w:numFmt w:val="lowerLetter"/>
      <w:start w:val="35"/>
    </w:lvl>
    <w:lvl w:ilvl="1">
      <w:lvlJc w:val="left"/>
      <w:lvlText w:val="(%2)"/>
      <w:numFmt w:val="lowerLetter"/>
      <w:start w:val="2"/>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3"/>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3"/>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2"/>
    </w:lvl>
    <w:lvl w:ilvl="1">
      <w:lvlJc w:val="left"/>
      <w:lvlText w:val="(%2)"/>
      <w:numFmt w:val="lowerRoman"/>
      <w:start w:val="1"/>
    </w:lvl>
  </w:abstractNum>
  <w:abstractNum w:abstractNumId="46">
    <w:nsid w:val="374A3FE6"/>
    <w:multiLevelType w:val="hybridMultilevel"/>
    <w:lvl w:ilvl="0">
      <w:lvlJc w:val="left"/>
      <w:lvlText w:val="(%1)"/>
      <w:numFmt w:val="lowerLetter"/>
      <w:start w:val="4"/>
    </w:lvl>
  </w:abstractNum>
  <w:abstractNum w:abstractNumId="47">
    <w:nsid w:val="4F4EF005"/>
    <w:multiLevelType w:val="hybridMultilevel"/>
    <w:lvl w:ilvl="0">
      <w:lvlJc w:val="left"/>
      <w:lvlText w:val="%1"/>
      <w:numFmt w:val="lowerLetter"/>
      <w:start w:val="1"/>
    </w:lvl>
    <w:lvl w:ilvl="1">
      <w:lvlJc w:val="left"/>
      <w:lvlText w:val="(%2)"/>
      <w:numFmt w:val="lowerLetter"/>
      <w:start w:val="1"/>
    </w:lvl>
  </w:abstractNum>
  <w:abstractNum w:abstractNumId="48">
    <w:nsid w:val="23F9C13C"/>
    <w:multiLevelType w:val="hybridMultilevel"/>
    <w:lvl w:ilvl="0">
      <w:lvlJc w:val="left"/>
      <w:lvlText w:val="(%1)"/>
      <w:numFmt w:val="lowerLetter"/>
      <w:start w:val="35"/>
    </w:lvl>
    <w:lvl w:ilvl="1">
      <w:lvlJc w:val="left"/>
      <w:lvlText w:val="(%2)"/>
      <w:numFmt w:val="lowerLetter"/>
      <w:start w:val="2"/>
    </w:lvl>
  </w:abstractNum>
  <w:abstractNum w:abstractNumId="49">
    <w:nsid w:val="649BB77C"/>
    <w:multiLevelType w:val="hybridMultilevel"/>
    <w:lvl w:ilvl="0">
      <w:lvlJc w:val="left"/>
      <w:lvlText w:val="(%1)"/>
      <w:numFmt w:val="lowerLetter"/>
      <w:start w:val="1"/>
    </w:lvl>
    <w:lvl w:ilvl="1">
      <w:lvlJc w:val="left"/>
      <w:lvlText w:val="%2."/>
      <w:numFmt w:val="upperLetter"/>
      <w:start w:val="6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2"/>
    </w:lvl>
  </w:abstractNum>
  <w:abstractNum w:abstractNumId="52">
    <w:nsid w:val="1CF10FD8"/>
    <w:multiLevelType w:val="hybridMultilevel"/>
    <w:lvl w:ilvl="0">
      <w:lvlJc w:val="left"/>
      <w:lvlText w:val="(%1)"/>
      <w:numFmt w:val="lowerLetter"/>
      <w:start w:val="4"/>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4"/>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3"/>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2019-12-29T08:52:09Z</dcterms:created>
  <dcterms:modified xsi:type="dcterms:W3CDTF">2019-12-29T08:52:09Z</dcterms:modified>
</cp:coreProperties>
</file>