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80" w:hanging="509"/>
        <w:spacing w:after="0"/>
        <w:tabs>
          <w:tab w:leader="none" w:pos="8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20" w:hanging="549"/>
        <w:spacing w:after="0"/>
        <w:tabs>
          <w:tab w:leader="none" w:pos="9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Attn: Director, Total Rewards &amp; HR Services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60" w:type="dxa"/>
            <w:vAlign w:val="bottom"/>
            <w:gridSpan w:val="3"/>
          </w:tcPr>
          <w:p>
            <w:pPr>
              <w:jc w:val="center"/>
              <w:ind w:right="4340"/>
              <w:spacing w:after="0"/>
              <w:rPr>
                <w:sz w:val="20"/>
                <w:szCs w:val="20"/>
                <w:color w:val="auto"/>
              </w:rPr>
            </w:pPr>
            <w:r>
              <w:rPr>
                <w:rFonts w:ascii="Arial" w:cs="Arial" w:eastAsia="Arial" w:hAnsi="Arial"/>
                <w:sz w:val="18"/>
                <w:szCs w:val="18"/>
                <w:color w:val="auto"/>
                <w:w w:val="89"/>
              </w:rPr>
              <w:t>Financial Statements</w:t>
            </w:r>
          </w:p>
        </w:tc>
      </w:tr>
      <w:tr>
        <w:trPr>
          <w:trHeight w:val="432"/>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60" w:type="dxa"/>
            <w:vAlign w:val="bottom"/>
            <w:gridSpan w:val="3"/>
          </w:tcPr>
          <w:p>
            <w:pPr>
              <w:jc w:val="center"/>
              <w:ind w:right="4320"/>
              <w:spacing w:after="0"/>
              <w:rPr>
                <w:sz w:val="20"/>
                <w:szCs w:val="20"/>
                <w:color w:val="auto"/>
              </w:rPr>
            </w:pPr>
            <w:r>
              <w:rPr>
                <w:rFonts w:ascii="Arial" w:cs="Arial" w:eastAsia="Arial" w:hAnsi="Arial"/>
                <w:sz w:val="18"/>
                <w:szCs w:val="18"/>
                <w:color w:val="auto"/>
                <w:w w:val="89"/>
              </w:rPr>
              <w:t>December 31, 2014 and 2013</w:t>
            </w:r>
          </w:p>
        </w:tc>
      </w:tr>
      <w:tr>
        <w:trPr>
          <w:trHeight w:val="348"/>
        </w:trPr>
        <w:tc>
          <w:tcPr>
            <w:tcW w:w="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6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430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6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89"/>
              </w:rPr>
              <w:t>Table of Contents</w:t>
            </w:r>
          </w:p>
        </w:tc>
      </w:tr>
      <w:tr>
        <w:trPr>
          <w:trHeight w:val="365"/>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43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71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7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r>
      <w:tr>
        <w:trPr>
          <w:trHeight w:val="412"/>
        </w:trPr>
        <w:tc>
          <w:tcPr>
            <w:tcW w:w="43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71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43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Notes to Financial Statements</w:t>
              </w:r>
            </w:hyperlink>
          </w:p>
        </w:tc>
        <w:tc>
          <w:tcPr>
            <w:tcW w:w="71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2160" w:type="dxa"/>
            <w:vAlign w:val="bottom"/>
            <w:tcBorders>
              <w:top w:val="single" w:sz="8" w:color="0000EE"/>
            </w:tcBorders>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Signature</w:t>
              </w:r>
            </w:hyperlink>
          </w:p>
        </w:tc>
        <w:tc>
          <w:tcPr>
            <w:tcW w:w="2140" w:type="dxa"/>
            <w:vAlign w:val="bottom"/>
            <w:gridSpan w:val="2"/>
          </w:tcPr>
          <w:p>
            <w:pPr>
              <w:spacing w:after="0"/>
              <w:rPr>
                <w:sz w:val="24"/>
                <w:szCs w:val="24"/>
                <w:color w:val="auto"/>
              </w:rPr>
            </w:pPr>
          </w:p>
        </w:tc>
        <w:tc>
          <w:tcPr>
            <w:tcW w:w="71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368"/>
        </w:trPr>
        <w:tc>
          <w:tcPr>
            <w:tcW w:w="700" w:type="dxa"/>
            <w:vAlign w:val="bottom"/>
            <w:tcBorders>
              <w:top w:val="single" w:sz="8" w:color="0000EE"/>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6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-2233295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-2233295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ectPr>
          <w:pgSz w:w="11900" w:h="16838" w:orient="portrait"/>
          <w:cols w:equalWidth="0" w:num="1">
            <w:col w:w="11460"/>
          </w:cols>
          <w:pgMar w:left="240" w:top="233" w:right="19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 the Toro Company Master Trust Fund</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3,985,274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4,050,620</w:t>
            </w: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Employee contribution receivable</w:t>
            </w:r>
          </w:p>
        </w:tc>
        <w:tc>
          <w:tcPr>
            <w:tcW w:w="9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3,395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3,109</w:t>
            </w: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 receivable</w:t>
            </w:r>
          </w:p>
        </w:tc>
        <w:tc>
          <w:tcPr>
            <w:tcW w:w="9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w:t>
            </w:r>
          </w:p>
        </w:tc>
      </w:tr>
      <w:tr>
        <w:trPr>
          <w:trHeight w:val="210"/>
        </w:trPr>
        <w:tc>
          <w:tcPr>
            <w:tcW w:w="73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receivables</w:t>
            </w:r>
          </w:p>
        </w:tc>
        <w:tc>
          <w:tcPr>
            <w:tcW w:w="9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tcPr>
          <w:p>
            <w:pPr>
              <w:spacing w:after="0"/>
              <w:rPr>
                <w:sz w:val="18"/>
                <w:szCs w:val="18"/>
                <w:color w:val="auto"/>
              </w:rPr>
            </w:pPr>
          </w:p>
        </w:tc>
      </w:tr>
      <w:tr>
        <w:trPr>
          <w:trHeight w:val="210"/>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 before adjustment at fair value</w:t>
            </w: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3,990,407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4,055,171</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9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(2,128)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(1,953)</w:t>
            </w:r>
          </w:p>
        </w:tc>
      </w:tr>
      <w:tr>
        <w:trPr>
          <w:trHeight w:val="210"/>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3,988,279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1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194,274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1,015,369</w:t>
            </w:r>
          </w:p>
        </w:tc>
      </w:tr>
      <w:tr>
        <w:trPr>
          <w:trHeight w:val="210"/>
        </w:trPr>
        <w:tc>
          <w:tcPr>
            <w:tcW w:w="70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investment income</w:t>
            </w:r>
          </w:p>
        </w:tc>
        <w:tc>
          <w:tcPr>
            <w:tcW w:w="12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194,274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1,015,369</w:t>
            </w: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59,757</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Employee contributions</w:t>
            </w:r>
          </w:p>
        </w:tc>
        <w:tc>
          <w:tcPr>
            <w:tcW w:w="1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143,753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129,811</w:t>
            </w:r>
          </w:p>
        </w:tc>
      </w:tr>
      <w:tr>
        <w:trPr>
          <w:trHeight w:val="210"/>
        </w:trPr>
        <w:tc>
          <w:tcPr>
            <w:tcW w:w="70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contributions</w:t>
            </w:r>
          </w:p>
        </w:tc>
        <w:tc>
          <w:tcPr>
            <w:tcW w:w="1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199,159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40" w:type="dxa"/>
            <w:vAlign w:val="bottom"/>
          </w:tcPr>
          <w:p>
            <w:pPr>
              <w:ind w:left="540"/>
              <w:spacing w:after="0"/>
              <w:rPr>
                <w:sz w:val="20"/>
                <w:szCs w:val="20"/>
                <w:color w:val="auto"/>
              </w:rPr>
            </w:pPr>
            <w:r>
              <w:rPr>
                <w:rFonts w:ascii="Arial" w:cs="Arial" w:eastAsia="Arial" w:hAnsi="Arial"/>
                <w:sz w:val="18"/>
                <w:szCs w:val="18"/>
                <w:color w:val="auto"/>
              </w:rPr>
              <w:t>Total additions to net assets</w:t>
            </w:r>
          </w:p>
        </w:tc>
        <w:tc>
          <w:tcPr>
            <w:tcW w:w="1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393,433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1,204,937</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Benefit payments</w:t>
            </w:r>
          </w:p>
        </w:tc>
        <w:tc>
          <w:tcPr>
            <w:tcW w:w="1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(458,372)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(375,930)</w:t>
            </w:r>
          </w:p>
        </w:tc>
      </w:tr>
      <w:tr>
        <w:trPr>
          <w:trHeight w:val="210"/>
        </w:trPr>
        <w:tc>
          <w:tcPr>
            <w:tcW w:w="70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deductions from net assets</w:t>
            </w:r>
          </w:p>
        </w:tc>
        <w:tc>
          <w:tcPr>
            <w:tcW w:w="1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(458,372)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40" w:type="dxa"/>
            <w:vAlign w:val="bottom"/>
          </w:tcPr>
          <w:p>
            <w:pPr>
              <w:ind w:left="540"/>
              <w:spacing w:after="0"/>
              <w:rPr>
                <w:sz w:val="20"/>
                <w:szCs w:val="20"/>
                <w:color w:val="auto"/>
              </w:rPr>
            </w:pPr>
            <w:r>
              <w:rPr>
                <w:rFonts w:ascii="Arial" w:cs="Arial" w:eastAsia="Arial" w:hAnsi="Arial"/>
                <w:sz w:val="18"/>
                <w:szCs w:val="18"/>
                <w:color w:val="auto"/>
              </w:rPr>
              <w:t>Net increase in net assets available for benefits</w:t>
            </w:r>
          </w:p>
        </w:tc>
        <w:tc>
          <w:tcPr>
            <w:tcW w:w="1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(64,939)</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829,007</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Beginning of year</w:t>
            </w:r>
          </w:p>
        </w:tc>
        <w:tc>
          <w:tcPr>
            <w:tcW w:w="1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4,053,218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3,224,211</w:t>
            </w:r>
          </w:p>
        </w:tc>
      </w:tr>
      <w:tr>
        <w:trPr>
          <w:trHeight w:val="210"/>
        </w:trPr>
        <w:tc>
          <w:tcPr>
            <w:tcW w:w="7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126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3,988,279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2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8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following description of The Toro Company Profit-Sharing Plan for Plymouth Union Employees (the Plan) is provided for general information purposes only. Participants should refer to the Plan document amended and restated as of January 1, 2009 for more complete information as it relates to calendar years prior to 2012. The Plan document was amended and restated effective January 1, 2012 as part of the regular five-year cycle of amendments and restatements. The plan is subject to certain provisions of the Employee Retirement Security Act of 1974, as amended (ERISA).</w:t>
      </w:r>
    </w:p>
    <w:p>
      <w:pPr>
        <w:spacing w:after="0" w:line="154" w:lineRule="exact"/>
        <w:rPr>
          <w:rFonts w:ascii="Arial" w:cs="Arial" w:eastAsia="Arial" w:hAnsi="Arial"/>
          <w:sz w:val="18"/>
          <w:szCs w:val="18"/>
          <w:b w:val="1"/>
          <w:bCs w:val="1"/>
          <w:color w:val="auto"/>
        </w:rPr>
      </w:pPr>
    </w:p>
    <w:p>
      <w:pPr>
        <w:ind w:left="58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Employees are eligible to contribute to the Plan after they have completed 180 consecutive days of employment or one year of eligibility service and must be a member of a collective bargaining unit. Employee contributions to the Plan consist of salary reduction elections under a 401(k) feature, voluntary after tax contributions, and rollover funds from other qualified plans. Participants are fully vested in the entire balance of their individual accounts attributable to those contributions. The Toro Company (the Company), at its discretion, may make matching contributions. Participants are eligible for matching contributions the first of the month following completion of one year of qualifying service with the Company. Company contributions, together with the income attributable thereto, vest at a rate of 20% after one year of vesting service, with an additional 20% being</w:t>
      </w:r>
    </w:p>
    <w:p>
      <w:pPr>
        <w:sectPr>
          <w:pgSz w:w="11900" w:h="16838" w:orient="portrait"/>
          <w:cols w:equalWidth="0" w:num="1">
            <w:col w:w="11420"/>
          </w:cols>
          <w:pgMar w:left="240" w:top="121" w:right="239" w:bottom="0" w:gutter="0" w:footer="0" w:header="0"/>
        </w:sectPr>
      </w:pPr>
    </w:p>
    <w:bookmarkStart w:id="2" w:name="page3"/>
    <w:bookmarkEnd w:id="2"/>
    <w:p>
      <w:pPr>
        <w:spacing w:after="0" w:line="13"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accumulated annually thereafter until the participant is 100% vested. All contributions under the Plan are made to a trust that holds all of the assets of the Plan.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investments of employee and employer contributions are selected by the participants.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par value $1.00 per share, of the Company (Common Stock), a withdrawal or distribution can be in the form of Common Stock or cash.</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Forfeited amounts from nonvested accounts totaled $0 and $275 during the Plan years ended December 31, 2014 and 2013, respectively.</w:t>
      </w:r>
    </w:p>
    <w:p>
      <w:pPr>
        <w:spacing w:after="0" w:line="237"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Company (the administrator of the Plan) designs, manufactures, and markets professional turf maintenance equipment and services, turf irrigation systems, agricultural micro-irrigation systems, landscaping equipment and lighting, underground utility equipment, concrete and hardscape equipment, and residential yard and snow removal products. The Company absorbs all administrative costs of the Plan, with the exception of investment management fees, which are netted against investment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 and 2013</w:t>
      </w:r>
    </w:p>
    <w:p>
      <w:pPr>
        <w:spacing w:after="0" w:line="22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rFonts w:ascii="Arial" w:cs="Arial" w:eastAsia="Arial" w:hAnsi="Arial"/>
          <w:sz w:val="18"/>
          <w:szCs w:val="18"/>
          <w:b w:val="1"/>
          <w:bCs w:val="1"/>
          <w:i w:val="1"/>
          <w:iCs w:val="1"/>
          <w:color w:val="auto"/>
        </w:rPr>
      </w:pPr>
    </w:p>
    <w:p>
      <w:pPr>
        <w:ind w:left="980" w:right="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financial statements of the Plan are presented in accordance with U.S. generally accepted accounting principles (U.S. GAAP). The accounting records of the Plan are maintained on the accrual basis. The accompanying financial statements have not been audited, as an audit is not required under the applicable ERISA rules.</w:t>
      </w:r>
    </w:p>
    <w:p>
      <w:pPr>
        <w:spacing w:after="0" w:line="181"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25" w:lineRule="exact"/>
        <w:rPr>
          <w:rFonts w:ascii="Arial" w:cs="Arial" w:eastAsia="Arial" w:hAnsi="Arial"/>
          <w:sz w:val="18"/>
          <w:szCs w:val="18"/>
          <w:b w:val="1"/>
          <w:bCs w:val="1"/>
          <w:i w:val="1"/>
          <w:iCs w:val="1"/>
          <w:color w:val="auto"/>
        </w:rPr>
      </w:pPr>
    </w:p>
    <w:p>
      <w:pPr>
        <w:ind w:left="980" w:right="8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58" w:lineRule="exact"/>
        <w:rPr>
          <w:rFonts w:ascii="Arial" w:cs="Arial" w:eastAsia="Arial" w:hAnsi="Arial"/>
          <w:sz w:val="18"/>
          <w:szCs w:val="18"/>
          <w:b w:val="1"/>
          <w:bCs w:val="1"/>
          <w:i w:val="1"/>
          <w:iCs w:val="1"/>
          <w:color w:val="auto"/>
        </w:rPr>
      </w:pPr>
    </w:p>
    <w:p>
      <w:pPr>
        <w:ind w:left="980" w:right="8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maintains one Master Trust for two profit sharing and retirement plans that are sponsored by the Company. The two plans are the Plan and The Toro Company Investment, Savings, and Employee Stock Ownership Plan.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72" w:lineRule="exact"/>
        <w:rPr>
          <w:rFonts w:ascii="Arial" w:cs="Arial" w:eastAsia="Arial" w:hAnsi="Arial"/>
          <w:sz w:val="18"/>
          <w:szCs w:val="18"/>
          <w:b w:val="1"/>
          <w:bCs w:val="1"/>
          <w:i w:val="1"/>
          <w:iCs w:val="1"/>
          <w:color w:val="auto"/>
        </w:rPr>
      </w:pPr>
    </w:p>
    <w:p>
      <w:pPr>
        <w:jc w:val="both"/>
        <w:ind w:left="980" w:right="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1% as of each of December 31, 2014 and 2013.</w:t>
      </w:r>
    </w:p>
    <w:p>
      <w:pPr>
        <w:spacing w:after="0" w:line="181"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rFonts w:ascii="Arial" w:cs="Arial" w:eastAsia="Arial" w:hAnsi="Arial"/>
          <w:sz w:val="18"/>
          <w:szCs w:val="18"/>
          <w:b w:val="1"/>
          <w:bCs w:val="1"/>
          <w:i w:val="1"/>
          <w:iCs w:val="1"/>
          <w:color w:val="auto"/>
        </w:rPr>
      </w:pPr>
    </w:p>
    <w:p>
      <w:pPr>
        <w:ind w:left="980" w:right="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186"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25" w:lineRule="exact"/>
        <w:rPr>
          <w:rFonts w:ascii="Arial" w:cs="Arial" w:eastAsia="Arial" w:hAnsi="Arial"/>
          <w:sz w:val="18"/>
          <w:szCs w:val="18"/>
          <w:b w:val="1"/>
          <w:bCs w:val="1"/>
          <w:i w:val="1"/>
          <w:iCs w:val="1"/>
          <w:color w:val="auto"/>
        </w:rPr>
      </w:pPr>
    </w:p>
    <w:p>
      <w:pPr>
        <w:ind w:left="980" w:right="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 of net assets available for benefits.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3" w:name="page4"/>
    <w:bookmarkEnd w:id="3"/>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 and 2013</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assets held by the Master Trust include Common Stock. At December 31, 2014 and 2013, approximately 37% and 39%, respectively, of the investments of the Master Trust were invested in Common Stock. The underlying value of the Common Stock is entirely dependent upon the performance of the Company and the market’s evaluation of such performance and other factors.</w:t>
      </w:r>
    </w:p>
    <w:p>
      <w:pPr>
        <w:spacing w:after="0" w:line="181" w:lineRule="exact"/>
        <w:rPr>
          <w:sz w:val="20"/>
          <w:szCs w:val="20"/>
          <w:color w:val="auto"/>
        </w:rPr>
      </w:pPr>
    </w:p>
    <w:p>
      <w:pPr>
        <w:ind w:left="580"/>
        <w:spacing w:after="0"/>
        <w:tabs>
          <w:tab w:leader="none" w:pos="90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Fully Benefit-Responsive Investment Contracts</w:t>
      </w:r>
    </w:p>
    <w:p>
      <w:pPr>
        <w:spacing w:after="0" w:line="225"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The Plan indirectly invests in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Return Fund G at December 31, 2014 and Wells Fargo Stable Value Fund E at December 31, 2013 was 1.40% and 1.36%, respectively.</w:t>
      </w:r>
    </w:p>
    <w:p>
      <w:pPr>
        <w:spacing w:after="0" w:line="193" w:lineRule="exact"/>
        <w:rPr>
          <w:sz w:val="20"/>
          <w:szCs w:val="20"/>
          <w:color w:val="auto"/>
        </w:rPr>
      </w:pPr>
    </w:p>
    <w:p>
      <w:pPr>
        <w:ind w:left="980" w:right="220"/>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are prepared on a contract value basis.</w:t>
      </w:r>
    </w:p>
    <w:p>
      <w:pPr>
        <w:spacing w:after="0" w:line="193" w:lineRule="exact"/>
        <w:rPr>
          <w:sz w:val="20"/>
          <w:szCs w:val="20"/>
          <w:color w:val="auto"/>
        </w:rPr>
      </w:pPr>
    </w:p>
    <w:p>
      <w:pPr>
        <w:ind w:left="580"/>
        <w:spacing w:after="0"/>
        <w:tabs>
          <w:tab w:leader="none" w:pos="90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New Accounting Pronouncements</w:t>
      </w:r>
    </w:p>
    <w:p>
      <w:pPr>
        <w:spacing w:after="0" w:line="225" w:lineRule="exact"/>
        <w:rPr>
          <w:sz w:val="20"/>
          <w:szCs w:val="20"/>
          <w:color w:val="auto"/>
        </w:rPr>
      </w:pPr>
    </w:p>
    <w:p>
      <w:pPr>
        <w:ind w:left="980" w:right="20"/>
        <w:spacing w:after="0" w:line="255" w:lineRule="auto"/>
        <w:rPr>
          <w:sz w:val="20"/>
          <w:szCs w:val="20"/>
          <w:color w:val="auto"/>
        </w:rPr>
      </w:pPr>
      <w:r>
        <w:rPr>
          <w:rFonts w:ascii="Arial" w:cs="Arial" w:eastAsia="Arial" w:hAnsi="Arial"/>
          <w:sz w:val="18"/>
          <w:szCs w:val="18"/>
          <w:color w:val="auto"/>
        </w:rPr>
        <w:t xml:space="preserve">In May 2015, the FASB issued Accounting Standards Update No. 2015-07 (ASU 2015-07), </w:t>
      </w:r>
      <w:r>
        <w:rPr>
          <w:rFonts w:ascii="Arial" w:cs="Arial" w:eastAsia="Arial" w:hAnsi="Arial"/>
          <w:sz w:val="18"/>
          <w:szCs w:val="18"/>
          <w:i w:val="1"/>
          <w:iCs w:val="1"/>
          <w:color w:val="auto"/>
        </w:rPr>
        <w:t>Disclosures for Investments in Certain Entities That</w:t>
      </w:r>
      <w:r>
        <w:rPr>
          <w:rFonts w:ascii="Arial" w:cs="Arial" w:eastAsia="Arial" w:hAnsi="Arial"/>
          <w:sz w:val="18"/>
          <w:szCs w:val="18"/>
          <w:color w:val="auto"/>
        </w:rPr>
        <w:t xml:space="preserve"> </w:t>
      </w:r>
      <w:r>
        <w:rPr>
          <w:rFonts w:ascii="Arial" w:cs="Arial" w:eastAsia="Arial" w:hAnsi="Arial"/>
          <w:sz w:val="18"/>
          <w:szCs w:val="18"/>
          <w:i w:val="1"/>
          <w:iCs w:val="1"/>
          <w:color w:val="auto"/>
        </w:rPr>
        <w:t>Calculate Net Asset Value Per Share (Or Its Equivalent)</w:t>
      </w:r>
      <w:r>
        <w:rPr>
          <w:rFonts w:ascii="Arial" w:cs="Arial" w:eastAsia="Arial" w:hAnsi="Arial"/>
          <w:sz w:val="18"/>
          <w:szCs w:val="18"/>
          <w:color w:val="auto"/>
        </w:rPr>
        <w:t>. ASU 2015-07 removes the requirement to categorize within the fair value hierarchy all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for which fair value is measured using the net asset value (NAV) as a practical expedient. It also removes the requirement to make certain disclosures for all investments valued using NAV as a practical expedient. The ASU is effective for public business entities for fiscal years beginning after December 15, 2015. Early adoption is permitted. The Company is currently evaluating these amendments, and does not believe the change will be material to the financial statements.</w:t>
      </w:r>
    </w:p>
    <w:p>
      <w:pPr>
        <w:spacing w:after="0" w:line="189"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80" w:right="5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2014 and 2013</w:t>
      </w:r>
    </w:p>
    <w:p>
      <w:pPr>
        <w:spacing w:after="0" w:line="22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58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rFonts w:ascii="Arial" w:cs="Arial" w:eastAsia="Arial" w:hAnsi="Arial"/>
          <w:sz w:val="18"/>
          <w:szCs w:val="18"/>
          <w:b w:val="1"/>
          <w:bCs w:val="1"/>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rFonts w:ascii="Arial" w:cs="Arial" w:eastAsia="Arial" w:hAnsi="Arial"/>
          <w:sz w:val="18"/>
          <w:szCs w:val="18"/>
          <w:b w:val="1"/>
          <w:bCs w:val="1"/>
          <w:color w:val="auto"/>
        </w:rPr>
      </w:pPr>
    </w:p>
    <w:p>
      <w:pPr>
        <w:ind w:left="58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daily balances invested in the Plan.</w:t>
      </w:r>
    </w:p>
    <w:p>
      <w:pPr>
        <w:spacing w:after="0" w:line="18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Fair values of Master Trust investments at December 31, 2014 and 2013 were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8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U.S. Small Cap Equities</w:t>
            </w:r>
          </w:p>
        </w:tc>
        <w:tc>
          <w:tcPr>
            <w:tcW w:w="2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38,455,675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41,005,467</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Mid Cap Equities</w:t>
            </w:r>
          </w:p>
        </w:tc>
        <w:tc>
          <w:tcPr>
            <w:tcW w:w="28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51,733,860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48,249,964</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U.S. Large Cap Equities</w:t>
            </w:r>
          </w:p>
        </w:tc>
        <w:tc>
          <w:tcPr>
            <w:tcW w:w="28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162,417,580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157,422,699</w:t>
            </w:r>
          </w:p>
        </w:tc>
      </w:tr>
      <w:tr>
        <w:trPr>
          <w:trHeight w:val="138"/>
        </w:trPr>
        <w:tc>
          <w:tcPr>
            <w:tcW w:w="446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00"/>
          </w:cols>
          <w:pgMar w:left="240" w:top="337" w:right="259" w:bottom="0" w:gutter="0" w:footer="0" w:header="0"/>
        </w:sectPr>
      </w:pPr>
    </w:p>
    <w:bookmarkStart w:id="4" w:name="page5"/>
    <w:bookmarkEnd w:id="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Small Cap Equities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6,746,547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6,039,532</w:t>
            </w:r>
          </w:p>
        </w:tc>
        <w:tc>
          <w:tcPr>
            <w:tcW w:w="5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International Large Cap Equities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28,966,653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32,725,859</w:t>
            </w:r>
          </w:p>
        </w:tc>
        <w:tc>
          <w:tcPr>
            <w:tcW w:w="5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83,123,995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100,787,143</w:t>
            </w:r>
          </w:p>
        </w:tc>
        <w:tc>
          <w:tcPr>
            <w:tcW w:w="5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151,980,184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122,908,658</w:t>
            </w:r>
          </w:p>
        </w:tc>
        <w:tc>
          <w:tcPr>
            <w:tcW w:w="5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19,654,090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17,729,392</w:t>
            </w:r>
          </w:p>
        </w:tc>
        <w:tc>
          <w:tcPr>
            <w:tcW w:w="5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13,725,468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3,579,365</w:t>
            </w:r>
          </w:p>
        </w:tc>
        <w:tc>
          <w:tcPr>
            <w:tcW w:w="5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321,857,743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340,367,884</w:t>
            </w:r>
          </w:p>
        </w:tc>
        <w:tc>
          <w:tcPr>
            <w:tcW w:w="5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7280" w:type="dxa"/>
            <w:vAlign w:val="bottom"/>
            <w:tcBorders>
              <w:bottom w:val="single" w:sz="8" w:color="CCEEFF"/>
            </w:tcBorders>
          </w:tcPr>
          <w:p>
            <w:pPr>
              <w:ind w:left="69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878,661,795</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870,815,963</w:t>
            </w:r>
          </w:p>
        </w:tc>
        <w:tc>
          <w:tcPr>
            <w:tcW w:w="100" w:type="dxa"/>
            <w:vAlign w:val="bottom"/>
            <w:tcBorders>
              <w:bottom w:val="single" w:sz="8" w:color="CCEEFF"/>
            </w:tcBorders>
          </w:tcPr>
          <w:p>
            <w:pPr>
              <w:spacing w:after="0"/>
              <w:rPr>
                <w:sz w:val="21"/>
                <w:szCs w:val="21"/>
                <w:color w:val="auto"/>
              </w:rPr>
            </w:pPr>
          </w:p>
        </w:tc>
        <w:tc>
          <w:tcPr>
            <w:tcW w:w="52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Plan Interest in Master Trust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3,981,018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4,050,620</w:t>
            </w:r>
          </w:p>
        </w:tc>
        <w:tc>
          <w:tcPr>
            <w:tcW w:w="52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7280" w:type="dxa"/>
            <w:vAlign w:val="bottom"/>
          </w:tcPr>
          <w:p>
            <w:pPr>
              <w:ind w:left="5080"/>
              <w:spacing w:after="0"/>
              <w:rPr>
                <w:sz w:val="20"/>
                <w:szCs w:val="20"/>
                <w:color w:val="auto"/>
              </w:rPr>
            </w:pPr>
            <w:r>
              <w:rPr>
                <w:rFonts w:ascii="Arial" w:cs="Arial" w:eastAsia="Arial" w:hAnsi="Arial"/>
                <w:sz w:val="18"/>
                <w:szCs w:val="18"/>
                <w:color w:val="auto"/>
              </w:rPr>
              <w:t>7</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58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2014 and 2013</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income for the Master Trust for the years ended December 31, 2014 and 2013 was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Net realized and unrealized appreciation (depreciation) in fair value of investments:</w:t>
            </w:r>
          </w:p>
        </w:tc>
        <w:tc>
          <w:tcPr>
            <w:tcW w:w="8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 Small Cap Equities</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(1,607,787)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6,018,933</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U.S. Mid Cap Equities</w:t>
            </w:r>
          </w:p>
        </w:tc>
        <w:tc>
          <w:tcPr>
            <w:tcW w:w="8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401,855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8,956,708</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 Large Cap Equities</w:t>
            </w:r>
          </w:p>
        </w:tc>
        <w:tc>
          <w:tcPr>
            <w:tcW w:w="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17,747,997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31,610,382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International Small Cap Equities</w:t>
            </w:r>
          </w:p>
        </w:tc>
        <w:tc>
          <w:tcPr>
            <w:tcW w:w="8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(554,937)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899,630</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International Large Cap Equities</w:t>
            </w:r>
          </w:p>
        </w:tc>
        <w:tc>
          <w:tcPr>
            <w:tcW w:w="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(1,192,763)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5,054,117</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Stable Asset Funds</w:t>
            </w:r>
          </w:p>
        </w:tc>
        <w:tc>
          <w:tcPr>
            <w:tcW w:w="8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1,610,712</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(523,992)</w:t>
            </w:r>
          </w:p>
        </w:tc>
      </w:tr>
      <w:tr>
        <w:trPr>
          <w:trHeight w:val="216"/>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 Allocation Funds</w:t>
            </w:r>
          </w:p>
        </w:tc>
        <w:tc>
          <w:tcPr>
            <w:tcW w:w="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9,102,279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15,204,942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Fixed Income Funds</w:t>
            </w:r>
          </w:p>
        </w:tc>
        <w:tc>
          <w:tcPr>
            <w:tcW w:w="8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978,344</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(432,943)</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Toro Company Common Stock</w:t>
            </w:r>
          </w:p>
        </w:tc>
        <w:tc>
          <w:tcPr>
            <w:tcW w:w="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912,293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113,262,406</w:t>
            </w:r>
          </w:p>
        </w:tc>
        <w:tc>
          <w:tcPr>
            <w:tcW w:w="100" w:type="dxa"/>
            <w:vAlign w:val="bottom"/>
            <w:shd w:val="clear" w:color="auto" w:fill="CCEEFF"/>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Net realized and unrealized appreciation</w:t>
            </w:r>
          </w:p>
        </w:tc>
        <w:tc>
          <w:tcPr>
            <w:tcW w:w="8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27,397,993</w:t>
            </w:r>
          </w:p>
        </w:tc>
        <w:tc>
          <w:tcPr>
            <w:tcW w:w="2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180,050,183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15,578,614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17,597,972</w:t>
            </w:r>
          </w:p>
        </w:tc>
        <w:tc>
          <w:tcPr>
            <w:tcW w:w="100" w:type="dxa"/>
            <w:vAlign w:val="bottom"/>
            <w:shd w:val="clear" w:color="auto" w:fill="CCEEFF"/>
          </w:tcPr>
          <w:p>
            <w:pPr>
              <w:spacing w:after="0"/>
              <w:rPr>
                <w:sz w:val="18"/>
                <w:szCs w:val="18"/>
                <w:color w:val="auto"/>
              </w:rPr>
            </w:pPr>
          </w:p>
        </w:tc>
      </w:tr>
      <w:tr>
        <w:trPr>
          <w:trHeight w:val="210"/>
        </w:trPr>
        <w:tc>
          <w:tcPr>
            <w:tcW w:w="66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42,976,607</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197,648,155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24" w:lineRule="exact"/>
        <w:rPr>
          <w:sz w:val="20"/>
          <w:szCs w:val="20"/>
          <w:color w:val="auto"/>
        </w:rPr>
      </w:pPr>
    </w:p>
    <w:p>
      <w:pPr>
        <w:ind w:left="200"/>
        <w:spacing w:after="0"/>
        <w:tabs>
          <w:tab w:leader="none" w:pos="13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320" w:right="300" w:hanging="1120"/>
        <w:spacing w:after="0" w:line="264" w:lineRule="auto"/>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00"/>
        <w:spacing w:after="0"/>
        <w:tabs>
          <w:tab w:leader="none" w:pos="130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Master Trust’s investments in small, mid, and large-cap equities, in the United States and internationally, as well as investments in Common Stock of the Company and money market funds are classified as Level 1 assets in the fair value hierarchy, while the Master Trust’s investments in stable asset, asset allocation, and fixed income funds are classified as Level 2 assets in the fair value hierarchy. Stable asset, asset allocation, and fixed income funds are valued at Net Asset Value (NAV), which is based on the fair value of the underlying securities owned by the fund and divided by the number of shares outstanding. The NAV unit price is quoted on a private market that is not active.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December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as of December 31, 2014 and 2013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U.S. Small Cap Equities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38,455,675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38,455,675</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Mid Cap Equities</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51,733,860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51,733,860</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r>
    </w:tbl>
    <w:p>
      <w:pPr>
        <w:sectPr>
          <w:pgSz w:w="11900" w:h="16897" w:orient="portrait"/>
          <w:cols w:equalWidth="0" w:num="1">
            <w:col w:w="11460"/>
          </w:cols>
          <w:pgMar w:left="240" w:top="140"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U.S. Large Cap Equities</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162,417,580</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162,417,580</w:t>
            </w:r>
          </w:p>
        </w:tc>
        <w:tc>
          <w:tcPr>
            <w:tcW w:w="2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Small Cap Equities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6,746,547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6,746,547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International Large Cap Equities</w:t>
            </w: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28,966,653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28,966,653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Stable Asset Funds</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83,123,995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83,123,995</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Asset Allocation Funds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151,980,184</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151,980,184</w:t>
            </w:r>
          </w:p>
        </w:tc>
        <w:tc>
          <w:tcPr>
            <w:tcW w:w="280" w:type="dxa"/>
            <w:vAlign w:val="bottom"/>
          </w:tcPr>
          <w:p>
            <w:pPr>
              <w:spacing w:after="0"/>
              <w:rPr>
                <w:sz w:val="18"/>
                <w:szCs w:val="18"/>
                <w:color w:val="auto"/>
              </w:rPr>
            </w:pP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Income Funds</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19,654,090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19,654,090</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13,725,468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13,725,468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321,857,743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321,857,743</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878,661,795</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623,903,526</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254,758,269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24"/>
                <w:szCs w:val="2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3"/>
          </w:tcPr>
          <w:p>
            <w:pPr>
              <w:ind w:left="4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U.S. Small Cap Equities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41,005,467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41,005,467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Mid Cap Equities</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48,249,964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48,249,964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U.S. Large Cap Equities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157,422,699</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157,422,699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Small Cap Equities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6,039,532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6,039,532</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International Large Cap Equities</w:t>
            </w: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32,725,859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32,725,859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Stable Asset Funds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100,787,143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100,787,143</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Asset Allocation Funds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122,908,658</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122,908,658</w:t>
            </w:r>
          </w:p>
        </w:tc>
        <w:tc>
          <w:tcPr>
            <w:tcW w:w="280" w:type="dxa"/>
            <w:vAlign w:val="bottom"/>
          </w:tcPr>
          <w:p>
            <w:pPr>
              <w:spacing w:after="0"/>
              <w:rPr>
                <w:sz w:val="18"/>
                <w:szCs w:val="18"/>
                <w:color w:val="auto"/>
              </w:rPr>
            </w:pP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Income Funds</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17,729,392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17,729,392</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3,579,365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3,579,365</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340,367,884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340,367,884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870,815,963</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629,390,770</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241,425,193</w:t>
            </w:r>
          </w:p>
        </w:tc>
        <w:tc>
          <w:tcPr>
            <w:tcW w:w="280" w:type="dxa"/>
            <w:vAlign w:val="bottom"/>
          </w:tcPr>
          <w:p>
            <w:pPr>
              <w:spacing w:after="0"/>
              <w:rPr>
                <w:sz w:val="18"/>
                <w:szCs w:val="18"/>
                <w:color w:val="auto"/>
              </w:rPr>
            </w:pPr>
          </w:p>
        </w:tc>
        <w:tc>
          <w:tcPr>
            <w:tcW w:w="13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transfers between Level 1 and Level 2 during the years ended December 31, 2014 and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25" w:lineRule="exact"/>
        <w:rPr>
          <w:sz w:val="20"/>
          <w:szCs w:val="20"/>
          <w:color w:val="auto"/>
        </w:rPr>
      </w:pPr>
    </w:p>
    <w:p>
      <w:pPr>
        <w:ind w:left="580" w:right="12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2014 and 2013 that represent 5% or more of the Master Trust’s net assets in either year:</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w:t>
            </w:r>
          </w:p>
        </w:tc>
        <w:tc>
          <w:tcPr>
            <w:tcW w:w="2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83,123,995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Wells Fargo Stable Value</w:t>
            </w:r>
          </w:p>
        </w:tc>
        <w:tc>
          <w:tcPr>
            <w:tcW w:w="2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100,787,143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 Rowe Price Equity Income Fund</w:t>
            </w:r>
          </w:p>
        </w:tc>
        <w:tc>
          <w:tcPr>
            <w:tcW w:w="2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52,289,678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2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162,417,580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32,352,664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2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72,780,357</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2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321,857,743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340,367,884</w:t>
            </w:r>
          </w:p>
        </w:tc>
      </w:tr>
    </w:tbl>
    <w:p>
      <w:pPr>
        <w:spacing w:after="0" w:line="183"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Internal Revenue Service (IRS) has determined and informed the Company by a letter dated November 7, 2012, that the Plan and related trust are designed in accordance with applicable sections of the Internal Revenue Code (IRC).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87" w:lineRule="exact"/>
        <w:rPr>
          <w:sz w:val="20"/>
          <w:szCs w:val="20"/>
          <w:color w:val="auto"/>
        </w:rPr>
      </w:pPr>
    </w:p>
    <w:p>
      <w:pPr>
        <w:ind w:left="580" w:right="460"/>
        <w:spacing w:after="0" w:line="259" w:lineRule="auto"/>
        <w:rPr>
          <w:sz w:val="20"/>
          <w:szCs w:val="20"/>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2009.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2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ectPr>
          <w:pgSz w:w="11900" w:h="16838" w:orient="portrait"/>
          <w:cols w:equalWidth="0" w:num="1">
            <w:col w:w="11420"/>
          </w:cols>
          <w:pgMar w:left="240" w:top="125" w:right="239" w:bottom="0" w:gutter="0" w:footer="0" w:header="0"/>
        </w:sectPr>
      </w:pPr>
    </w:p>
    <w:p>
      <w:pPr>
        <w:spacing w:after="0" w:line="221" w:lineRule="exact"/>
        <w:rPr>
          <w:sz w:val="20"/>
          <w:szCs w:val="20"/>
          <w:color w:val="auto"/>
        </w:rPr>
      </w:pPr>
    </w:p>
    <w:p>
      <w:pPr>
        <w:ind w:left="9880"/>
        <w:spacing w:after="0"/>
        <w:rPr>
          <w:sz w:val="20"/>
          <w:szCs w:val="20"/>
          <w:color w:val="auto"/>
        </w:rPr>
      </w:pPr>
      <w:r>
        <w:rPr>
          <w:rFonts w:ascii="Arial" w:cs="Arial" w:eastAsia="Arial" w:hAnsi="Arial"/>
          <w:sz w:val="12"/>
          <w:szCs w:val="12"/>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44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4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3,988,279</w:t>
            </w: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 2014</w:t>
            </w:r>
          </w:p>
        </w:tc>
        <w:tc>
          <w:tcPr>
            <w:tcW w:w="7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2,128</w:t>
            </w:r>
          </w:p>
        </w:tc>
        <w:tc>
          <w:tcPr>
            <w:tcW w:w="80" w:type="dxa"/>
            <w:vAlign w:val="bottom"/>
          </w:tcPr>
          <w:p>
            <w:pPr>
              <w:spacing w:after="0"/>
              <w:rPr>
                <w:sz w:val="18"/>
                <w:szCs w:val="18"/>
                <w:color w:val="auto"/>
              </w:rPr>
            </w:pPr>
          </w:p>
        </w:tc>
      </w:tr>
      <w:tr>
        <w:trPr>
          <w:trHeight w:val="210"/>
        </w:trPr>
        <w:tc>
          <w:tcPr>
            <w:tcW w:w="8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available for benefits as presented on Form 5500</w:t>
            </w:r>
          </w:p>
        </w:tc>
        <w:tc>
          <w:tcPr>
            <w:tcW w:w="7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3,990,407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8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in these financial statements</w:t>
            </w:r>
          </w:p>
        </w:tc>
        <w:tc>
          <w:tcPr>
            <w:tcW w:w="7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 2014</w:t>
            </w:r>
          </w:p>
        </w:tc>
        <w:tc>
          <w:tcPr>
            <w:tcW w:w="7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2,128</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 2013</w:t>
            </w:r>
          </w:p>
        </w:tc>
        <w:tc>
          <w:tcPr>
            <w:tcW w:w="7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(1,953)</w:t>
            </w:r>
          </w:p>
        </w:tc>
      </w:tr>
      <w:tr>
        <w:trPr>
          <w:trHeight w:val="223"/>
        </w:trPr>
        <w:tc>
          <w:tcPr>
            <w:tcW w:w="8860" w:type="dxa"/>
            <w:vAlign w:val="bottom"/>
          </w:tcPr>
          <w:p>
            <w:pPr>
              <w:ind w:left="180"/>
              <w:spacing w:after="0"/>
              <w:rPr>
                <w:sz w:val="20"/>
                <w:szCs w:val="20"/>
                <w:color w:val="auto"/>
              </w:rPr>
            </w:pPr>
            <w:r>
              <w:rPr>
                <w:rFonts w:ascii="Arial" w:cs="Arial" w:eastAsia="Arial" w:hAnsi="Arial"/>
                <w:sz w:val="18"/>
                <w:szCs w:val="18"/>
                <w:color w:val="auto"/>
              </w:rPr>
              <w:t>Net decrease in net assets available for benefits as presented on Form 5500</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8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7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4,053,218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 2013</w:t>
            </w:r>
          </w:p>
        </w:tc>
        <w:tc>
          <w:tcPr>
            <w:tcW w:w="7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18"/>
                <w:szCs w:val="18"/>
                <w:color w:val="auto"/>
              </w:rPr>
            </w:pPr>
          </w:p>
        </w:tc>
      </w:tr>
      <w:tr>
        <w:trPr>
          <w:trHeight w:val="210"/>
        </w:trPr>
        <w:tc>
          <w:tcPr>
            <w:tcW w:w="8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available for benefits as presented on Form 5500</w:t>
            </w:r>
          </w:p>
        </w:tc>
        <w:tc>
          <w:tcPr>
            <w:tcW w:w="7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4,055,171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8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in these financial statements</w:t>
            </w:r>
          </w:p>
        </w:tc>
        <w:tc>
          <w:tcPr>
            <w:tcW w:w="7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 2013</w:t>
            </w:r>
          </w:p>
        </w:tc>
        <w:tc>
          <w:tcPr>
            <w:tcW w:w="7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 2012</w:t>
            </w:r>
          </w:p>
        </w:tc>
        <w:tc>
          <w:tcPr>
            <w:tcW w:w="7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(10,079)</w:t>
            </w:r>
          </w:p>
        </w:tc>
      </w:tr>
      <w:tr>
        <w:trPr>
          <w:trHeight w:val="210"/>
        </w:trPr>
        <w:tc>
          <w:tcPr>
            <w:tcW w:w="8860" w:type="dxa"/>
            <w:vAlign w:val="bottom"/>
          </w:tcPr>
          <w:p>
            <w:pPr>
              <w:ind w:left="180"/>
              <w:spacing w:after="0"/>
              <w:rPr>
                <w:sz w:val="20"/>
                <w:szCs w:val="20"/>
                <w:color w:val="auto"/>
              </w:rPr>
            </w:pPr>
            <w:r>
              <w:rPr>
                <w:rFonts w:ascii="Arial" w:cs="Arial" w:eastAsia="Arial" w:hAnsi="Arial"/>
                <w:sz w:val="18"/>
                <w:szCs w:val="18"/>
                <w:color w:val="auto"/>
              </w:rPr>
              <w:t>Net decrease in net assets available for benefits as presented on Form 5500</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820,881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60" w:firstLine="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The Toro Company Profit-Sharing Plan for</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Plymouth Union Employees</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June 23, 2015</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560" w:type="dxa"/>
            <w:vAlign w:val="bottom"/>
          </w:tcPr>
          <w:p>
            <w:pPr>
              <w:spacing w:after="0"/>
              <w:rPr>
                <w:sz w:val="15"/>
                <w:szCs w:val="15"/>
                <w:color w:val="auto"/>
              </w:rPr>
            </w:pPr>
          </w:p>
        </w:tc>
        <w:tc>
          <w:tcPr>
            <w:tcW w:w="2600" w:type="dxa"/>
            <w:vAlign w:val="bottom"/>
          </w:tcPr>
          <w:p>
            <w:pPr>
              <w:ind w:left="2160"/>
              <w:spacing w:after="0" w:line="182" w:lineRule="exact"/>
              <w:rPr>
                <w:sz w:val="20"/>
                <w:szCs w:val="20"/>
                <w:color w:val="auto"/>
              </w:rPr>
            </w:pPr>
            <w:r>
              <w:rPr>
                <w:rFonts w:ascii="Arial" w:cs="Arial" w:eastAsia="Arial" w:hAnsi="Arial"/>
                <w:sz w:val="18"/>
                <w:szCs w:val="18"/>
                <w:color w:val="auto"/>
                <w:w w:val="79"/>
              </w:rPr>
              <w:t>Renee</w:t>
            </w:r>
          </w:p>
        </w:tc>
        <w:tc>
          <w:tcPr>
            <w:tcW w:w="52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560" w:type="dxa"/>
            <w:vAlign w:val="bottom"/>
          </w:tcPr>
          <w:p>
            <w:pPr>
              <w:spacing w:after="0"/>
              <w:rPr>
                <w:sz w:val="18"/>
                <w:szCs w:val="18"/>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Vice President, Treasurer</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00" w:type="dxa"/>
            <w:vAlign w:val="bottom"/>
          </w:tcPr>
          <w:p>
            <w:pPr>
              <w:ind w:left="2060"/>
              <w:spacing w:after="0"/>
              <w:rPr>
                <w:sz w:val="20"/>
                <w:szCs w:val="20"/>
                <w:color w:val="auto"/>
              </w:rPr>
            </w:pPr>
            <w:r>
              <w:rPr>
                <w:rFonts w:ascii="Arial" w:cs="Arial" w:eastAsia="Arial" w:hAnsi="Arial"/>
                <w:sz w:val="18"/>
                <w:szCs w:val="18"/>
                <w:color w:val="auto"/>
              </w:rPr>
              <w:t>12</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2019-12-05T21:49:47Z</dcterms:created>
  <dcterms:modified xsi:type="dcterms:W3CDTF">2019-12-05T21:49:47Z</dcterms:modified>
</cp:coreProperties>
</file>