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t>UNITED STATES SECURITIES AND EXCHANGE COMMISSION</w:t>
      </w:r>
    </w:p>
    <w:p>
      <w:pPr>
        <w:jc w:val="center"/>
        <w:ind w:right="-19"/>
        <w:spacing w:after="0"/>
        <w:rPr>
          <w:sz w:val="20"/>
          <w:szCs w:val="20"/>
          <w:color w:val="auto"/>
        </w:rPr>
      </w:pPr>
      <w:r>
        <w:rPr>
          <w:rFonts w:ascii="Arial" w:cs="Arial" w:eastAsia="Arial" w:hAnsi="Arial"/>
          <w:sz w:val="25"/>
          <w:szCs w:val="25"/>
          <w:color w:val="auto"/>
        </w:rPr>
        <w:t>Washington, D.C. 20549</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Fiscal Year Ended October 31, 2007</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21" w:right="239" w:bottom="0" w:gutter="0" w:footer="0" w:header="0"/>
        </w:sectPr>
      </w:pPr>
    </w:p>
    <w:p>
      <w:pPr>
        <w:spacing w:after="0" w:line="199" w:lineRule="exact"/>
        <w:rPr>
          <w:sz w:val="24"/>
          <w:szCs w:val="24"/>
          <w:color w:val="auto"/>
        </w:rPr>
      </w:pPr>
    </w:p>
    <w:p>
      <w:pPr>
        <w:jc w:val="center"/>
        <w:ind w:left="184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jc w:val="center"/>
        <w:ind w:left="184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80"/>
        <w:spacing w:after="0"/>
        <w:rPr>
          <w:sz w:val="20"/>
          <w:szCs w:val="20"/>
          <w:color w:val="auto"/>
        </w:rPr>
      </w:pPr>
      <w:r>
        <w:rPr>
          <w:rFonts w:ascii="Arial" w:cs="Arial" w:eastAsia="Arial" w:hAnsi="Arial"/>
          <w:sz w:val="14"/>
          <w:szCs w:val="14"/>
          <w:b w:val="1"/>
          <w:bCs w:val="1"/>
          <w:color w:val="auto"/>
        </w:rPr>
        <w:t>1-8649</w:t>
      </w:r>
    </w:p>
    <w:p>
      <w:pPr>
        <w:spacing w:after="0" w:line="46"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41-0580470</w:t>
      </w:r>
    </w:p>
    <w:p>
      <w:pPr>
        <w:spacing w:after="0" w:line="4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(I.R.S. Employer Identification</w:t>
      </w:r>
    </w:p>
    <w:p>
      <w:pPr>
        <w:spacing w:after="0" w:line="28" w:lineRule="exact"/>
        <w:rPr>
          <w:sz w:val="24"/>
          <w:szCs w:val="24"/>
          <w:color w:val="auto"/>
        </w:rPr>
      </w:pPr>
    </w:p>
    <w:p>
      <w:pPr>
        <w:jc w:val="center"/>
        <w:ind w:right="2020"/>
        <w:spacing w:after="0"/>
        <w:rPr>
          <w:sz w:val="20"/>
          <w:szCs w:val="20"/>
          <w:color w:val="auto"/>
        </w:rPr>
      </w:pPr>
      <w:r>
        <w:rPr>
          <w:rFonts w:ascii="Arial" w:cs="Arial" w:eastAsia="Arial" w:hAnsi="Arial"/>
          <w:sz w:val="14"/>
          <w:szCs w:val="14"/>
          <w:color w:val="auto"/>
        </w:rPr>
        <w:t>Number)</w:t>
      </w:r>
    </w:p>
    <w:p>
      <w:pPr>
        <w:spacing w:after="0" w:line="163" w:lineRule="exact"/>
        <w:rPr>
          <w:sz w:val="24"/>
          <w:szCs w:val="24"/>
          <w:color w:val="auto"/>
        </w:rPr>
      </w:pPr>
    </w:p>
    <w:p>
      <w:pPr>
        <w:sectPr>
          <w:pgSz w:w="11900" w:h="16838" w:orient="portrait"/>
          <w:cols w:equalWidth="0" w:num="3">
            <w:col w:w="4140" w:space="720"/>
            <w:col w:w="1880" w:space="720"/>
            <w:col w:w="3960"/>
          </w:cols>
          <w:pgMar w:left="240" w:top="421"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74930</wp:posOffset>
            </wp:positionV>
            <wp:extent cx="1389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165"/>
        </w:trPr>
        <w:tc>
          <w:tcPr>
            <w:tcW w:w="558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9"/>
                <w:szCs w:val="19"/>
                <w:color w:val="auto"/>
              </w:rPr>
              <w:t>Common Stock, par value $1.00 per share</w:t>
            </w:r>
          </w:p>
        </w:tc>
        <w:tc>
          <w:tcPr>
            <w:tcW w:w="260" w:type="dxa"/>
            <w:vAlign w:val="bottom"/>
          </w:tcPr>
          <w:p>
            <w:pPr>
              <w:spacing w:after="0"/>
              <w:rPr>
                <w:sz w:val="14"/>
                <w:szCs w:val="14"/>
                <w:color w:val="auto"/>
              </w:rPr>
            </w:pPr>
          </w:p>
        </w:tc>
        <w:tc>
          <w:tcPr>
            <w:tcW w:w="558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9"/>
                <w:szCs w:val="19"/>
                <w:color w:val="auto"/>
              </w:rPr>
              <w:t>New York Stock Exchange</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20"/>
                <w:szCs w:val="20"/>
                <w:color w:val="auto"/>
              </w:rPr>
              <w:t>Preferred Share Purchase Rights</w:t>
            </w:r>
          </w:p>
        </w:tc>
        <w:tc>
          <w:tcPr>
            <w:tcW w:w="5580" w:type="dxa"/>
            <w:vAlign w:val="bottom"/>
          </w:tcPr>
          <w:p>
            <w:pPr>
              <w:ind w:left="20"/>
              <w:spacing w:after="0"/>
              <w:rPr>
                <w:sz w:val="20"/>
                <w:szCs w:val="20"/>
                <w:color w:val="auto"/>
              </w:rPr>
            </w:pPr>
            <w:r>
              <w:rPr>
                <w:rFonts w:ascii="Arial" w:cs="Arial" w:eastAsia="Arial" w:hAnsi="Arial"/>
                <w:sz w:val="20"/>
                <w:szCs w:val="20"/>
                <w:color w:val="auto"/>
              </w:rPr>
              <w:t>New York Stock Exchange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21" w:right="239" w:bottom="0" w:gutter="0" w:footer="0" w:header="0"/>
          <w:type w:val="continuous"/>
        </w:sect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No o</w:t>
      </w:r>
    </w:p>
    <w:p>
      <w:pPr>
        <w:spacing w:after="0" w:line="213" w:lineRule="exact"/>
        <w:rPr>
          <w:sz w:val="24"/>
          <w:szCs w:val="24"/>
          <w:color w:val="auto"/>
        </w:rPr>
      </w:pPr>
    </w:p>
    <w:p>
      <w:pPr>
        <w:sectPr>
          <w:pgSz w:w="11900" w:h="16838" w:orient="portrait"/>
          <w:cols w:equalWidth="0" w:num="3">
            <w:col w:w="9300" w:space="200"/>
            <w:col w:w="440" w:space="200"/>
            <w:col w:w="1280"/>
          </w:cols>
          <w:pgMar w:left="240" w:top="421" w:right="239" w:bottom="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211" w:lineRule="exact"/>
        <w:rPr>
          <w:sz w:val="24"/>
          <w:szCs w:val="24"/>
          <w:color w:val="auto"/>
        </w:rPr>
      </w:pPr>
    </w:p>
    <w:p>
      <w:pPr>
        <w:sectPr>
          <w:pgSz w:w="11900" w:h="16838" w:orient="portrait"/>
          <w:cols w:equalWidth="0" w:num="3">
            <w:col w:w="9420" w:space="180"/>
            <w:col w:w="440" w:space="200"/>
            <w:col w:w="1180"/>
          </w:cols>
          <w:pgMar w:left="240" w:top="421" w:right="239" w:bottom="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o</w:t>
      </w:r>
    </w:p>
    <w:p>
      <w:pPr>
        <w:spacing w:after="0" w:line="157" w:lineRule="exact"/>
        <w:rPr>
          <w:sz w:val="24"/>
          <w:szCs w:val="24"/>
          <w:color w:val="auto"/>
        </w:rPr>
      </w:pPr>
    </w:p>
    <w:p>
      <w:pPr>
        <w:ind w:right="680"/>
        <w:spacing w:after="0" w:line="271"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7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43" w:lineRule="exact"/>
        <w:rPr>
          <w:sz w:val="24"/>
          <w:szCs w:val="24"/>
          <w:color w:val="auto"/>
        </w:rPr>
      </w:pPr>
    </w:p>
    <w:p>
      <w:pPr>
        <w:spacing w:after="0"/>
        <w:tabs>
          <w:tab w:leader="none" w:pos="2160" w:val="left"/>
          <w:tab w:leader="none" w:pos="2640" w:val="left"/>
          <w:tab w:leader="none" w:pos="4340" w:val="left"/>
          <w:tab w:leader="none" w:pos="4820" w:val="left"/>
          <w:tab w:leader="none" w:pos="6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198" w:lineRule="exact"/>
        <w:rPr>
          <w:sz w:val="24"/>
          <w:szCs w:val="24"/>
          <w:color w:val="auto"/>
        </w:rPr>
      </w:pPr>
    </w:p>
    <w:p>
      <w:pPr>
        <w:spacing w:after="0"/>
        <w:tabs>
          <w:tab w:leader="none" w:pos="8380" w:val="left"/>
          <w:tab w:leader="none" w:pos="90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 o</w:t>
        <w:tab/>
        <w:t>No x</w:t>
      </w:r>
    </w:p>
    <w:p>
      <w:pPr>
        <w:spacing w:after="0" w:line="225" w:lineRule="exact"/>
        <w:rPr>
          <w:sz w:val="24"/>
          <w:szCs w:val="24"/>
          <w:color w:val="auto"/>
        </w:rPr>
      </w:pPr>
    </w:p>
    <w:p>
      <w:pPr>
        <w:ind w:right="440"/>
        <w:spacing w:after="0" w:line="271"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the Common Stock on May 4, 2007, the last business day of the registrant’s most recently completed second fiscal quarter, as reported by the New York Stock Exchange, was approximately $2.1 billion.</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13, 2007 was 38,253,743.</w:t>
      </w:r>
    </w:p>
    <w:p>
      <w:pPr>
        <w:spacing w:after="0" w:line="176"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4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Portions of the registrant’s Proxy Statement for the Annual Meeting of Stockholders to be held March 11, 2008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96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jc w:val="center"/>
              <w:ind w:right="3328"/>
              <w:spacing w:after="0"/>
              <w:rPr>
                <w:sz w:val="20"/>
                <w:szCs w:val="20"/>
                <w:color w:val="auto"/>
              </w:rPr>
            </w:pPr>
            <w:r>
              <w:rPr>
                <w:rFonts w:ascii="Arial" w:cs="Arial" w:eastAsia="Arial" w:hAnsi="Arial"/>
                <w:sz w:val="22"/>
                <w:szCs w:val="22"/>
                <w:b w:val="1"/>
                <w:bCs w:val="1"/>
                <w:color w:val="auto"/>
                <w:w w:val="97"/>
              </w:rPr>
              <w:t>THE TORO COMPANY</w:t>
            </w:r>
          </w:p>
        </w:tc>
      </w:tr>
      <w:tr>
        <w:trPr>
          <w:trHeight w:val="24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jc w:val="center"/>
              <w:ind w:right="3308"/>
              <w:spacing w:after="0" w:line="243" w:lineRule="exact"/>
              <w:rPr>
                <w:sz w:val="20"/>
                <w:szCs w:val="20"/>
                <w:color w:val="auto"/>
              </w:rPr>
            </w:pPr>
            <w:r>
              <w:rPr>
                <w:rFonts w:ascii="Arial" w:cs="Arial" w:eastAsia="Arial" w:hAnsi="Arial"/>
                <w:sz w:val="22"/>
                <w:szCs w:val="22"/>
                <w:b w:val="1"/>
                <w:bCs w:val="1"/>
                <w:color w:val="auto"/>
                <w:w w:val="97"/>
              </w:rPr>
              <w:t>FORM 10-K</w:t>
            </w:r>
          </w:p>
        </w:tc>
      </w:tr>
      <w:tr>
        <w:trPr>
          <w:trHeight w:val="28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jc w:val="center"/>
              <w:ind w:right="3308"/>
              <w:spacing w:after="0"/>
              <w:rPr>
                <w:sz w:val="20"/>
                <w:szCs w:val="20"/>
                <w:color w:val="auto"/>
              </w:rPr>
            </w:pPr>
            <w:r>
              <w:rPr>
                <w:rFonts w:ascii="Arial" w:cs="Arial" w:eastAsia="Arial" w:hAnsi="Arial"/>
                <w:sz w:val="22"/>
                <w:szCs w:val="22"/>
                <w:b w:val="1"/>
                <w:bCs w:val="1"/>
                <w:color w:val="auto"/>
                <w:w w:val="97"/>
              </w:rPr>
              <w:t>TABLE OF CONTENTS</w:t>
            </w:r>
          </w:p>
        </w:tc>
      </w:tr>
      <w:tr>
        <w:trPr>
          <w:trHeight w:val="328"/>
        </w:trPr>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Description</w:t>
            </w:r>
          </w:p>
        </w:tc>
        <w:tc>
          <w:tcPr>
            <w:tcW w:w="6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 Number</w:t>
            </w:r>
          </w:p>
        </w:tc>
      </w:tr>
      <w:tr>
        <w:trPr>
          <w:trHeight w:val="291"/>
        </w:trPr>
        <w:tc>
          <w:tcPr>
            <w:tcW w:w="820" w:type="dxa"/>
            <w:vAlign w:val="bottom"/>
            <w:tcBorders>
              <w:bottom w:val="single" w:sz="8" w:color="0000EE"/>
            </w:tcBorders>
            <w:gridSpan w:val="2"/>
          </w:tcPr>
          <w:p>
            <w:pPr>
              <w:spacing w:after="0"/>
              <w:rPr>
                <w:rFonts w:ascii="Arial" w:cs="Arial" w:eastAsia="Arial" w:hAnsi="Arial"/>
                <w:sz w:val="25"/>
                <w:szCs w:val="25"/>
                <w:b w:val="1"/>
                <w:bCs w:val="1"/>
                <w:color w:val="0000EE"/>
                <w:w w:val="97"/>
              </w:rPr>
            </w:pPr>
            <w:hyperlink w:anchor="page2">
              <w:r>
                <w:rPr>
                  <w:rFonts w:ascii="Arial" w:cs="Arial" w:eastAsia="Arial" w:hAnsi="Arial"/>
                  <w:sz w:val="25"/>
                  <w:szCs w:val="25"/>
                  <w:b w:val="1"/>
                  <w:bCs w:val="1"/>
                  <w:color w:val="0000EE"/>
                  <w:w w:val="97"/>
                </w:rPr>
                <w:t>PART I</w:t>
              </w:r>
            </w:hyperlink>
          </w:p>
        </w:tc>
        <w:tc>
          <w:tcPr>
            <w:tcW w:w="4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277"/>
        </w:trPr>
        <w:tc>
          <w:tcPr>
            <w:tcW w:w="1220" w:type="dxa"/>
            <w:vAlign w:val="bottom"/>
            <w:gridSpan w:val="5"/>
          </w:tcPr>
          <w:p>
            <w:pPr>
              <w:spacing w:after="0"/>
              <w:rPr>
                <w:rFonts w:ascii="Arial" w:cs="Arial" w:eastAsia="Arial" w:hAnsi="Arial"/>
                <w:sz w:val="22"/>
                <w:szCs w:val="22"/>
                <w:b w:val="1"/>
                <w:bCs w:val="1"/>
                <w:color w:val="0000EE"/>
              </w:rPr>
            </w:pPr>
            <w:hyperlink w:anchor="page2">
              <w:r>
                <w:rPr>
                  <w:rFonts w:ascii="Arial" w:cs="Arial" w:eastAsia="Arial" w:hAnsi="Arial"/>
                  <w:sz w:val="22"/>
                  <w:szCs w:val="22"/>
                  <w:b w:val="1"/>
                  <w:bCs w:val="1"/>
                  <w:color w:val="0000EE"/>
                </w:rPr>
                <w:t>ITEM 1.</w:t>
              </w:r>
            </w:hyperlink>
          </w:p>
        </w:tc>
        <w:tc>
          <w:tcPr>
            <w:tcW w:w="2200" w:type="dxa"/>
            <w:vAlign w:val="bottom"/>
            <w:gridSpan w:val="5"/>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Business</w:t>
              </w:r>
            </w:hyperlink>
          </w:p>
        </w:tc>
        <w:tc>
          <w:tcPr>
            <w:tcW w:w="6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
        </w:trPr>
        <w:tc>
          <w:tcPr>
            <w:tcW w:w="760" w:type="dxa"/>
            <w:vAlign w:val="bottom"/>
            <w:shd w:val="clear" w:color="auto" w:fill="0000EE"/>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tcPr>
          <w:p>
            <w:pPr>
              <w:spacing w:after="0"/>
              <w:rPr>
                <w:sz w:val="2"/>
                <w:szCs w:val="2"/>
                <w:color w:val="auto"/>
              </w:rPr>
            </w:pPr>
          </w:p>
        </w:tc>
      </w:tr>
      <w:tr>
        <w:trPr>
          <w:trHeight w:val="277"/>
        </w:trPr>
        <w:tc>
          <w:tcPr>
            <w:tcW w:w="940" w:type="dxa"/>
            <w:vAlign w:val="bottom"/>
            <w:tcBorders>
              <w:bottom w:val="single" w:sz="8" w:color="0000EE"/>
            </w:tcBorders>
            <w:gridSpan w:val="4"/>
          </w:tcPr>
          <w:p>
            <w:pPr>
              <w:spacing w:after="0" w:line="250" w:lineRule="exact"/>
              <w:rPr>
                <w:rFonts w:ascii="Arial" w:cs="Arial" w:eastAsia="Arial" w:hAnsi="Arial"/>
                <w:sz w:val="22"/>
                <w:szCs w:val="22"/>
                <w:b w:val="1"/>
                <w:bCs w:val="1"/>
                <w:color w:val="0000EE"/>
                <w:w w:val="98"/>
              </w:rPr>
            </w:pPr>
            <w:hyperlink w:anchor="page9">
              <w:r>
                <w:rPr>
                  <w:rFonts w:ascii="Arial" w:cs="Arial" w:eastAsia="Arial" w:hAnsi="Arial"/>
                  <w:sz w:val="22"/>
                  <w:szCs w:val="22"/>
                  <w:b w:val="1"/>
                  <w:bCs w:val="1"/>
                  <w:color w:val="0000EE"/>
                  <w:w w:val="98"/>
                </w:rPr>
                <w:t>ITEM 1A.</w:t>
              </w:r>
            </w:hyperlink>
          </w:p>
        </w:tc>
        <w:tc>
          <w:tcPr>
            <w:tcW w:w="28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9">
              <w:r>
                <w:rPr>
                  <w:rFonts w:ascii="Arial" w:cs="Arial" w:eastAsia="Arial" w:hAnsi="Arial"/>
                  <w:sz w:val="16"/>
                  <w:szCs w:val="16"/>
                  <w:color w:val="0000EE"/>
                  <w:w w:val="98"/>
                </w:rPr>
                <w:t>Risk Factors</w:t>
              </w:r>
            </w:hyperlink>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920" w:type="dxa"/>
            <w:vAlign w:val="bottom"/>
            <w:tcBorders>
              <w:bottom w:val="single" w:sz="8" w:color="0000EE"/>
            </w:tcBorders>
            <w:gridSpan w:val="3"/>
          </w:tcPr>
          <w:p>
            <w:pPr>
              <w:spacing w:after="0" w:line="250" w:lineRule="exact"/>
              <w:rPr>
                <w:rFonts w:ascii="Arial" w:cs="Arial" w:eastAsia="Arial" w:hAnsi="Arial"/>
                <w:sz w:val="22"/>
                <w:szCs w:val="22"/>
                <w:b w:val="1"/>
                <w:bCs w:val="1"/>
                <w:color w:val="0000EE"/>
                <w:w w:val="96"/>
              </w:rPr>
            </w:pPr>
            <w:hyperlink w:anchor="page14">
              <w:r>
                <w:rPr>
                  <w:rFonts w:ascii="Arial" w:cs="Arial" w:eastAsia="Arial" w:hAnsi="Arial"/>
                  <w:sz w:val="22"/>
                  <w:szCs w:val="22"/>
                  <w:b w:val="1"/>
                  <w:bCs w:val="1"/>
                  <w:color w:val="0000EE"/>
                  <w:w w:val="96"/>
                </w:rPr>
                <w:t>ITEM 1B.</w:t>
              </w:r>
            </w:hyperlink>
          </w:p>
        </w:tc>
        <w:tc>
          <w:tcPr>
            <w:tcW w:w="300" w:type="dxa"/>
            <w:vAlign w:val="bottom"/>
            <w:gridSpan w:val="2"/>
          </w:tcPr>
          <w:p>
            <w:pPr>
              <w:spacing w:after="0"/>
              <w:rPr>
                <w:sz w:val="22"/>
                <w:szCs w:val="22"/>
                <w:color w:val="auto"/>
              </w:rPr>
            </w:pPr>
          </w:p>
        </w:tc>
        <w:tc>
          <w:tcPr>
            <w:tcW w:w="20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Unresolved Staff Comments</w:t>
              </w:r>
            </w:hyperlink>
          </w:p>
        </w:tc>
        <w:tc>
          <w:tcPr>
            <w:tcW w:w="180" w:type="dxa"/>
            <w:vAlign w:val="bottom"/>
          </w:tcPr>
          <w:p>
            <w:pPr>
              <w:spacing w:after="0"/>
              <w:rPr>
                <w:sz w:val="22"/>
                <w:szCs w:val="22"/>
                <w:color w:val="auto"/>
              </w:rPr>
            </w:pPr>
          </w:p>
        </w:tc>
        <w:tc>
          <w:tcPr>
            <w:tcW w:w="60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4"/>
        </w:trPr>
        <w:tc>
          <w:tcPr>
            <w:tcW w:w="760" w:type="dxa"/>
            <w:vAlign w:val="bottom"/>
            <w:tcBorders>
              <w:bottom w:val="single" w:sz="8" w:color="0000EE"/>
            </w:tcBorders>
          </w:tcPr>
          <w:p>
            <w:pPr>
              <w:spacing w:after="0" w:line="250" w:lineRule="exact"/>
              <w:rPr>
                <w:rFonts w:ascii="Arial" w:cs="Arial" w:eastAsia="Arial" w:hAnsi="Arial"/>
                <w:sz w:val="22"/>
                <w:szCs w:val="22"/>
                <w:b w:val="1"/>
                <w:bCs w:val="1"/>
                <w:color w:val="0000EE"/>
                <w:w w:val="96"/>
              </w:rPr>
            </w:pPr>
            <w:hyperlink w:anchor="page14">
              <w:r>
                <w:rPr>
                  <w:rFonts w:ascii="Arial" w:cs="Arial" w:eastAsia="Arial" w:hAnsi="Arial"/>
                  <w:sz w:val="22"/>
                  <w:szCs w:val="22"/>
                  <w:b w:val="1"/>
                  <w:bCs w:val="1"/>
                  <w:color w:val="0000EE"/>
                  <w:w w:val="96"/>
                </w:rPr>
                <w:t>ITEM 2.</w:t>
              </w:r>
            </w:hyperlink>
          </w:p>
        </w:tc>
        <w:tc>
          <w:tcPr>
            <w:tcW w:w="460" w:type="dxa"/>
            <w:vAlign w:val="bottom"/>
            <w:gridSpan w:val="4"/>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14">
              <w:r>
                <w:rPr>
                  <w:rFonts w:ascii="Arial" w:cs="Arial" w:eastAsia="Arial" w:hAnsi="Arial"/>
                  <w:sz w:val="16"/>
                  <w:szCs w:val="16"/>
                  <w:color w:val="0000EE"/>
                  <w:w w:val="98"/>
                </w:rPr>
                <w:t>Properties</w:t>
              </w:r>
            </w:hyperlink>
          </w:p>
        </w:tc>
        <w:tc>
          <w:tcPr>
            <w:tcW w:w="1460" w:type="dxa"/>
            <w:vAlign w:val="bottom"/>
            <w:gridSpan w:val="3"/>
          </w:tcPr>
          <w:p>
            <w:pPr>
              <w:spacing w:after="0"/>
              <w:rPr>
                <w:sz w:val="24"/>
                <w:szCs w:val="24"/>
                <w:color w:val="auto"/>
              </w:rPr>
            </w:pPr>
          </w:p>
        </w:tc>
        <w:tc>
          <w:tcPr>
            <w:tcW w:w="6080" w:type="dxa"/>
            <w:vAlign w:val="bottom"/>
          </w:tcPr>
          <w:p>
            <w:pPr>
              <w:jc w:val="right"/>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420"/>
          </w:cols>
          <w:pgMar w:left="240" w:top="421" w:right="239" w:bottom="0" w:gutter="0" w:footer="0" w:header="0"/>
          <w:type w:val="continuous"/>
        </w:sectPr>
      </w:pPr>
    </w:p>
    <w:bookmarkStart w:id="1" w:name="page2"/>
    <w:bookmarkEnd w:id="1"/>
    <w:p>
      <w:pPr>
        <w:ind w:left="960"/>
        <w:spacing w:after="0"/>
        <w:tabs>
          <w:tab w:leader="none" w:pos="2160" w:val="left"/>
        </w:tabs>
        <w:rPr>
          <w:rFonts w:ascii="Arial" w:cs="Arial" w:eastAsia="Arial" w:hAnsi="Arial"/>
          <w:sz w:val="16"/>
          <w:szCs w:val="16"/>
          <w:b w:val="1"/>
          <w:bCs w:val="1"/>
          <w:u w:val="single" w:color="auto"/>
          <w:color w:val="0000EE"/>
        </w:rPr>
      </w:pPr>
      <w:hyperlink w:anchor="page15">
        <w:r>
          <w:rPr>
            <w:rFonts w:ascii="Arial" w:cs="Arial" w:eastAsia="Arial" w:hAnsi="Arial"/>
            <w:sz w:val="22"/>
            <w:szCs w:val="22"/>
            <w:b w:val="1"/>
            <w:bCs w:val="1"/>
            <w:u w:val="single" w:color="auto"/>
            <w:color w:val="0000EE"/>
          </w:rPr>
          <w:t>ITEM 3.</w:t>
        </w:r>
      </w:hyperlink>
      <w:r>
        <w:rPr>
          <w:rFonts w:ascii="Arial" w:cs="Arial" w:eastAsia="Arial" w:hAnsi="Arial"/>
          <w:sz w:val="22"/>
          <w:szCs w:val="22"/>
          <w:b w:val="1"/>
          <w:bCs w:val="1"/>
          <w:u w:val="single" w:color="auto"/>
          <w:color w:val="0000EE"/>
        </w:rPr>
        <w:tab/>
      </w:r>
      <w:hyperlink w:anchor="page15">
        <w:r>
          <w:rPr>
            <w:rFonts w:ascii="Arial" w:cs="Arial" w:eastAsia="Arial" w:hAnsi="Arial"/>
            <w:sz w:val="16"/>
            <w:szCs w:val="16"/>
            <w:b w:val="1"/>
            <w:bCs w:val="1"/>
            <w:u w:val="single" w:color="auto"/>
            <w:color w:val="0000EE"/>
          </w:rPr>
          <w:t>Legal Proceedings</w:t>
        </w:r>
      </w:hyperlink>
    </w:p>
    <w:p>
      <w:pPr>
        <w:spacing w:after="0" w:line="33"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15">
        <w:r>
          <w:rPr>
            <w:rFonts w:ascii="Arial" w:cs="Arial" w:eastAsia="Arial" w:hAnsi="Arial"/>
            <w:sz w:val="22"/>
            <w:szCs w:val="22"/>
            <w:b w:val="1"/>
            <w:bCs w:val="1"/>
            <w:u w:val="single" w:color="auto"/>
            <w:color w:val="0000EE"/>
          </w:rPr>
          <w:t>ITEM 4.</w:t>
        </w:r>
      </w:hyperlink>
      <w:r>
        <w:rPr>
          <w:rFonts w:ascii="Arial" w:cs="Arial" w:eastAsia="Arial" w:hAnsi="Arial"/>
          <w:sz w:val="22"/>
          <w:szCs w:val="22"/>
          <w:b w:val="1"/>
          <w:bCs w:val="1"/>
          <w:u w:val="single" w:color="auto"/>
          <w:color w:val="0000EE"/>
        </w:rPr>
        <w:tab/>
      </w:r>
      <w:hyperlink w:anchor="page15">
        <w:r>
          <w:rPr>
            <w:rFonts w:ascii="Arial" w:cs="Arial" w:eastAsia="Arial" w:hAnsi="Arial"/>
            <w:sz w:val="16"/>
            <w:szCs w:val="16"/>
            <w:b w:val="1"/>
            <w:bCs w:val="1"/>
            <w:u w:val="single" w:color="auto"/>
            <w:color w:val="0000EE"/>
          </w:rPr>
          <w:t>Submission of Matters to a Vote of Security Holders</w:t>
        </w:r>
      </w:hyperlink>
    </w:p>
    <w:p>
      <w:pPr>
        <w:spacing w:after="0" w:line="77" w:lineRule="exact"/>
        <w:rPr>
          <w:sz w:val="20"/>
          <w:szCs w:val="20"/>
          <w:color w:val="auto"/>
        </w:rPr>
      </w:pPr>
    </w:p>
    <w:p>
      <w:pPr>
        <w:ind w:left="218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Executive Officers of the Registrant</w:t>
        </w:r>
      </w:hyperlink>
    </w:p>
    <w:p>
      <w:pPr>
        <w:spacing w:after="0" w:line="162" w:lineRule="exact"/>
        <w:rPr>
          <w:sz w:val="20"/>
          <w:szCs w:val="20"/>
          <w:color w:val="auto"/>
        </w:rPr>
      </w:pPr>
    </w:p>
    <w:p>
      <w:pPr>
        <w:ind w:left="960"/>
        <w:spacing w:after="0"/>
        <w:rPr>
          <w:rFonts w:ascii="Arial" w:cs="Arial" w:eastAsia="Arial" w:hAnsi="Arial"/>
          <w:sz w:val="25"/>
          <w:szCs w:val="25"/>
          <w:b w:val="1"/>
          <w:bCs w:val="1"/>
          <w:u w:val="single" w:color="auto"/>
          <w:color w:val="0000EE"/>
        </w:rPr>
      </w:pPr>
      <w:hyperlink w:anchor="page16">
        <w:r>
          <w:rPr>
            <w:rFonts w:ascii="Arial" w:cs="Arial" w:eastAsia="Arial" w:hAnsi="Arial"/>
            <w:sz w:val="25"/>
            <w:szCs w:val="25"/>
            <w:b w:val="1"/>
            <w:bCs w:val="1"/>
            <w:u w:val="single" w:color="auto"/>
            <w:color w:val="0000EE"/>
          </w:rPr>
          <w:t>PART II</w:t>
        </w:r>
      </w:hyperlink>
    </w:p>
    <w:p>
      <w:pPr>
        <w:spacing w:after="0" w:line="10" w:lineRule="exact"/>
        <w:rPr>
          <w:sz w:val="20"/>
          <w:szCs w:val="20"/>
          <w:color w:val="auto"/>
        </w:rPr>
      </w:pPr>
    </w:p>
    <w:tbl>
      <w:tblPr>
        <w:tblLayout w:type="fixed"/>
        <w:tblInd w:w="960" w:type="dxa"/>
        <w:tblCellMar>
          <w:top w:w="0" w:type="dxa"/>
          <w:left w:w="0" w:type="dxa"/>
          <w:bottom w:w="0" w:type="dxa"/>
          <w:right w:w="0" w:type="dxa"/>
        </w:tblCellMar>
      </w:tblPr>
      <w:tr>
        <w:trPr>
          <w:trHeight w:val="293"/>
        </w:trPr>
        <w:tc>
          <w:tcPr>
            <w:tcW w:w="1220" w:type="dxa"/>
            <w:vAlign w:val="bottom"/>
            <w:gridSpan w:val="4"/>
          </w:tcPr>
          <w:p>
            <w:pPr>
              <w:spacing w:after="0"/>
              <w:rPr>
                <w:rFonts w:ascii="Arial" w:cs="Arial" w:eastAsia="Arial" w:hAnsi="Arial"/>
                <w:sz w:val="22"/>
                <w:szCs w:val="22"/>
                <w:b w:val="1"/>
                <w:bCs w:val="1"/>
                <w:color w:val="0000EE"/>
              </w:rPr>
            </w:pPr>
            <w:hyperlink w:anchor="page16">
              <w:r>
                <w:rPr>
                  <w:rFonts w:ascii="Arial" w:cs="Arial" w:eastAsia="Arial" w:hAnsi="Arial"/>
                  <w:sz w:val="22"/>
                  <w:szCs w:val="22"/>
                  <w:b w:val="1"/>
                  <w:bCs w:val="1"/>
                  <w:color w:val="0000EE"/>
                </w:rPr>
                <w:t>ITEM 5.</w:t>
              </w:r>
            </w:hyperlink>
          </w:p>
        </w:tc>
        <w:tc>
          <w:tcPr>
            <w:tcW w:w="7640" w:type="dxa"/>
            <w:vAlign w:val="bottom"/>
            <w:gridSpan w:val="20"/>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Market for Registrant’s Common Equity, Related Stockholder Matters, and Issuer Purchases of Equity</w:t>
              </w:r>
            </w:hyperlink>
          </w:p>
        </w:tc>
      </w:tr>
      <w:tr>
        <w:trPr>
          <w:trHeight w:val="203"/>
        </w:trPr>
        <w:tc>
          <w:tcPr>
            <w:tcW w:w="7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Securities</w:t>
              </w:r>
            </w:hyperlink>
          </w:p>
        </w:tc>
        <w:tc>
          <w:tcPr>
            <w:tcW w:w="6400" w:type="dxa"/>
            <w:vAlign w:val="bottom"/>
            <w:tcBorders>
              <w:top w:val="single" w:sz="8" w:color="0000EE"/>
            </w:tcBorders>
            <w:gridSpan w:val="15"/>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40" w:type="dxa"/>
            <w:vAlign w:val="bottom"/>
            <w:gridSpan w:val="20"/>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The Toro Company Common Stock Comparative Performance Graph</w:t>
              </w:r>
            </w:hyperlink>
          </w:p>
        </w:tc>
      </w:tr>
      <w:tr>
        <w:trPr>
          <w:trHeight w:val="264"/>
        </w:trPr>
        <w:tc>
          <w:tcPr>
            <w:tcW w:w="1220" w:type="dxa"/>
            <w:vAlign w:val="bottom"/>
            <w:gridSpan w:val="4"/>
          </w:tcPr>
          <w:p>
            <w:pPr>
              <w:spacing w:after="0" w:line="244" w:lineRule="exact"/>
              <w:rPr>
                <w:rFonts w:ascii="Arial" w:cs="Arial" w:eastAsia="Arial" w:hAnsi="Arial"/>
                <w:sz w:val="22"/>
                <w:szCs w:val="22"/>
                <w:b w:val="1"/>
                <w:bCs w:val="1"/>
                <w:color w:val="0000EE"/>
              </w:rPr>
            </w:pPr>
            <w:hyperlink w:anchor="page18">
              <w:r>
                <w:rPr>
                  <w:rFonts w:ascii="Arial" w:cs="Arial" w:eastAsia="Arial" w:hAnsi="Arial"/>
                  <w:sz w:val="22"/>
                  <w:szCs w:val="22"/>
                  <w:b w:val="1"/>
                  <w:bCs w:val="1"/>
                  <w:color w:val="0000EE"/>
                </w:rPr>
                <w:t>ITEM 6.</w:t>
              </w:r>
            </w:hyperlink>
          </w:p>
        </w:tc>
        <w:tc>
          <w:tcPr>
            <w:tcW w:w="4960" w:type="dxa"/>
            <w:vAlign w:val="bottom"/>
            <w:tcBorders>
              <w:top w:val="single" w:sz="8" w:color="0000EE"/>
            </w:tcBorders>
            <w:gridSpan w:val="14"/>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Selected Financial Data</w:t>
              </w:r>
            </w:hyperlink>
          </w:p>
        </w:tc>
        <w:tc>
          <w:tcPr>
            <w:tcW w:w="2680" w:type="dxa"/>
            <w:vAlign w:val="bottom"/>
            <w:gridSpan w:val="6"/>
          </w:tcPr>
          <w:p>
            <w:pPr>
              <w:spacing w:after="0"/>
              <w:rPr>
                <w:sz w:val="22"/>
                <w:szCs w:val="22"/>
                <w:color w:val="auto"/>
              </w:rPr>
            </w:pPr>
          </w:p>
        </w:tc>
      </w:tr>
      <w:tr>
        <w:trPr>
          <w:trHeight w:val="27"/>
        </w:trPr>
        <w:tc>
          <w:tcPr>
            <w:tcW w:w="7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940" w:type="dxa"/>
            <w:vAlign w:val="bottom"/>
            <w:gridSpan w:val="2"/>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1220" w:type="dxa"/>
            <w:vAlign w:val="bottom"/>
            <w:gridSpan w:val="4"/>
          </w:tcPr>
          <w:p>
            <w:pPr>
              <w:spacing w:after="0" w:line="237" w:lineRule="exact"/>
              <w:rPr>
                <w:rFonts w:ascii="Arial" w:cs="Arial" w:eastAsia="Arial" w:hAnsi="Arial"/>
                <w:sz w:val="22"/>
                <w:szCs w:val="22"/>
                <w:b w:val="1"/>
                <w:bCs w:val="1"/>
                <w:color w:val="0000EE"/>
              </w:rPr>
            </w:pPr>
            <w:hyperlink w:anchor="page19">
              <w:r>
                <w:rPr>
                  <w:rFonts w:ascii="Arial" w:cs="Arial" w:eastAsia="Arial" w:hAnsi="Arial"/>
                  <w:sz w:val="22"/>
                  <w:szCs w:val="22"/>
                  <w:b w:val="1"/>
                  <w:bCs w:val="1"/>
                  <w:color w:val="0000EE"/>
                </w:rPr>
                <w:t>ITEM 7.</w:t>
              </w:r>
            </w:hyperlink>
          </w:p>
        </w:tc>
        <w:tc>
          <w:tcPr>
            <w:tcW w:w="7640" w:type="dxa"/>
            <w:vAlign w:val="bottom"/>
            <w:gridSpan w:val="20"/>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Management’s Discussion and Analysis of Financial Condition and Results of Operations</w:t>
              </w:r>
            </w:hyperlink>
          </w:p>
        </w:tc>
      </w:tr>
      <w:tr>
        <w:trPr>
          <w:trHeight w:val="27"/>
        </w:trPr>
        <w:tc>
          <w:tcPr>
            <w:tcW w:w="7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940" w:type="dxa"/>
            <w:vAlign w:val="bottom"/>
            <w:gridSpan w:val="2"/>
            <w:shd w:val="clear" w:color="auto" w:fill="0000EE"/>
          </w:tcPr>
          <w:p>
            <w:pPr>
              <w:spacing w:after="0"/>
              <w:rPr>
                <w:sz w:val="2"/>
                <w:szCs w:val="2"/>
                <w:color w:val="auto"/>
              </w:rPr>
            </w:pPr>
          </w:p>
        </w:tc>
        <w:tc>
          <w:tcPr>
            <w:tcW w:w="540" w:type="dxa"/>
            <w:vAlign w:val="bottom"/>
            <w:gridSpan w:val="2"/>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40" w:type="dxa"/>
            <w:vAlign w:val="bottom"/>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64"/>
        </w:trPr>
        <w:tc>
          <w:tcPr>
            <w:tcW w:w="940" w:type="dxa"/>
            <w:vAlign w:val="bottom"/>
            <w:gridSpan w:val="3"/>
          </w:tcPr>
          <w:p>
            <w:pPr>
              <w:spacing w:after="0" w:line="237" w:lineRule="exact"/>
              <w:rPr>
                <w:rFonts w:ascii="Arial" w:cs="Arial" w:eastAsia="Arial" w:hAnsi="Arial"/>
                <w:sz w:val="22"/>
                <w:szCs w:val="22"/>
                <w:b w:val="1"/>
                <w:bCs w:val="1"/>
                <w:color w:val="0000EE"/>
                <w:w w:val="98"/>
              </w:rPr>
            </w:pPr>
            <w:hyperlink w:anchor="page30">
              <w:r>
                <w:rPr>
                  <w:rFonts w:ascii="Arial" w:cs="Arial" w:eastAsia="Arial" w:hAnsi="Arial"/>
                  <w:sz w:val="22"/>
                  <w:szCs w:val="22"/>
                  <w:b w:val="1"/>
                  <w:bCs w:val="1"/>
                  <w:color w:val="0000EE"/>
                  <w:w w:val="98"/>
                </w:rPr>
                <w:t>ITEM 7A.</w:t>
              </w:r>
            </w:hyperlink>
          </w:p>
        </w:tc>
        <w:tc>
          <w:tcPr>
            <w:tcW w:w="280" w:type="dxa"/>
            <w:vAlign w:val="bottom"/>
          </w:tcPr>
          <w:p>
            <w:pPr>
              <w:spacing w:after="0"/>
              <w:rPr>
                <w:sz w:val="22"/>
                <w:szCs w:val="22"/>
                <w:color w:val="auto"/>
              </w:rPr>
            </w:pPr>
          </w:p>
        </w:tc>
        <w:tc>
          <w:tcPr>
            <w:tcW w:w="7640" w:type="dxa"/>
            <w:vAlign w:val="bottom"/>
            <w:gridSpan w:val="2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Quantitative and Qualitative Disclosures about Market Risk</w:t>
              </w:r>
            </w:hyperlink>
          </w:p>
        </w:tc>
      </w:tr>
      <w:tr>
        <w:trPr>
          <w:trHeight w:val="277"/>
        </w:trPr>
        <w:tc>
          <w:tcPr>
            <w:tcW w:w="940" w:type="dxa"/>
            <w:vAlign w:val="bottom"/>
            <w:tcBorders>
              <w:top w:val="single" w:sz="8" w:color="0000EE"/>
            </w:tcBorders>
            <w:gridSpan w:val="3"/>
          </w:tcPr>
          <w:p>
            <w:pPr>
              <w:spacing w:after="0" w:line="237" w:lineRule="exact"/>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ITEM 8.</w:t>
              </w:r>
            </w:hyperlink>
          </w:p>
        </w:tc>
        <w:tc>
          <w:tcPr>
            <w:tcW w:w="28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Financial Statements and Supplementary Data</w:t>
              </w:r>
            </w:hyperlink>
          </w:p>
        </w:tc>
        <w:tc>
          <w:tcPr>
            <w:tcW w:w="860" w:type="dxa"/>
            <w:vAlign w:val="bottom"/>
            <w:tcBorders>
              <w:top w:val="single" w:sz="8" w:color="0000EE"/>
            </w:tcBorders>
          </w:tcPr>
          <w:p>
            <w:pPr>
              <w:spacing w:after="0"/>
              <w:rPr>
                <w:sz w:val="24"/>
                <w:szCs w:val="24"/>
                <w:color w:val="auto"/>
              </w:rPr>
            </w:pPr>
          </w:p>
        </w:tc>
        <w:tc>
          <w:tcPr>
            <w:tcW w:w="3420" w:type="dxa"/>
            <w:vAlign w:val="bottom"/>
            <w:gridSpan w:val="10"/>
          </w:tcPr>
          <w:p>
            <w:pPr>
              <w:spacing w:after="0"/>
              <w:rPr>
                <w:sz w:val="24"/>
                <w:szCs w:val="24"/>
                <w:color w:val="auto"/>
              </w:rPr>
            </w:pPr>
          </w:p>
        </w:tc>
      </w:tr>
      <w:tr>
        <w:trPr>
          <w:trHeight w:val="244"/>
        </w:trPr>
        <w:tc>
          <w:tcPr>
            <w:tcW w:w="76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Borders>
              <w:bottom w:val="single" w:sz="8" w:color="0000EE"/>
            </w:tcBorders>
            <w:gridSpan w:val="12"/>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Management’s Report on Internal Control over Financial Reporting</w:t>
              </w:r>
            </w:hyperlink>
          </w:p>
        </w:tc>
        <w:tc>
          <w:tcPr>
            <w:tcW w:w="2700" w:type="dxa"/>
            <w:vAlign w:val="bottom"/>
            <w:gridSpan w:val="7"/>
          </w:tcPr>
          <w:p>
            <w:pPr>
              <w:spacing w:after="0"/>
              <w:rPr>
                <w:sz w:val="21"/>
                <w:szCs w:val="21"/>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80" w:type="dxa"/>
            <w:vAlign w:val="bottom"/>
            <w:gridSpan w:val="1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Report of Independent Registered Public Accounting Firm</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80" w:type="dxa"/>
            <w:vAlign w:val="bottom"/>
            <w:gridSpan w:val="1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Consolidated Statements of Earnings for the fiscal years ended October 31, 2007, 2006, and 2005</w:t>
              </w:r>
            </w:hyperlink>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40" w:type="dxa"/>
            <w:vAlign w:val="bottom"/>
            <w:tcBorders>
              <w:top w:val="single" w:sz="8" w:color="0000EE"/>
            </w:tcBorders>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Consolidated Balance Sheets as of October 31, 2007 and 2006</w:t>
              </w:r>
            </w:hyperlink>
          </w:p>
        </w:tc>
        <w:tc>
          <w:tcPr>
            <w:tcW w:w="440" w:type="dxa"/>
            <w:vAlign w:val="bottom"/>
            <w:gridSpan w:val="3"/>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60" w:type="dxa"/>
            <w:vAlign w:val="bottom"/>
            <w:tcBorders>
              <w:bottom w:val="single" w:sz="8" w:color="0000EE"/>
            </w:tcBorders>
            <w:gridSpan w:val="1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Consolidated Statements of Cash Flows for the fiscal years ended October 31, 2007, 2006, and 2005</w:t>
              </w:r>
            </w:hyperlink>
          </w:p>
        </w:tc>
        <w:tc>
          <w:tcPr>
            <w:tcW w:w="2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80" w:type="dxa"/>
            <w:vAlign w:val="bottom"/>
            <w:tcBorders>
              <w:bottom w:val="single" w:sz="8" w:color="0000EE"/>
            </w:tcBorders>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Consolidated Statements of Stockholders’ Equity and Comprehensive Income for the fiscal years ended</w:t>
              </w:r>
            </w:hyperlink>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Borders>
              <w:bottom w:val="single" w:sz="8" w:color="0000EE"/>
            </w:tcBorders>
            <w:gridSpan w:val="5"/>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October 31, 2007, 2006, and 2005</w:t>
              </w:r>
            </w:hyperlink>
          </w:p>
        </w:tc>
        <w:tc>
          <w:tcPr>
            <w:tcW w:w="4840" w:type="dxa"/>
            <w:vAlign w:val="bottom"/>
            <w:gridSpan w:val="13"/>
          </w:tcPr>
          <w:p>
            <w:pPr>
              <w:spacing w:after="0"/>
              <w:rPr>
                <w:sz w:val="18"/>
                <w:szCs w:val="18"/>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60" w:type="dxa"/>
            <w:vAlign w:val="bottom"/>
            <w:tcBorders>
              <w:bottom w:val="single" w:sz="8" w:color="0000EE"/>
            </w:tcBorders>
            <w:gridSpan w:val="7"/>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Notes to Consolidated Financial Statements</w:t>
              </w:r>
            </w:hyperlink>
          </w:p>
        </w:tc>
        <w:tc>
          <w:tcPr>
            <w:tcW w:w="4320" w:type="dxa"/>
            <w:vAlign w:val="bottom"/>
            <w:gridSpan w:val="12"/>
          </w:tcPr>
          <w:p>
            <w:pPr>
              <w:spacing w:after="0"/>
              <w:rPr>
                <w:sz w:val="22"/>
                <w:szCs w:val="22"/>
                <w:color w:val="auto"/>
              </w:rPr>
            </w:pPr>
          </w:p>
        </w:tc>
      </w:tr>
      <w:tr>
        <w:trPr>
          <w:trHeight w:val="264"/>
        </w:trPr>
        <w:tc>
          <w:tcPr>
            <w:tcW w:w="1220" w:type="dxa"/>
            <w:vAlign w:val="bottom"/>
            <w:gridSpan w:val="4"/>
          </w:tcPr>
          <w:p>
            <w:pPr>
              <w:spacing w:after="0"/>
              <w:rPr>
                <w:rFonts w:ascii="Arial" w:cs="Arial" w:eastAsia="Arial" w:hAnsi="Arial"/>
                <w:sz w:val="22"/>
                <w:szCs w:val="22"/>
                <w:b w:val="1"/>
                <w:bCs w:val="1"/>
                <w:color w:val="0000EE"/>
              </w:rPr>
            </w:pPr>
            <w:hyperlink w:anchor="page49">
              <w:r>
                <w:rPr>
                  <w:rFonts w:ascii="Arial" w:cs="Arial" w:eastAsia="Arial" w:hAnsi="Arial"/>
                  <w:sz w:val="22"/>
                  <w:szCs w:val="22"/>
                  <w:b w:val="1"/>
                  <w:bCs w:val="1"/>
                  <w:color w:val="0000EE"/>
                </w:rPr>
                <w:t>ITEM 9.</w:t>
              </w:r>
            </w:hyperlink>
          </w:p>
        </w:tc>
        <w:tc>
          <w:tcPr>
            <w:tcW w:w="6420" w:type="dxa"/>
            <w:vAlign w:val="bottom"/>
            <w:gridSpan w:val="16"/>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Changes in and Disagreements with Accountants on Accounting and Financial Disclosure</w:t>
              </w:r>
            </w:hyperlink>
          </w:p>
        </w:tc>
        <w:tc>
          <w:tcPr>
            <w:tcW w:w="1220" w:type="dxa"/>
            <w:vAlign w:val="bottom"/>
            <w:gridSpan w:val="4"/>
          </w:tcPr>
          <w:p>
            <w:pPr>
              <w:spacing w:after="0"/>
              <w:rPr>
                <w:sz w:val="22"/>
                <w:szCs w:val="22"/>
                <w:color w:val="auto"/>
              </w:rPr>
            </w:pPr>
          </w:p>
        </w:tc>
      </w:tr>
      <w:tr>
        <w:trPr>
          <w:trHeight w:val="27"/>
        </w:trPr>
        <w:tc>
          <w:tcPr>
            <w:tcW w:w="7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60" w:type="dxa"/>
            <w:vAlign w:val="bottom"/>
            <w:gridSpan w:val="4"/>
            <w:shd w:val="clear" w:color="auto" w:fill="0000EE"/>
          </w:tcPr>
          <w:p>
            <w:pPr>
              <w:spacing w:after="0"/>
              <w:rPr>
                <w:sz w:val="2"/>
                <w:szCs w:val="2"/>
                <w:color w:val="auto"/>
              </w:rPr>
            </w:pPr>
          </w:p>
        </w:tc>
        <w:tc>
          <w:tcPr>
            <w:tcW w:w="540" w:type="dxa"/>
            <w:vAlign w:val="bottom"/>
            <w:gridSpan w:val="2"/>
            <w:shd w:val="clear" w:color="auto" w:fill="0000EE"/>
          </w:tcPr>
          <w:p>
            <w:pPr>
              <w:spacing w:after="0"/>
              <w:rPr>
                <w:sz w:val="2"/>
                <w:szCs w:val="2"/>
                <w:color w:val="auto"/>
              </w:rPr>
            </w:pPr>
          </w:p>
        </w:tc>
        <w:tc>
          <w:tcPr>
            <w:tcW w:w="4620" w:type="dxa"/>
            <w:vAlign w:val="bottom"/>
            <w:gridSpan w:val="10"/>
            <w:shd w:val="clear" w:color="auto" w:fill="0000EE"/>
          </w:tcPr>
          <w:p>
            <w:pPr>
              <w:spacing w:after="0"/>
              <w:rPr>
                <w:sz w:val="2"/>
                <w:szCs w:val="2"/>
                <w:color w:val="auto"/>
              </w:rPr>
            </w:pPr>
          </w:p>
        </w:tc>
        <w:tc>
          <w:tcPr>
            <w:tcW w:w="1220" w:type="dxa"/>
            <w:vAlign w:val="bottom"/>
            <w:gridSpan w:val="4"/>
          </w:tcPr>
          <w:p>
            <w:pPr>
              <w:spacing w:after="0"/>
              <w:rPr>
                <w:sz w:val="2"/>
                <w:szCs w:val="2"/>
                <w:color w:val="auto"/>
              </w:rPr>
            </w:pPr>
          </w:p>
        </w:tc>
      </w:tr>
      <w:tr>
        <w:trPr>
          <w:trHeight w:val="264"/>
        </w:trPr>
        <w:tc>
          <w:tcPr>
            <w:tcW w:w="920" w:type="dxa"/>
            <w:vAlign w:val="bottom"/>
            <w:tcBorders>
              <w:bottom w:val="single" w:sz="8" w:color="0000EE"/>
            </w:tcBorders>
            <w:gridSpan w:val="2"/>
          </w:tcPr>
          <w:p>
            <w:pPr>
              <w:spacing w:after="0" w:line="237" w:lineRule="exact"/>
              <w:rPr>
                <w:rFonts w:ascii="Arial" w:cs="Arial" w:eastAsia="Arial" w:hAnsi="Arial"/>
                <w:sz w:val="22"/>
                <w:szCs w:val="22"/>
                <w:b w:val="1"/>
                <w:bCs w:val="1"/>
                <w:color w:val="0000EE"/>
                <w:w w:val="96"/>
              </w:rPr>
            </w:pPr>
            <w:hyperlink w:anchor="page49">
              <w:r>
                <w:rPr>
                  <w:rFonts w:ascii="Arial" w:cs="Arial" w:eastAsia="Arial" w:hAnsi="Arial"/>
                  <w:sz w:val="22"/>
                  <w:szCs w:val="22"/>
                  <w:b w:val="1"/>
                  <w:bCs w:val="1"/>
                  <w:color w:val="0000EE"/>
                  <w:w w:val="96"/>
                </w:rPr>
                <w:t>ITEM 9A.</w:t>
              </w:r>
            </w:hyperlink>
          </w:p>
        </w:tc>
        <w:tc>
          <w:tcPr>
            <w:tcW w:w="300" w:type="dxa"/>
            <w:vAlign w:val="bottom"/>
            <w:gridSpan w:val="2"/>
          </w:tcPr>
          <w:p>
            <w:pPr>
              <w:spacing w:after="0"/>
              <w:rPr>
                <w:sz w:val="22"/>
                <w:szCs w:val="22"/>
                <w:color w:val="auto"/>
              </w:rPr>
            </w:pPr>
          </w:p>
        </w:tc>
        <w:tc>
          <w:tcPr>
            <w:tcW w:w="1800" w:type="dxa"/>
            <w:vAlign w:val="bottom"/>
            <w:tcBorders>
              <w:bottom w:val="single" w:sz="8" w:color="0000EE"/>
            </w:tcBorders>
            <w:gridSpan w:val="6"/>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Controls and Procedures</w:t>
              </w:r>
            </w:hyperlink>
          </w:p>
        </w:tc>
        <w:tc>
          <w:tcPr>
            <w:tcW w:w="5840" w:type="dxa"/>
            <w:vAlign w:val="bottom"/>
            <w:gridSpan w:val="14"/>
          </w:tcPr>
          <w:p>
            <w:pPr>
              <w:spacing w:after="0"/>
              <w:rPr>
                <w:sz w:val="22"/>
                <w:szCs w:val="22"/>
                <w:color w:val="auto"/>
              </w:rPr>
            </w:pPr>
          </w:p>
        </w:tc>
      </w:tr>
      <w:tr>
        <w:trPr>
          <w:trHeight w:val="257"/>
        </w:trPr>
        <w:tc>
          <w:tcPr>
            <w:tcW w:w="920" w:type="dxa"/>
            <w:vAlign w:val="bottom"/>
            <w:gridSpan w:val="2"/>
          </w:tcPr>
          <w:p>
            <w:pPr>
              <w:spacing w:after="0" w:line="237" w:lineRule="exact"/>
              <w:rPr>
                <w:rFonts w:ascii="Arial" w:cs="Arial" w:eastAsia="Arial" w:hAnsi="Arial"/>
                <w:sz w:val="22"/>
                <w:szCs w:val="22"/>
                <w:b w:val="1"/>
                <w:bCs w:val="1"/>
                <w:color w:val="0000EE"/>
                <w:w w:val="96"/>
              </w:rPr>
            </w:pPr>
            <w:hyperlink w:anchor="page49">
              <w:r>
                <w:rPr>
                  <w:rFonts w:ascii="Arial" w:cs="Arial" w:eastAsia="Arial" w:hAnsi="Arial"/>
                  <w:sz w:val="22"/>
                  <w:szCs w:val="22"/>
                  <w:b w:val="1"/>
                  <w:bCs w:val="1"/>
                  <w:color w:val="0000EE"/>
                  <w:w w:val="96"/>
                </w:rPr>
                <w:t>ITEM 9B.</w:t>
              </w:r>
            </w:hyperlink>
          </w:p>
        </w:tc>
        <w:tc>
          <w:tcPr>
            <w:tcW w:w="300" w:type="dxa"/>
            <w:vAlign w:val="bottom"/>
            <w:gridSpan w:val="2"/>
          </w:tcPr>
          <w:p>
            <w:pPr>
              <w:spacing w:after="0"/>
              <w:rPr>
                <w:sz w:val="22"/>
                <w:szCs w:val="22"/>
                <w:color w:val="auto"/>
              </w:rPr>
            </w:pPr>
          </w:p>
        </w:tc>
        <w:tc>
          <w:tcPr>
            <w:tcW w:w="7640" w:type="dxa"/>
            <w:vAlign w:val="bottom"/>
            <w:gridSpan w:val="20"/>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Other Information</w:t>
              </w:r>
            </w:hyperlink>
          </w:p>
        </w:tc>
      </w:tr>
      <w:tr>
        <w:trPr>
          <w:trHeight w:val="27"/>
        </w:trPr>
        <w:tc>
          <w:tcPr>
            <w:tcW w:w="7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59" w:lineRule="exact"/>
        <w:rPr>
          <w:sz w:val="20"/>
          <w:szCs w:val="20"/>
          <w:color w:val="auto"/>
        </w:rPr>
      </w:pPr>
    </w:p>
    <w:p>
      <w:pPr>
        <w:ind w:left="960"/>
        <w:spacing w:after="0"/>
        <w:rPr>
          <w:rFonts w:ascii="Arial" w:cs="Arial" w:eastAsia="Arial" w:hAnsi="Arial"/>
          <w:sz w:val="25"/>
          <w:szCs w:val="25"/>
          <w:b w:val="1"/>
          <w:bCs w:val="1"/>
          <w:u w:val="single" w:color="auto"/>
          <w:color w:val="0000EE"/>
        </w:rPr>
      </w:pPr>
      <w:hyperlink w:anchor="page49">
        <w:r>
          <w:rPr>
            <w:rFonts w:ascii="Arial" w:cs="Arial" w:eastAsia="Arial" w:hAnsi="Arial"/>
            <w:sz w:val="25"/>
            <w:szCs w:val="25"/>
            <w:b w:val="1"/>
            <w:bCs w:val="1"/>
            <w:u w:val="single" w:color="auto"/>
            <w:color w:val="0000EE"/>
          </w:rPr>
          <w:t>PART III</w:t>
        </w:r>
      </w:hyperlink>
    </w:p>
    <w:p>
      <w:pPr>
        <w:spacing w:after="0" w:line="10" w:lineRule="exact"/>
        <w:rPr>
          <w:sz w:val="20"/>
          <w:szCs w:val="20"/>
          <w:color w:val="auto"/>
        </w:rPr>
      </w:pPr>
    </w:p>
    <w:tbl>
      <w:tblPr>
        <w:tblLayout w:type="fixed"/>
        <w:tblInd w:w="960" w:type="dxa"/>
        <w:tblCellMar>
          <w:top w:w="0" w:type="dxa"/>
          <w:left w:w="0" w:type="dxa"/>
          <w:bottom w:w="0" w:type="dxa"/>
          <w:right w:w="0" w:type="dxa"/>
        </w:tblCellMar>
      </w:tblPr>
      <w:tr>
        <w:trPr>
          <w:trHeight w:val="273"/>
        </w:trPr>
        <w:tc>
          <w:tcPr>
            <w:tcW w:w="1220" w:type="dxa"/>
            <w:vAlign w:val="bottom"/>
            <w:gridSpan w:val="2"/>
          </w:tcPr>
          <w:p>
            <w:pPr>
              <w:spacing w:after="0"/>
              <w:rPr>
                <w:rFonts w:ascii="Arial" w:cs="Arial" w:eastAsia="Arial" w:hAnsi="Arial"/>
                <w:sz w:val="22"/>
                <w:szCs w:val="22"/>
                <w:b w:val="1"/>
                <w:bCs w:val="1"/>
                <w:color w:val="0000EE"/>
              </w:rPr>
            </w:pPr>
            <w:hyperlink w:anchor="page49">
              <w:r>
                <w:rPr>
                  <w:rFonts w:ascii="Arial" w:cs="Arial" w:eastAsia="Arial" w:hAnsi="Arial"/>
                  <w:sz w:val="22"/>
                  <w:szCs w:val="22"/>
                  <w:b w:val="1"/>
                  <w:bCs w:val="1"/>
                  <w:color w:val="0000EE"/>
                </w:rPr>
                <w:t>ITEM 10.</w:t>
              </w:r>
            </w:hyperlink>
          </w:p>
        </w:tc>
        <w:tc>
          <w:tcPr>
            <w:tcW w:w="7220" w:type="dxa"/>
            <w:vAlign w:val="bottom"/>
            <w:gridSpan w:val="5"/>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Directors, Executive Officers and Corporate Governance</w:t>
              </w:r>
            </w:hyperlink>
          </w:p>
        </w:tc>
      </w:tr>
      <w:tr>
        <w:trPr>
          <w:trHeight w:val="27"/>
        </w:trPr>
        <w:tc>
          <w:tcPr>
            <w:tcW w:w="8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7"/>
        </w:trPr>
        <w:tc>
          <w:tcPr>
            <w:tcW w:w="1220" w:type="dxa"/>
            <w:vAlign w:val="bottom"/>
            <w:gridSpan w:val="2"/>
          </w:tcPr>
          <w:p>
            <w:pPr>
              <w:spacing w:after="0" w:line="237" w:lineRule="exact"/>
              <w:rPr>
                <w:rFonts w:ascii="Arial" w:cs="Arial" w:eastAsia="Arial" w:hAnsi="Arial"/>
                <w:sz w:val="22"/>
                <w:szCs w:val="22"/>
                <w:b w:val="1"/>
                <w:bCs w:val="1"/>
                <w:color w:val="0000EE"/>
              </w:rPr>
            </w:pPr>
            <w:hyperlink w:anchor="page50">
              <w:r>
                <w:rPr>
                  <w:rFonts w:ascii="Arial" w:cs="Arial" w:eastAsia="Arial" w:hAnsi="Arial"/>
                  <w:sz w:val="22"/>
                  <w:szCs w:val="22"/>
                  <w:b w:val="1"/>
                  <w:bCs w:val="1"/>
                  <w:color w:val="0000EE"/>
                </w:rPr>
                <w:t>ITEM 11.</w:t>
              </w:r>
            </w:hyperlink>
          </w:p>
        </w:tc>
        <w:tc>
          <w:tcPr>
            <w:tcW w:w="7220" w:type="dxa"/>
            <w:vAlign w:val="bottom"/>
            <w:gridSpan w:val="5"/>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Executive Compensation</w:t>
              </w:r>
            </w:hyperlink>
          </w:p>
        </w:tc>
      </w:tr>
      <w:tr>
        <w:trPr>
          <w:trHeight w:val="27"/>
        </w:trPr>
        <w:tc>
          <w:tcPr>
            <w:tcW w:w="8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r>
      <w:tr>
        <w:trPr>
          <w:trHeight w:val="257"/>
        </w:trPr>
        <w:tc>
          <w:tcPr>
            <w:tcW w:w="1220" w:type="dxa"/>
            <w:vAlign w:val="bottom"/>
            <w:gridSpan w:val="2"/>
          </w:tcPr>
          <w:p>
            <w:pPr>
              <w:spacing w:after="0" w:line="237" w:lineRule="exact"/>
              <w:rPr>
                <w:rFonts w:ascii="Arial" w:cs="Arial" w:eastAsia="Arial" w:hAnsi="Arial"/>
                <w:sz w:val="22"/>
                <w:szCs w:val="22"/>
                <w:b w:val="1"/>
                <w:bCs w:val="1"/>
                <w:color w:val="0000EE"/>
              </w:rPr>
            </w:pPr>
            <w:hyperlink w:anchor="page50">
              <w:r>
                <w:rPr>
                  <w:rFonts w:ascii="Arial" w:cs="Arial" w:eastAsia="Arial" w:hAnsi="Arial"/>
                  <w:sz w:val="22"/>
                  <w:szCs w:val="22"/>
                  <w:b w:val="1"/>
                  <w:bCs w:val="1"/>
                  <w:color w:val="0000EE"/>
                </w:rPr>
                <w:t>ITEM 12.</w:t>
              </w:r>
            </w:hyperlink>
          </w:p>
        </w:tc>
        <w:tc>
          <w:tcPr>
            <w:tcW w:w="7220" w:type="dxa"/>
            <w:vAlign w:val="bottom"/>
            <w:gridSpan w:val="5"/>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Security Ownership of Certain Beneficial Owners and Management and Related Stockholder Matters</w:t>
              </w:r>
            </w:hyperlink>
          </w:p>
        </w:tc>
      </w:tr>
      <w:tr>
        <w:trPr>
          <w:trHeight w:val="27"/>
        </w:trPr>
        <w:tc>
          <w:tcPr>
            <w:tcW w:w="8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r>
      <w:tr>
        <w:trPr>
          <w:trHeight w:val="257"/>
        </w:trPr>
        <w:tc>
          <w:tcPr>
            <w:tcW w:w="1220" w:type="dxa"/>
            <w:vAlign w:val="bottom"/>
            <w:gridSpan w:val="2"/>
          </w:tcPr>
          <w:p>
            <w:pPr>
              <w:spacing w:after="0" w:line="237" w:lineRule="exact"/>
              <w:rPr>
                <w:rFonts w:ascii="Arial" w:cs="Arial" w:eastAsia="Arial" w:hAnsi="Arial"/>
                <w:sz w:val="22"/>
                <w:szCs w:val="22"/>
                <w:b w:val="1"/>
                <w:bCs w:val="1"/>
                <w:color w:val="0000EE"/>
              </w:rPr>
            </w:pPr>
            <w:hyperlink w:anchor="page50">
              <w:r>
                <w:rPr>
                  <w:rFonts w:ascii="Arial" w:cs="Arial" w:eastAsia="Arial" w:hAnsi="Arial"/>
                  <w:sz w:val="22"/>
                  <w:szCs w:val="22"/>
                  <w:b w:val="1"/>
                  <w:bCs w:val="1"/>
                  <w:color w:val="0000EE"/>
                </w:rPr>
                <w:t>ITEM 13.</w:t>
              </w:r>
            </w:hyperlink>
          </w:p>
        </w:tc>
        <w:tc>
          <w:tcPr>
            <w:tcW w:w="7220" w:type="dxa"/>
            <w:vAlign w:val="bottom"/>
            <w:gridSpan w:val="5"/>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Certain Relationships and Related Transactions, and Director Independence</w:t>
              </w:r>
            </w:hyperlink>
          </w:p>
        </w:tc>
      </w:tr>
      <w:tr>
        <w:trPr>
          <w:trHeight w:val="27"/>
        </w:trPr>
        <w:tc>
          <w:tcPr>
            <w:tcW w:w="8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740" w:type="dxa"/>
            <w:vAlign w:val="bottom"/>
          </w:tcPr>
          <w:p>
            <w:pPr>
              <w:spacing w:after="0"/>
              <w:rPr>
                <w:sz w:val="2"/>
                <w:szCs w:val="2"/>
                <w:color w:val="auto"/>
              </w:rPr>
            </w:pPr>
          </w:p>
        </w:tc>
      </w:tr>
      <w:tr>
        <w:trPr>
          <w:trHeight w:val="257"/>
        </w:trPr>
        <w:tc>
          <w:tcPr>
            <w:tcW w:w="1220" w:type="dxa"/>
            <w:vAlign w:val="bottom"/>
            <w:gridSpan w:val="2"/>
          </w:tcPr>
          <w:p>
            <w:pPr>
              <w:spacing w:after="0" w:line="237" w:lineRule="exact"/>
              <w:rPr>
                <w:rFonts w:ascii="Arial" w:cs="Arial" w:eastAsia="Arial" w:hAnsi="Arial"/>
                <w:sz w:val="22"/>
                <w:szCs w:val="22"/>
                <w:b w:val="1"/>
                <w:bCs w:val="1"/>
                <w:color w:val="0000EE"/>
              </w:rPr>
            </w:pPr>
            <w:hyperlink w:anchor="page50">
              <w:r>
                <w:rPr>
                  <w:rFonts w:ascii="Arial" w:cs="Arial" w:eastAsia="Arial" w:hAnsi="Arial"/>
                  <w:sz w:val="22"/>
                  <w:szCs w:val="22"/>
                  <w:b w:val="1"/>
                  <w:bCs w:val="1"/>
                  <w:color w:val="0000EE"/>
                </w:rPr>
                <w:t>ITEM 14.</w:t>
              </w:r>
            </w:hyperlink>
          </w:p>
        </w:tc>
        <w:tc>
          <w:tcPr>
            <w:tcW w:w="7220" w:type="dxa"/>
            <w:vAlign w:val="bottom"/>
            <w:gridSpan w:val="5"/>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Principal Accounting Fees and Services</w:t>
              </w:r>
            </w:hyperlink>
          </w:p>
        </w:tc>
      </w:tr>
      <w:tr>
        <w:trPr>
          <w:trHeight w:val="27"/>
        </w:trPr>
        <w:tc>
          <w:tcPr>
            <w:tcW w:w="88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40" w:type="dxa"/>
            <w:vAlign w:val="bottom"/>
          </w:tcPr>
          <w:p>
            <w:pPr>
              <w:spacing w:after="0"/>
              <w:rPr>
                <w:sz w:val="2"/>
                <w:szCs w:val="2"/>
                <w:color w:val="auto"/>
              </w:rPr>
            </w:pPr>
          </w:p>
        </w:tc>
      </w:tr>
    </w:tbl>
    <w:p>
      <w:pPr>
        <w:spacing w:after="0" w:line="159" w:lineRule="exact"/>
        <w:rPr>
          <w:sz w:val="20"/>
          <w:szCs w:val="20"/>
          <w:color w:val="auto"/>
        </w:rPr>
      </w:pPr>
    </w:p>
    <w:p>
      <w:pPr>
        <w:ind w:left="960"/>
        <w:spacing w:after="0"/>
        <w:rPr>
          <w:rFonts w:ascii="Arial" w:cs="Arial" w:eastAsia="Arial" w:hAnsi="Arial"/>
          <w:sz w:val="25"/>
          <w:szCs w:val="25"/>
          <w:b w:val="1"/>
          <w:bCs w:val="1"/>
          <w:u w:val="single" w:color="auto"/>
          <w:color w:val="0000EE"/>
        </w:rPr>
      </w:pPr>
      <w:hyperlink w:anchor="page50">
        <w:r>
          <w:rPr>
            <w:rFonts w:ascii="Arial" w:cs="Arial" w:eastAsia="Arial" w:hAnsi="Arial"/>
            <w:sz w:val="25"/>
            <w:szCs w:val="25"/>
            <w:b w:val="1"/>
            <w:bCs w:val="1"/>
            <w:u w:val="single" w:color="auto"/>
            <w:color w:val="0000EE"/>
          </w:rPr>
          <w:t>PART IV</w:t>
        </w:r>
      </w:hyperlink>
    </w:p>
    <w:p>
      <w:pPr>
        <w:spacing w:after="0" w:line="62"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50">
        <w:r>
          <w:rPr>
            <w:rFonts w:ascii="Arial" w:cs="Arial" w:eastAsia="Arial" w:hAnsi="Arial"/>
            <w:sz w:val="22"/>
            <w:szCs w:val="22"/>
            <w:b w:val="1"/>
            <w:bCs w:val="1"/>
            <w:u w:val="single" w:color="auto"/>
            <w:color w:val="0000EE"/>
          </w:rPr>
          <w:t>ITEM 15.</w:t>
        </w:r>
      </w:hyperlink>
      <w:r>
        <w:rPr>
          <w:rFonts w:ascii="Arial" w:cs="Arial" w:eastAsia="Arial" w:hAnsi="Arial"/>
          <w:sz w:val="22"/>
          <w:szCs w:val="22"/>
          <w:b w:val="1"/>
          <w:bCs w:val="1"/>
          <w:u w:val="single" w:color="auto"/>
          <w:color w:val="0000EE"/>
        </w:rPr>
        <w:tab/>
      </w:r>
      <w:hyperlink w:anchor="page50">
        <w:r>
          <w:rPr>
            <w:rFonts w:ascii="Arial" w:cs="Arial" w:eastAsia="Arial" w:hAnsi="Arial"/>
            <w:sz w:val="16"/>
            <w:szCs w:val="16"/>
            <w:b w:val="1"/>
            <w:bCs w:val="1"/>
            <w:u w:val="single" w:color="auto"/>
            <w:color w:val="0000EE"/>
          </w:rPr>
          <w:t>Exhibits, Financial Statement Schedules</w:t>
        </w:r>
      </w:hyperlink>
    </w:p>
    <w:p>
      <w:pPr>
        <w:spacing w:after="0" w:line="92" w:lineRule="exact"/>
        <w:rPr>
          <w:sz w:val="20"/>
          <w:szCs w:val="20"/>
          <w:color w:val="auto"/>
        </w:rPr>
      </w:pPr>
    </w:p>
    <w:p>
      <w:pPr>
        <w:ind w:left="218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Signatures</w:t>
        </w:r>
      </w:hyperlink>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909" w:lineRule="exact"/>
        <w:rPr>
          <w:sz w:val="20"/>
          <w:szCs w:val="20"/>
          <w:color w:val="auto"/>
        </w:rPr>
      </w:pPr>
    </w:p>
    <w:p>
      <w:pPr>
        <w:sectPr>
          <w:pgSz w:w="11900" w:h="16838" w:orient="portrait"/>
          <w:cols w:equalWidth="0" w:num="2">
            <w:col w:w="9820" w:space="440"/>
            <w:col w:w="1140"/>
          </w:cols>
          <w:pgMar w:left="240" w:top="148" w:right="259"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PART I</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Introduction</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“us,” and “our” refer to The Toro Company and its subsidiaries. Our executive offices are located at 8111 Lyndale Avenue South, Bloomington, Minnesota, 55420-1196, telephone number (952) 888-8801. Our Internet address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use in 1921 when we mounted five reel mowers on a Toro Tractor, and we introduced our first lawn mower for residential use in 1939.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2007: Professional, 68 percent; Residential, 30 percent; and Other, 2 percent.</w:t>
      </w:r>
    </w:p>
    <w:p>
      <w:pPr>
        <w:spacing w:after="0" w:line="1" w:lineRule="exact"/>
        <w:rPr>
          <w:sz w:val="20"/>
          <w:szCs w:val="20"/>
          <w:color w:val="auto"/>
        </w:rPr>
      </w:pPr>
    </w:p>
    <w:p>
      <w:pPr>
        <w:ind w:right="120" w:firstLine="180"/>
        <w:spacing w:after="0" w:line="287" w:lineRule="auto"/>
        <w:rPr>
          <w:sz w:val="20"/>
          <w:szCs w:val="20"/>
          <w:color w:val="auto"/>
        </w:rPr>
      </w:pPr>
      <w:r>
        <w:rPr>
          <w:rFonts w:ascii="Arial" w:cs="Arial" w:eastAsia="Arial" w:hAnsi="Arial"/>
          <w:sz w:val="18"/>
          <w:szCs w:val="18"/>
          <w:color w:val="auto"/>
        </w:rPr>
        <w:t>Our products are advertised and sold at the retail level under the primary trademarks of Toro</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Pope</w:t>
      </w:r>
      <w:r>
        <w:rPr>
          <w:rFonts w:ascii="Arial" w:cs="Arial" w:eastAsia="Arial" w:hAnsi="Arial"/>
          <w:sz w:val="8"/>
          <w:szCs w:val="8"/>
          <w:color w:val="auto"/>
        </w:rPr>
        <w:t>®</w:t>
      </w:r>
      <w:r>
        <w:rPr>
          <w:rFonts w:ascii="Arial" w:cs="Arial" w:eastAsia="Arial" w:hAnsi="Arial"/>
          <w:sz w:val="18"/>
          <w:szCs w:val="18"/>
          <w:color w:val="auto"/>
        </w:rPr>
        <w:t>, and Lawn Genie</w:t>
      </w:r>
      <w:r>
        <w:rPr>
          <w:rFonts w:ascii="Arial" w:cs="Arial" w:eastAsia="Arial" w:hAnsi="Arial"/>
          <w:sz w:val="8"/>
          <w:szCs w:val="8"/>
          <w:color w:val="auto"/>
        </w:rPr>
        <w:t>®</w:t>
      </w:r>
      <w:r>
        <w:rPr>
          <w:rFonts w:ascii="Arial" w:cs="Arial" w:eastAsia="Arial" w:hAnsi="Arial"/>
          <w:sz w:val="18"/>
          <w:szCs w:val="18"/>
          <w:color w:val="auto"/>
        </w:rPr>
        <w:t>, most of which are registered in the United States and/or in the principal foreign countries where we market our products. This report also contains trademarks, trade names, and service marks that are owned by other persons or entities, such as The Home Depot.</w:t>
      </w:r>
    </w:p>
    <w:p>
      <w:pPr>
        <w:ind w:right="20" w:firstLine="180"/>
        <w:spacing w:after="0" w:line="277" w:lineRule="auto"/>
        <w:rPr>
          <w:sz w:val="20"/>
          <w:szCs w:val="20"/>
          <w:color w:val="auto"/>
        </w:rPr>
      </w:pPr>
      <w:r>
        <w:rPr>
          <w:rFonts w:ascii="Arial" w:cs="Arial" w:eastAsia="Arial" w:hAnsi="Arial"/>
          <w:sz w:val="18"/>
          <w:szCs w:val="18"/>
          <w:color w:val="auto"/>
        </w:rPr>
        <w:t>We emphasize quality and innovation in our products, customer service, manufacturing, and marketing. We strive to provide well-built, dependable products supported by an extensive service network. We have committed funding for engineering and research in order to improve</w:t>
      </w:r>
    </w:p>
    <w:p>
      <w:pPr>
        <w:sectPr>
          <w:pgSz w:w="11900" w:h="16838" w:orient="portrait"/>
          <w:cols w:equalWidth="0" w:num="1">
            <w:col w:w="11400"/>
          </w:cols>
          <w:pgMar w:left="240" w:top="148" w:right="25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18"/>
          <w:szCs w:val="18"/>
          <w:color w:val="auto"/>
        </w:rPr>
        <w:t>existing products and develop new products. Through these efforts, we seek to be responsive to trends that may affect our target markets now and in the future. A significant portion of our revenue has historically been, and we expect it to continue to be, attributable to new and enhanced products. At the same time, we plan to pursue targeted acquisitions using a disciplined approach that adds value to our existing brands and product portfolio. Our mission is to be the leading worldwide provider of outdoor landscaping products, support services, and integrated systems that help customers preserve and beautify their outdoor landscapes with environmentally responsible solutions of customer-valued quality and innovation. Additional information on our next-generation initiative is included in Part II, Item 7, “Management’s Discussion and Analysis of Financial Condition and Results of Operations,” of this report.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Products by Market</w:t>
      </w:r>
    </w:p>
    <w:p>
      <w:pPr>
        <w:spacing w:after="0" w:line="4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landscapes, agricultural fields, turf care maintenance, and residential demands. The following is a summary of our products by market for the professional segment and our products for the residential segment:</w:t>
      </w:r>
    </w:p>
    <w:p>
      <w:pPr>
        <w:spacing w:after="0" w:line="7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4673B6"/>
        </w:rPr>
        <w:t xml:space="preserve">Professional – </w:t>
      </w:r>
      <w:r>
        <w:rPr>
          <w:rFonts w:ascii="Arial" w:cs="Arial" w:eastAsia="Arial" w:hAnsi="Arial"/>
          <w:sz w:val="18"/>
          <w:szCs w:val="18"/>
          <w:color w:val="000000"/>
        </w:rPr>
        <w:t>We design professional turf and agricultural products and market them worldwide through a network of distributors and dealers</w:t>
      </w:r>
      <w:r>
        <w:rPr>
          <w:rFonts w:ascii="Arial" w:cs="Arial" w:eastAsia="Arial" w:hAnsi="Arial"/>
          <w:sz w:val="18"/>
          <w:szCs w:val="18"/>
          <w:b w:val="1"/>
          <w:bCs w:val="1"/>
          <w:color w:val="4673B6"/>
        </w:rPr>
        <w:t xml:space="preserve"> </w:t>
      </w:r>
      <w:r>
        <w:rPr>
          <w:rFonts w:ascii="Arial" w:cs="Arial" w:eastAsia="Arial" w:hAnsi="Arial"/>
          <w:sz w:val="18"/>
          <w:szCs w:val="18"/>
          <w:color w:val="000000"/>
        </w:rPr>
        <w:t>as well as directly to government customers and rental companies. Products are sold by distributors and dealers to professional users engaged in creating landscapes, irrigating agricultural fields, and maintaining turf, such as golf courses, sports fields, municipal properties, and residential and commercial landscapes.</w:t>
      </w:r>
    </w:p>
    <w:p>
      <w:pPr>
        <w:spacing w:after="0" w:line="71" w:lineRule="exact"/>
        <w:rPr>
          <w:sz w:val="20"/>
          <w:szCs w:val="20"/>
          <w:color w:val="auto"/>
        </w:rPr>
      </w:pPr>
    </w:p>
    <w:p>
      <w:pPr>
        <w:spacing w:after="0" w:line="280" w:lineRule="auto"/>
        <w:rPr>
          <w:sz w:val="20"/>
          <w:szCs w:val="20"/>
          <w:color w:val="auto"/>
        </w:rPr>
      </w:pPr>
      <w:r>
        <w:rPr>
          <w:rFonts w:ascii="Arial" w:cs="Arial" w:eastAsia="Arial" w:hAnsi="Arial"/>
          <w:sz w:val="18"/>
          <w:szCs w:val="18"/>
          <w:i w:val="1"/>
          <w:iCs w:val="1"/>
          <w:color w:val="4673B6"/>
        </w:rPr>
        <w:t xml:space="preserve">Landscape Contractor Market. </w:t>
      </w:r>
      <w:r>
        <w:rPr>
          <w:rFonts w:ascii="Arial" w:cs="Arial" w:eastAsia="Arial" w:hAnsi="Arial"/>
          <w:sz w:val="18"/>
          <w:szCs w:val="18"/>
          <w:color w:val="000000"/>
        </w:rPr>
        <w:t>Products for the landscape contractor market include zero-turn radius riding mowers, 21-inch heavy-duty walk</w:t>
      </w:r>
      <w:r>
        <w:rPr>
          <w:rFonts w:ascii="Arial" w:cs="Arial" w:eastAsia="Arial" w:hAnsi="Arial"/>
          <w:sz w:val="18"/>
          <w:szCs w:val="18"/>
          <w:i w:val="1"/>
          <w:iCs w:val="1"/>
          <w:color w:val="4673B6"/>
        </w:rPr>
        <w:t xml:space="preserve"> </w:t>
      </w:r>
      <w:r>
        <w:rPr>
          <w:rFonts w:ascii="Arial" w:cs="Arial" w:eastAsia="Arial" w:hAnsi="Arial"/>
          <w:sz w:val="18"/>
          <w:szCs w:val="18"/>
          <w:color w:val="000000"/>
        </w:rPr>
        <w:t>behind mowers, mid-size walk behind mowers, and compact utility loaders. These products are sold through distributors and dealers, and are also available through rental centers to individuals and companies who maintain and create residential and commercial landscapes on behalf of property owners. We market products to landscape contractors under multiple brands. In fiscal 2007, we introduced the Toro T2 T-Bar Hydro, a mid-size commercial walk-behind mower that features our easy-to-use T2 T-Bar steering controls and high performance Turboforce</w:t>
      </w:r>
      <w:r>
        <w:rPr>
          <w:rFonts w:ascii="Arial" w:cs="Arial" w:eastAsia="Arial" w:hAnsi="Arial"/>
          <w:sz w:val="8"/>
          <w:szCs w:val="8"/>
          <w:color w:val="000000"/>
        </w:rPr>
        <w:t>®</w:t>
      </w:r>
      <w:r>
        <w:rPr>
          <w:rFonts w:ascii="Arial" w:cs="Arial" w:eastAsia="Arial" w:hAnsi="Arial"/>
          <w:sz w:val="18"/>
          <w:szCs w:val="18"/>
          <w:color w:val="000000"/>
        </w:rPr>
        <w:t xml:space="preserve"> cutting deck technology. In fiscal 2007, we also introduced the Toro Z Master</w:t>
      </w:r>
      <w:r>
        <w:rPr>
          <w:rFonts w:ascii="Arial" w:cs="Arial" w:eastAsia="Arial" w:hAnsi="Arial"/>
          <w:sz w:val="8"/>
          <w:szCs w:val="8"/>
          <w:color w:val="000000"/>
        </w:rPr>
        <w:t>®</w:t>
      </w:r>
      <w:r>
        <w:rPr>
          <w:rFonts w:ascii="Arial" w:cs="Arial" w:eastAsia="Arial" w:hAnsi="Arial"/>
          <w:sz w:val="18"/>
          <w:szCs w:val="18"/>
          <w:color w:val="000000"/>
        </w:rPr>
        <w:t xml:space="preserve"> Z300 PRO Series sub-compact zero-turn radius riding mowers, combining the productivity of a zero-turn radius rider and the accessibility of a walk-behind mower, and the Exmark Quest</w:t>
      </w:r>
      <w:r>
        <w:rPr>
          <w:rFonts w:ascii="Arial" w:cs="Arial" w:eastAsia="Arial" w:hAnsi="Arial"/>
          <w:sz w:val="8"/>
          <w:szCs w:val="8"/>
          <w:color w:val="000000"/>
        </w:rPr>
        <w:t>®</w:t>
      </w:r>
      <w:r>
        <w:rPr>
          <w:rFonts w:ascii="Arial" w:cs="Arial" w:eastAsia="Arial" w:hAnsi="Arial"/>
          <w:sz w:val="18"/>
          <w:szCs w:val="18"/>
          <w:color w:val="000000"/>
        </w:rPr>
        <w:t>, a zero-turn radius riding mower that delivers commercial grade features to homeowners seeking professional results.</w:t>
      </w:r>
    </w:p>
    <w:p>
      <w:pPr>
        <w:spacing w:after="0" w:line="4" w:lineRule="exact"/>
        <w:rPr>
          <w:sz w:val="20"/>
          <w:szCs w:val="20"/>
          <w:color w:val="auto"/>
        </w:rPr>
      </w:pPr>
    </w:p>
    <w:p>
      <w:pPr>
        <w:ind w:right="300" w:firstLine="180"/>
        <w:spacing w:after="0" w:line="271" w:lineRule="auto"/>
        <w:rPr>
          <w:sz w:val="20"/>
          <w:szCs w:val="20"/>
          <w:color w:val="auto"/>
        </w:rPr>
      </w:pPr>
      <w:r>
        <w:rPr>
          <w:rFonts w:ascii="Arial" w:cs="Arial" w:eastAsia="Arial" w:hAnsi="Arial"/>
          <w:sz w:val="18"/>
          <w:szCs w:val="18"/>
          <w:color w:val="auto"/>
        </w:rPr>
        <w:t>Our compact utility loaders are cornerstone products for the Toro Sitework Systems product line. These products are designed to improve efficiency in the creation of landscapes. We offer over 35 attachments for our compact utility loaders, including trenchers, augers, vibratory plows, and backhoes.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4673B6"/>
        </w:rPr>
        <w:t xml:space="preserve">Sports Fields and Grounds Market. </w:t>
      </w:r>
      <w:r>
        <w:rPr>
          <w:rFonts w:ascii="Arial" w:cs="Arial" w:eastAsia="Arial" w:hAnsi="Arial"/>
          <w:sz w:val="18"/>
          <w:szCs w:val="18"/>
          <w:color w:val="000000"/>
        </w:rPr>
        <w:t>Products for the sports fields and grounds market include riding rotary units with cutting widths ranging from</w:t>
      </w:r>
      <w:r>
        <w:rPr>
          <w:rFonts w:ascii="Arial" w:cs="Arial" w:eastAsia="Arial" w:hAnsi="Arial"/>
          <w:sz w:val="18"/>
          <w:szCs w:val="18"/>
          <w:i w:val="1"/>
          <w:iCs w:val="1"/>
          <w:color w:val="4673B6"/>
        </w:rPr>
        <w:t xml:space="preserve"> </w:t>
      </w:r>
      <w:r>
        <w:rPr>
          <w:rFonts w:ascii="Arial" w:cs="Arial" w:eastAsia="Arial" w:hAnsi="Arial"/>
          <w:sz w:val="18"/>
          <w:szCs w:val="18"/>
          <w:color w:val="000000"/>
        </w:rPr>
        <w:t>21 inches to 16 feet, aerators, attachments, and debris management products, which include versatile debris vacuums, blowers, and sweepers. Other products include multipurpose vehicles, such as the Workman</w:t>
      </w:r>
      <w:r>
        <w:rPr>
          <w:rFonts w:ascii="Arial" w:cs="Arial" w:eastAsia="Arial" w:hAnsi="Arial"/>
          <w:sz w:val="8"/>
          <w:szCs w:val="8"/>
          <w:color w:val="000000"/>
        </w:rPr>
        <w:t>®</w:t>
      </w:r>
      <w:r>
        <w:rPr>
          <w:rFonts w:ascii="Arial" w:cs="Arial" w:eastAsia="Arial" w:hAnsi="Arial"/>
          <w:sz w:val="18"/>
          <w:szCs w:val="18"/>
          <w:color w:val="000000"/>
        </w:rPr>
        <w:t>, that can be used for turf maintenance, towing, and industrial hauling.</w:t>
      </w:r>
    </w:p>
    <w:p>
      <w:pPr>
        <w:spacing w:after="0" w:line="4"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These products are sold through distributors, who then sell to owners and/or managers of sports fields, municipal properties, and residential and commercial landscapes. In fiscal 2007, we introduced the Groundsmaster</w:t>
      </w:r>
      <w:r>
        <w:rPr>
          <w:rFonts w:ascii="Arial" w:cs="Arial" w:eastAsia="Arial" w:hAnsi="Arial"/>
          <w:sz w:val="8"/>
          <w:szCs w:val="8"/>
          <w:color w:val="auto"/>
        </w:rPr>
        <w:t>®</w:t>
      </w:r>
      <w:r>
        <w:rPr>
          <w:rFonts w:ascii="Arial" w:cs="Arial" w:eastAsia="Arial" w:hAnsi="Arial"/>
          <w:sz w:val="18"/>
          <w:szCs w:val="18"/>
          <w:color w:val="auto"/>
        </w:rPr>
        <w:t xml:space="preserve"> 7200/7210, featuring the Toro Polar Trac™ System that transforms this zero-turn radius rotary mower into a snow removal machine and the Toro Quick Attachment System that enables attachment changes without the use of tools.</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i w:val="1"/>
          <w:iCs w:val="1"/>
          <w:color w:val="4673B6"/>
        </w:rPr>
        <w:t xml:space="preserve">Residential/Commercial Irrigation Market. </w:t>
      </w:r>
      <w:r>
        <w:rPr>
          <w:rFonts w:ascii="Arial" w:cs="Arial" w:eastAsia="Arial" w:hAnsi="Arial"/>
          <w:sz w:val="18"/>
          <w:szCs w:val="18"/>
          <w:color w:val="000000"/>
        </w:rPr>
        <w:t>Turf irrigation products we market under multiple brands include sprinkler heads, brass and plastic</w:t>
      </w:r>
      <w:r>
        <w:rPr>
          <w:rFonts w:ascii="Arial" w:cs="Arial" w:eastAsia="Arial" w:hAnsi="Arial"/>
          <w:sz w:val="18"/>
          <w:szCs w:val="18"/>
          <w:i w:val="1"/>
          <w:iCs w:val="1"/>
          <w:color w:val="4673B6"/>
        </w:rPr>
        <w:t xml:space="preserve"> </w:t>
      </w:r>
      <w:r>
        <w:rPr>
          <w:rFonts w:ascii="Arial" w:cs="Arial" w:eastAsia="Arial" w:hAnsi="Arial"/>
          <w:sz w:val="18"/>
          <w:szCs w:val="18"/>
          <w:color w:val="000000"/>
        </w:rPr>
        <w:t>valves, and electric and hydraulic control devices designed to be used in residential and commercial turf irrigation systems. These products are professionally installed as new systems and can also be used to replace or retrofit existing systems. Most of the product line is designed for underground irrigation systems. Electric and hydraulic controllers activate valves and sprinkler heads in a typical irrigation system. We also offer wireless rain and freeze switches on some products in an effort to conserve water usage. Our IntelliSense™ and Rain Master™ controllers self-adjust their watering schedules based on current environment conditions. In fiscal 2007, we introduced the TDC</w:t>
      </w:r>
    </w:p>
    <w:p>
      <w:pPr>
        <w:spacing w:after="0" w:line="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Series Advanced Two Wire Decoder Control, featuring an innovative two-wire communication path to buried decoders that eliminates the costs associated with traditional wire bundles and enables easy installation and expansion.</w:t>
      </w:r>
    </w:p>
    <w:p>
      <w:pPr>
        <w:spacing w:after="0" w:line="71"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i w:val="1"/>
          <w:iCs w:val="1"/>
          <w:color w:val="4673B6"/>
        </w:rPr>
        <w:t xml:space="preserve">Golf Course Market. </w:t>
      </w:r>
      <w:r>
        <w:rPr>
          <w:rFonts w:ascii="Arial" w:cs="Arial" w:eastAsia="Arial" w:hAnsi="Arial"/>
          <w:sz w:val="18"/>
          <w:szCs w:val="18"/>
          <w:color w:val="000000"/>
        </w:rPr>
        <w:t>Products for the golf course market include large reel and rotary riding products for fairway, rough and trim cutting; riding</w:t>
      </w:r>
      <w:r>
        <w:rPr>
          <w:rFonts w:ascii="Arial" w:cs="Arial" w:eastAsia="Arial" w:hAnsi="Arial"/>
          <w:sz w:val="18"/>
          <w:szCs w:val="18"/>
          <w:i w:val="1"/>
          <w:iCs w:val="1"/>
          <w:color w:val="4673B6"/>
        </w:rPr>
        <w:t xml:space="preserve"> </w:t>
      </w:r>
      <w:r>
        <w:rPr>
          <w:rFonts w:ascii="Arial" w:cs="Arial" w:eastAsia="Arial" w:hAnsi="Arial"/>
          <w:sz w:val="18"/>
          <w:szCs w:val="18"/>
          <w:color w:val="000000"/>
        </w:rPr>
        <w:t>and walking mowers for putting greens and specialty areas; turf sprayer equipment; utility vehicles; aeration equipment; and bunker maintenance equipment. We also manufacture and market underground irrigation systems, including sprinkler heads and controllers that activate electric, battery-operated, or hydraulic valves. Our professional irrigation systems are designed to use computerized management systems and a variety of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also provides an upgrade path to customers with existing controllers. In late fiscal 2006, we introduced the Reelmaster</w:t>
      </w:r>
      <w:r>
        <w:rPr>
          <w:rFonts w:ascii="Arial" w:cs="Arial" w:eastAsia="Arial" w:hAnsi="Arial"/>
          <w:sz w:val="8"/>
          <w:szCs w:val="8"/>
          <w:color w:val="000000"/>
        </w:rPr>
        <w:t>®</w:t>
      </w:r>
      <w:r>
        <w:rPr>
          <w:rFonts w:ascii="Arial" w:cs="Arial" w:eastAsia="Arial" w:hAnsi="Arial"/>
          <w:sz w:val="18"/>
          <w:szCs w:val="18"/>
          <w:color w:val="000000"/>
        </w:rPr>
        <w:t xml:space="preserve"> 5010 Series of reel mowers for golf course fairways, featuring Dual Precision Adjustment cutting units and the CrossTrax™ all-wheel drive system. In fiscal 2007, we introduced the Toro DT Series of golf rotors, featuring dual trajectory and full- and part-circle adjustments.</w:t>
      </w:r>
    </w:p>
    <w:p>
      <w:pPr>
        <w:spacing w:after="0" w:line="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4673B6"/>
        </w:rPr>
        <w:t xml:space="preserve">Micro-Irrigation Market. </w:t>
      </w:r>
      <w:r>
        <w:rPr>
          <w:rFonts w:ascii="Arial" w:cs="Arial" w:eastAsia="Arial" w:hAnsi="Arial"/>
          <w:sz w:val="18"/>
          <w:szCs w:val="18"/>
          <w:color w:val="000000"/>
        </w:rPr>
        <w:t>Products for the micro-irrigation market include emission devices that regulate flow for drip irrigation, including Aqua-TraXX</w:t>
      </w:r>
      <w:r>
        <w:rPr>
          <w:rFonts w:ascii="Arial" w:cs="Arial" w:eastAsia="Arial" w:hAnsi="Arial"/>
          <w:sz w:val="8"/>
          <w:szCs w:val="8"/>
          <w:color w:val="000000"/>
        </w:rPr>
        <w:t>®</w:t>
      </w:r>
      <w:r>
        <w:rPr>
          <w:rFonts w:ascii="Arial" w:cs="Arial" w:eastAsia="Arial" w:hAnsi="Arial"/>
          <w:sz w:val="18"/>
          <w:szCs w:val="18"/>
          <w:color w:val="000000"/>
        </w:rPr>
        <w:t xml:space="preserve"> drip tape, patented Aqua-TraXX</w:t>
      </w:r>
      <w:r>
        <w:rPr>
          <w:rFonts w:ascii="Arial" w:cs="Arial" w:eastAsia="Arial" w:hAnsi="Arial"/>
          <w:sz w:val="8"/>
          <w:szCs w:val="8"/>
          <w:color w:val="000000"/>
        </w:rPr>
        <w:t>®</w:t>
      </w:r>
      <w:r>
        <w:rPr>
          <w:rFonts w:ascii="Arial" w:cs="Arial" w:eastAsia="Arial" w:hAnsi="Arial"/>
          <w:sz w:val="18"/>
          <w:szCs w:val="18"/>
          <w:color w:val="000000"/>
        </w:rPr>
        <w:t xml:space="preserve"> PC (pressure-compensating), Blue Stripe</w:t>
      </w:r>
      <w:r>
        <w:rPr>
          <w:rFonts w:ascii="Arial" w:cs="Arial" w:eastAsia="Arial" w:hAnsi="Arial"/>
          <w:sz w:val="8"/>
          <w:szCs w:val="8"/>
          <w:color w:val="000000"/>
        </w:rPr>
        <w:t>®</w:t>
      </w:r>
      <w:r>
        <w:rPr>
          <w:rFonts w:ascii="Arial" w:cs="Arial" w:eastAsia="Arial" w:hAnsi="Arial"/>
          <w:sz w:val="18"/>
          <w:szCs w:val="18"/>
          <w:color w:val="000000"/>
        </w:rPr>
        <w:t xml:space="preserve"> polyethylene tubing, and Drip In</w:t>
      </w:r>
      <w:r>
        <w:rPr>
          <w:rFonts w:ascii="Arial" w:cs="Arial" w:eastAsia="Arial" w:hAnsi="Arial"/>
          <w:sz w:val="8"/>
          <w:szCs w:val="8"/>
          <w:color w:val="000000"/>
        </w:rPr>
        <w:t>®</w:t>
      </w:r>
      <w:r>
        <w:rPr>
          <w:rFonts w:ascii="Arial" w:cs="Arial" w:eastAsia="Arial" w:hAnsi="Arial"/>
          <w:sz w:val="18"/>
          <w:szCs w:val="18"/>
          <w:color w:val="000000"/>
        </w:rPr>
        <w:t xml:space="preserve"> drip line, all used in agriculture, mining, and landscape applications. These products are sold primarily through dealers and distributors who then sell to end users for use primarily in vegetable fields, fruit and nut orchards, vineyards, and landscapes. We also offer a product life-cycle management program that includes an industry-first recycling service and permanent identification for ease of installation. In fiscal 2007, we introduced the Aqua-Traxx</w:t>
      </w:r>
      <w:r>
        <w:rPr>
          <w:rFonts w:ascii="Arial" w:cs="Arial" w:eastAsia="Arial" w:hAnsi="Arial"/>
          <w:sz w:val="8"/>
          <w:szCs w:val="8"/>
          <w:color w:val="000000"/>
        </w:rPr>
        <w:t>®</w:t>
      </w:r>
      <w:r>
        <w:rPr>
          <w:rFonts w:ascii="Arial" w:cs="Arial" w:eastAsia="Arial" w:hAnsi="Arial"/>
          <w:sz w:val="18"/>
          <w:szCs w:val="18"/>
          <w:color w:val="000000"/>
        </w:rPr>
        <w:t xml:space="preserve"> Ultra Low Flow Premium Drip Tape that reduces the amount of water applied to a field, preventing infiltration and runoff for growers on heavy or tight soils.</w:t>
      </w:r>
    </w:p>
    <w:p>
      <w:pPr>
        <w:spacing w:after="0" w:line="63"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b w:val="1"/>
          <w:bCs w:val="1"/>
          <w:color w:val="4673B6"/>
        </w:rPr>
        <w:t xml:space="preserve">Residential – </w:t>
      </w:r>
      <w:r>
        <w:rPr>
          <w:rFonts w:ascii="Arial" w:cs="Arial" w:eastAsia="Arial" w:hAnsi="Arial"/>
          <w:sz w:val="18"/>
          <w:szCs w:val="18"/>
          <w:color w:val="000000"/>
        </w:rPr>
        <w:t>We market our residential products to homeowners through a variety of distribution channels, including dealers, hardware</w:t>
      </w:r>
      <w:r>
        <w:rPr>
          <w:rFonts w:ascii="Arial" w:cs="Arial" w:eastAsia="Arial" w:hAnsi="Arial"/>
          <w:sz w:val="18"/>
          <w:szCs w:val="18"/>
          <w:b w:val="1"/>
          <w:bCs w:val="1"/>
          <w:color w:val="4673B6"/>
        </w:rPr>
        <w:t xml:space="preserve"> </w:t>
      </w:r>
      <w:r>
        <w:rPr>
          <w:rFonts w:ascii="Arial" w:cs="Arial" w:eastAsia="Arial" w:hAnsi="Arial"/>
          <w:sz w:val="18"/>
          <w:szCs w:val="18"/>
          <w:color w:val="000000"/>
        </w:rPr>
        <w:t>retailers, home centers, mass retailers, and over the Internet, mainly through Internet retailers. These products are sold mainly in North</w:t>
      </w:r>
    </w:p>
    <w:p>
      <w:pPr>
        <w:sectPr>
          <w:pgSz w:w="11900" w:h="16838" w:orient="portrait"/>
          <w:cols w:equalWidth="0" w:num="1">
            <w:col w:w="11420"/>
          </w:cols>
          <w:pgMar w:left="240" w:top="152" w:right="239" w:bottom="0" w:gutter="0" w:footer="0" w:header="0"/>
        </w:sectPr>
      </w:pPr>
    </w:p>
    <w:bookmarkStart w:id="3" w:name="page4"/>
    <w:bookmarkEnd w:id="3"/>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America, Europe, and Australia, with the exception of snow removal products, which are sold primarily in North America and Europe. We also license our trade name to other manufacturers and retailers on certain products as a means of expanding our brand presence.</w:t>
      </w:r>
    </w:p>
    <w:p>
      <w:pPr>
        <w:spacing w:after="0" w:line="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i w:val="1"/>
          <w:iCs w:val="1"/>
          <w:color w:val="4673B6"/>
        </w:rPr>
        <w:t xml:space="preserve">Walk Power Mower Products. </w:t>
      </w:r>
      <w:r>
        <w:rPr>
          <w:rFonts w:ascii="Arial" w:cs="Arial" w:eastAsia="Arial" w:hAnsi="Arial"/>
          <w:sz w:val="18"/>
          <w:szCs w:val="18"/>
          <w:color w:val="000000"/>
        </w:rPr>
        <w:t>We manufacture and market numerous walk power mower models under multiple brands, including the Pope</w:t>
      </w:r>
      <w:r>
        <w:rPr>
          <w:rFonts w:ascii="Arial" w:cs="Arial" w:eastAsia="Arial" w:hAnsi="Arial"/>
          <w:sz w:val="18"/>
          <w:szCs w:val="18"/>
          <w:i w:val="1"/>
          <w:iCs w:val="1"/>
          <w:color w:val="4673B6"/>
        </w:rPr>
        <w:t xml:space="preserve"> </w:t>
      </w:r>
      <w:r>
        <w:rPr>
          <w:rFonts w:ascii="Arial" w:cs="Arial" w:eastAsia="Arial" w:hAnsi="Arial"/>
          <w:sz w:val="18"/>
          <w:szCs w:val="18"/>
          <w:color w:val="000000"/>
        </w:rPr>
        <w:t>brand in Australia and the Hayter brand in the United Kingdom. Models differ as to cutting width, type of starter mechanism, ability to mulch, bag or side discharge grass clippings, cast aluminum or steel decks, controls, and power sources, and are either self-propelled or push mowers. Toro brand lawn mowers are backed by our “Guaranteed To Start” program. We also offer a line of rear roller walk power mowers, a design that provides a striped finish for the United Kingdom market. In fiscal 2007, we introduced an enhanced line of Toro Super Recycler</w:t>
      </w:r>
      <w:r>
        <w:rPr>
          <w:rFonts w:ascii="Arial" w:cs="Arial" w:eastAsia="Arial" w:hAnsi="Arial"/>
          <w:sz w:val="8"/>
          <w:szCs w:val="8"/>
          <w:color w:val="000000"/>
        </w:rPr>
        <w:t>®</w:t>
      </w:r>
      <w:r>
        <w:rPr>
          <w:rFonts w:ascii="Arial" w:cs="Arial" w:eastAsia="Arial" w:hAnsi="Arial"/>
          <w:sz w:val="18"/>
          <w:szCs w:val="18"/>
          <w:color w:val="000000"/>
        </w:rPr>
        <w:t xml:space="preserve"> walk power mowers, featuring the “Quick Connect” bagging system and the “Quick Change” mulching system that converts from bagging to mulching effortlessly with no loose parts. In addition, these new innovative walk power mowers feature the “Quick Wash” wash-out port for easy cleaning and two of the models feature the Key-Lectric</w:t>
      </w:r>
      <w:r>
        <w:rPr>
          <w:rFonts w:ascii="Arial" w:cs="Arial" w:eastAsia="Arial" w:hAnsi="Arial"/>
          <w:sz w:val="8"/>
          <w:szCs w:val="8"/>
          <w:color w:val="000000"/>
        </w:rPr>
        <w:t>®</w:t>
      </w:r>
      <w:r>
        <w:rPr>
          <w:rFonts w:ascii="Arial" w:cs="Arial" w:eastAsia="Arial" w:hAnsi="Arial"/>
          <w:sz w:val="18"/>
          <w:szCs w:val="18"/>
          <w:color w:val="000000"/>
        </w:rPr>
        <w:t xml:space="preserve"> electric start that starts the mower at the turn of a key. In fiscal 2007, we also introduced the Toro Multicycler line of walk power mowers to the European market, featuring our Recycle-on-Demand mulching technology, and the Lawn-Boy Insight™ Platinum Series of walk-behind mowers, featuring fully enclosed transmissions, cast aluminum decks, and a five-year warranty.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4673B6"/>
        </w:rPr>
        <w:t xml:space="preserve">Riding Products. </w:t>
      </w:r>
      <w:r>
        <w:rPr>
          <w:rFonts w:ascii="Arial" w:cs="Arial" w:eastAsia="Arial" w:hAnsi="Arial"/>
          <w:sz w:val="18"/>
          <w:szCs w:val="18"/>
          <w:color w:val="000000"/>
        </w:rPr>
        <w:t>We manufacture and market riding products under multiple brands. We also manufacture riding mower products plus</w:t>
      </w:r>
      <w:r>
        <w:rPr>
          <w:rFonts w:ascii="Arial" w:cs="Arial" w:eastAsia="Arial" w:hAnsi="Arial"/>
          <w:sz w:val="18"/>
          <w:szCs w:val="18"/>
          <w:i w:val="1"/>
          <w:iCs w:val="1"/>
          <w:color w:val="4673B6"/>
        </w:rPr>
        <w:t xml:space="preserve"> </w:t>
      </w:r>
      <w:r>
        <w:rPr>
          <w:rFonts w:ascii="Arial" w:cs="Arial" w:eastAsia="Arial" w:hAnsi="Arial"/>
          <w:sz w:val="18"/>
          <w:szCs w:val="18"/>
          <w:color w:val="000000"/>
        </w:rPr>
        <w:t>attachments for a third party under a private label agreement. Riding mowers and tractors include a rear engine riding mower manufactured and sold in the European market; lawn tractor models; and garden tractor models. Many models are available with a variety of decks and accessories. Recycler cutting decks are available on some models. Models can be equipped with automatic or hydrostatic transmissions. In recent years, we introduced a new line of riding products, the TimeCutter</w:t>
      </w:r>
      <w:r>
        <w:rPr>
          <w:rFonts w:ascii="Arial" w:cs="Arial" w:eastAsia="Arial" w:hAnsi="Arial"/>
          <w:sz w:val="8"/>
          <w:szCs w:val="8"/>
          <w:color w:val="000000"/>
        </w:rPr>
        <w:t>®</w:t>
      </w:r>
      <w:r>
        <w:rPr>
          <w:rFonts w:ascii="Arial" w:cs="Arial" w:eastAsia="Arial" w:hAnsi="Arial"/>
          <w:sz w:val="18"/>
          <w:szCs w:val="18"/>
          <w:color w:val="000000"/>
        </w:rPr>
        <w:t xml:space="preserve"> zero-turning radius riding mowers. In fiscal 2007, we introduced the redesigned Toro TimeCutter</w:t>
      </w:r>
      <w:r>
        <w:rPr>
          <w:rFonts w:ascii="Arial" w:cs="Arial" w:eastAsia="Arial" w:hAnsi="Arial"/>
          <w:sz w:val="8"/>
          <w:szCs w:val="8"/>
          <w:color w:val="000000"/>
        </w:rPr>
        <w:t>®</w:t>
      </w:r>
      <w:r>
        <w:rPr>
          <w:rFonts w:ascii="Arial" w:cs="Arial" w:eastAsia="Arial" w:hAnsi="Arial"/>
          <w:sz w:val="18"/>
          <w:szCs w:val="18"/>
          <w:color w:val="000000"/>
        </w:rPr>
        <w:t xml:space="preserve"> Z Series of zero-turning radius riding mowers, featuring larger engines and deck options and other enhancements designed to further reduce mowing time for homeowners.</w:t>
      </w:r>
    </w:p>
    <w:p>
      <w:pPr>
        <w:spacing w:after="0" w:line="6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4673B6"/>
        </w:rPr>
        <w:t xml:space="preserve">Home Solutions Products. </w:t>
      </w:r>
      <w:r>
        <w:rPr>
          <w:rFonts w:ascii="Arial" w:cs="Arial" w:eastAsia="Arial" w:hAnsi="Arial"/>
          <w:sz w:val="18"/>
          <w:szCs w:val="18"/>
          <w:color w:val="000000"/>
        </w:rPr>
        <w:t>We design and market home solutions products under multiple brands, including electric and battery operated</w:t>
      </w:r>
      <w:r>
        <w:rPr>
          <w:rFonts w:ascii="Arial" w:cs="Arial" w:eastAsia="Arial" w:hAnsi="Arial"/>
          <w:sz w:val="18"/>
          <w:szCs w:val="18"/>
          <w:i w:val="1"/>
          <w:iCs w:val="1"/>
          <w:color w:val="4673B6"/>
        </w:rPr>
        <w:t xml:space="preserve"> </w:t>
      </w:r>
      <w:r>
        <w:rPr>
          <w:rFonts w:ascii="Arial" w:cs="Arial" w:eastAsia="Arial" w:hAnsi="Arial"/>
          <w:sz w:val="18"/>
          <w:szCs w:val="18"/>
          <w:color w:val="000000"/>
        </w:rPr>
        <w:t>flexible line grass trimmers, electric blowers, electric blower-vacuums, and electric snow throwers. In fiscal 2007, we introduced three new electric blower-vacuum models, featuring a more powerful air force and an improved flow rate.</w:t>
      </w:r>
    </w:p>
    <w:p>
      <w:pPr>
        <w:spacing w:after="0" w:line="67"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4673B6"/>
        </w:rPr>
        <w:t xml:space="preserve">Retail Irrigation Products. </w:t>
      </w:r>
      <w:r>
        <w:rPr>
          <w:rFonts w:ascii="Arial" w:cs="Arial" w:eastAsia="Arial" w:hAnsi="Arial"/>
          <w:sz w:val="18"/>
          <w:szCs w:val="18"/>
          <w:color w:val="000000"/>
        </w:rPr>
        <w:t>We design and market underground retail irrigation products under multiple brands. In Australia, we also design and</w:t>
      </w:r>
      <w:r>
        <w:rPr>
          <w:rFonts w:ascii="Arial" w:cs="Arial" w:eastAsia="Arial" w:hAnsi="Arial"/>
          <w:sz w:val="18"/>
          <w:szCs w:val="18"/>
          <w:i w:val="1"/>
          <w:iCs w:val="1"/>
          <w:color w:val="4673B6"/>
        </w:rPr>
        <w:t xml:space="preserve"> </w:t>
      </w:r>
      <w:r>
        <w:rPr>
          <w:rFonts w:ascii="Arial" w:cs="Arial" w:eastAsia="Arial" w:hAnsi="Arial"/>
          <w:sz w:val="18"/>
          <w:szCs w:val="18"/>
          <w:color w:val="000000"/>
        </w:rPr>
        <w:t>market underground and hose-end retail irrigation products under the Pope brand name. These products are designed for homeowner installation and include sprinkler heads, valves, and electronic and mechanical timers. Our ECXTRA™ sprinkler timers can be used with a home computer, and our Scheduling Advisor™ recommends the proper watering schedule based on the local weather, plant type, and sprinkler. We also design and market drip irrigation systems for residential landscapes and gardens.</w:t>
      </w:r>
    </w:p>
    <w:p>
      <w:pPr>
        <w:spacing w:after="0" w:line="74"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i w:val="1"/>
          <w:iCs w:val="1"/>
          <w:color w:val="4673B6"/>
        </w:rPr>
        <w:t xml:space="preserve">Gas Snow Removal Products. </w:t>
      </w:r>
      <w:r>
        <w:rPr>
          <w:rFonts w:ascii="Arial" w:cs="Arial" w:eastAsia="Arial" w:hAnsi="Arial"/>
          <w:sz w:val="18"/>
          <w:szCs w:val="18"/>
          <w:color w:val="000000"/>
        </w:rPr>
        <w:t>We manufacture and market a range of gas-powered single-stage and two-stage snow thrower models under</w:t>
      </w:r>
      <w:r>
        <w:rPr>
          <w:rFonts w:ascii="Arial" w:cs="Arial" w:eastAsia="Arial" w:hAnsi="Arial"/>
          <w:sz w:val="18"/>
          <w:szCs w:val="18"/>
          <w:i w:val="1"/>
          <w:iCs w:val="1"/>
          <w:color w:val="4673B6"/>
        </w:rPr>
        <w:t xml:space="preserve"> </w:t>
      </w:r>
      <w:r>
        <w:rPr>
          <w:rFonts w:ascii="Arial" w:cs="Arial" w:eastAsia="Arial" w:hAnsi="Arial"/>
          <w:sz w:val="18"/>
          <w:szCs w:val="18"/>
          <w:color w:val="000000"/>
        </w:rPr>
        <w:t>multiple brands. Single-stage snow throwers are walk behind units with lightweight two- and four-cycle gasoline engines. Most single-stage snow thrower models include Power Curve</w:t>
      </w:r>
      <w:r>
        <w:rPr>
          <w:rFonts w:ascii="Arial" w:cs="Arial" w:eastAsia="Arial" w:hAnsi="Arial"/>
          <w:sz w:val="8"/>
          <w:szCs w:val="8"/>
          <w:color w:val="000000"/>
        </w:rPr>
        <w:t>®</w:t>
      </w:r>
      <w:r>
        <w:rPr>
          <w:rFonts w:ascii="Arial" w:cs="Arial" w:eastAsia="Arial" w:hAnsi="Arial"/>
          <w:sz w:val="18"/>
          <w:szCs w:val="18"/>
          <w:color w:val="000000"/>
        </w:rPr>
        <w:t xml:space="preserve"> snow thrower technology. Our large two-stage snow throwers are designed for relatively large areas of deep, heavy snow falls and use two- and four-cycle engines. Our two-stage snow throwers include a line of innovative models featuring the Power Max</w:t>
      </w:r>
      <w:r>
        <w:rPr>
          <w:rFonts w:ascii="Arial" w:cs="Arial" w:eastAsia="Arial" w:hAnsi="Arial"/>
          <w:sz w:val="8"/>
          <w:szCs w:val="8"/>
          <w:color w:val="000000"/>
        </w:rPr>
        <w:t>®</w:t>
      </w:r>
      <w:r>
        <w:rPr>
          <w:rFonts w:ascii="Arial" w:cs="Arial" w:eastAsia="Arial" w:hAnsi="Arial"/>
          <w:sz w:val="18"/>
          <w:szCs w:val="18"/>
          <w:color w:val="000000"/>
        </w:rPr>
        <w:t xml:space="preserve"> auger system for enhanced performance and the Quick Stick</w:t>
      </w:r>
      <w:r>
        <w:rPr>
          <w:rFonts w:ascii="Arial" w:cs="Arial" w:eastAsia="Arial" w:hAnsi="Arial"/>
          <w:sz w:val="8"/>
          <w:szCs w:val="8"/>
          <w:color w:val="000000"/>
        </w:rPr>
        <w:t>®</w:t>
      </w:r>
      <w:r>
        <w:rPr>
          <w:rFonts w:ascii="Arial" w:cs="Arial" w:eastAsia="Arial" w:hAnsi="Arial"/>
          <w:sz w:val="18"/>
          <w:szCs w:val="18"/>
          <w:color w:val="000000"/>
        </w:rPr>
        <w:t xml:space="preserve"> chute control technology. In fiscal 2007, we introduced the Power Clear™ single-stage snow thrower to the North American and European markets, featuring our Quick Shoot™ control system that enables operators to quickly change snow throwing direction, and an innovative pivoting scraper that keeps the rotor in constant contact with the pavement.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Information About Foreign Operations and Business Segments</w:t>
      </w:r>
    </w:p>
    <w:p>
      <w:pPr>
        <w:spacing w:after="0" w:line="4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Belgium, the United Kingdom, France, Australia, Singapore, Japan, China, Italy, and Switzerland. New product development is pursued primarily in the United States. Our net sales outside the United States were 29.0 percent, 27.0 percent, and 24.8 percent of total consolidated net sales for fiscal 2007, 2006, and 2005, respectively.</w:t>
      </w:r>
    </w:p>
    <w:p>
      <w:pPr>
        <w:spacing w:after="0" w:line="1" w:lineRule="exact"/>
        <w:rPr>
          <w:sz w:val="20"/>
          <w:szCs w:val="20"/>
          <w:color w:val="auto"/>
        </w:rPr>
      </w:pPr>
    </w:p>
    <w:p>
      <w:pPr>
        <w:ind w:right="220" w:firstLine="180"/>
        <w:spacing w:after="0" w:line="268"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foreign operations and each of our segments, see Note 11 of the notes to our consolidated financial statements, section entitled “Segment Data,” included in Part II, Item 8, “Financial Statements and Supplementary Data”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Manufacturing and Production</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products. Operations are also designed to be flexible enough to accommodate product design changes required to respond to market demand.</w:t>
      </w:r>
    </w:p>
    <w:p>
      <w:pPr>
        <w:spacing w:after="0" w:line="1" w:lineRule="exact"/>
        <w:rPr>
          <w:sz w:val="20"/>
          <w:szCs w:val="20"/>
          <w:color w:val="auto"/>
        </w:rPr>
      </w:pPr>
    </w:p>
    <w:p>
      <w:pPr>
        <w:ind w:right="200" w:firstLine="180"/>
        <w:spacing w:after="0" w:line="268"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which are intended to streamline work and eliminate waste. We also have some flexible assembly lines that can handle a wide product mix and deliver products to meet customer demand. Additionally, we spend considerable effort to reduce manufacturing costs through Lean methods and process improvement, product and platform design, application of advanced technology, enhanced environmental management systems, SKU consolidation, safety improvements, and better supply-chain management. We also manufacture products sold under a private label agreement to a</w:t>
      </w:r>
    </w:p>
    <w:p>
      <w:pPr>
        <w:sectPr>
          <w:pgSz w:w="11900" w:h="16906" w:orient="portrait"/>
          <w:cols w:equalWidth="0" w:num="1">
            <w:col w:w="11420"/>
          </w:cols>
          <w:pgMar w:left="240" w:top="152" w:right="239" w:bottom="0" w:gutter="0" w:footer="0" w:header="0"/>
        </w:sectPr>
      </w:pPr>
    </w:p>
    <w:bookmarkStart w:id="4" w:name="page5"/>
    <w:bookmarkEnd w:id="4"/>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third party on a competitive basis, and we have agreements with other third party manufacturers to manufacture products on our behalf.</w:t>
      </w:r>
    </w:p>
    <w:p>
      <w:pPr>
        <w:spacing w:after="0" w:line="23" w:lineRule="exact"/>
        <w:rPr>
          <w:sz w:val="20"/>
          <w:szCs w:val="20"/>
          <w:color w:val="auto"/>
        </w:rPr>
      </w:pPr>
    </w:p>
    <w:p>
      <w:pPr>
        <w:ind w:right="60" w:firstLine="180"/>
        <w:spacing w:after="0" w:line="26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removal equipment products are generally manufactured in the summer and fall months. Our products are tested in conditions and locations similar to those in which they are used. We use computer-aided design and manufacturing systems to shorten the time between initial concept and final production.</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Our production levels and inventory management goals are based on estimates of demand for our products, taking into account production capacity, timing of shipments, and field inventory levels. In fiscal 2007, we continued to roll-out a pull-based production system at some of our manufacturing facilities to better synchronize the production of our products to meet customer demand at just the right time. Along with improved service levels for our participating suppliers and distributors, the program has resulted in inventory reductions through the distribution system.</w:t>
      </w:r>
    </w:p>
    <w:p>
      <w:pPr>
        <w:spacing w:after="0" w:line="1" w:lineRule="exact"/>
        <w:rPr>
          <w:sz w:val="20"/>
          <w:szCs w:val="20"/>
          <w:color w:val="auto"/>
        </w:rPr>
      </w:pPr>
    </w:p>
    <w:p>
      <w:pPr>
        <w:jc w:val="both"/>
        <w:ind w:right="460" w:firstLine="180"/>
        <w:spacing w:after="0" w:line="271" w:lineRule="auto"/>
        <w:rPr>
          <w:sz w:val="20"/>
          <w:szCs w:val="20"/>
          <w:color w:val="auto"/>
        </w:rPr>
      </w:pPr>
      <w:r>
        <w:rPr>
          <w:rFonts w:ascii="Arial" w:cs="Arial" w:eastAsia="Arial" w:hAnsi="Arial"/>
          <w:sz w:val="18"/>
          <w:szCs w:val="18"/>
          <w:color w:val="auto"/>
        </w:rPr>
        <w:t>We periodically shut down production to allow for maintenance, rearrangement, and capital equipment installation at our manufacturing facilities. Capital expenditures for fiscal 2008 are expected to be approximately $45 to $50 million, which is approximately $3 to $8 million higher than fiscal 2007 capital expenditures, as we expect to continue to invest in tooling for new products and manufacturing equipment.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Engineering and Research</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this risk through our focus on and commitment to understanding our customers’ needs and requirements. We are investing more time upfront with customers, using “Voice of the Customer” tools to ensure we develop innovative products that meet or exceed customer expectations. We are also utilizing Design for Manufacturing and Assembly (DFMA) tools and enhancing our New Product Development System to ensure early manufacturing involvement in new product designs to reduce production costs. DFMA focuses on reducing the number of parts required to assemble new products as well as designing products to move more efficiently through the manufacturing process. We are also making several improvements to our engineering process as part of our Lean initiatives.</w:t>
      </w:r>
    </w:p>
    <w:p>
      <w:pPr>
        <w:spacing w:after="0" w:line="2" w:lineRule="exact"/>
        <w:rPr>
          <w:sz w:val="20"/>
          <w:szCs w:val="20"/>
          <w:color w:val="auto"/>
        </w:rPr>
      </w:pPr>
    </w:p>
    <w:p>
      <w:pPr>
        <w:ind w:right="40" w:firstLine="180"/>
        <w:spacing w:after="0" w:line="269"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$59.9 million (3.2 percent of net sales) in fiscal 2007, $57.3 million (3.1 percent of net sales) in fiscal 2006, and $52.6 million (3.0 percent of net sales) in fiscal 2005. In fiscal 2008, we anticipate engineering and research costs to increase compared to fiscal 2007 as we plan to continue to invest in engineering, research, and new product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Raw Materials</w:t>
      </w:r>
    </w:p>
    <w:p>
      <w:pPr>
        <w:spacing w:after="0" w:line="40"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color w:val="auto"/>
        </w:rPr>
        <w:t>Most of the components of our products are commercially available from a number of sources and are in adequate supply. Therefore, we are generally not dependent on any one supplier, except for engines from Japanese suppliers used in some of our professional segment products. In fiscal 2007, we experienced no significant work stoppages as a result of shortages of raw materials or commodities. The highest value component costs are generally engines, steel, transmissions, transaxles, hydraulics, electric motors, and plastic resin purchased from several</w:t>
      </w:r>
    </w:p>
    <w:p>
      <w:pPr>
        <w:spacing w:after="0" w:line="1"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suppliers around the world. We have some long-term commitments for the purchase of various component parts and raw materials that management believes are unlikely to be terminated prematurely.</w:t>
      </w:r>
    </w:p>
    <w:p>
      <w:pPr>
        <w:ind w:firstLine="180"/>
        <w:spacing w:after="0" w:line="270" w:lineRule="auto"/>
        <w:rPr>
          <w:sz w:val="20"/>
          <w:szCs w:val="20"/>
          <w:color w:val="auto"/>
        </w:rPr>
      </w:pPr>
      <w:r>
        <w:rPr>
          <w:rFonts w:ascii="Arial" w:cs="Arial" w:eastAsia="Arial" w:hAnsi="Arial"/>
          <w:sz w:val="18"/>
          <w:szCs w:val="18"/>
          <w:color w:val="auto"/>
        </w:rPr>
        <w:t>During fiscal 2007, we continued to experience an increase in commodity costs, which hampered our gross margin growth rate in fiscal 2007 compared to fiscal 2006. We have offset and expect to continue to mitigate in part the impact of these increased costs by engaging in proactive vendor negotiations and internal cost reduction efforts, reviewing alternative sourcing options, and introducing moderate price increases on some products.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Service and Warranty</w:t>
      </w:r>
    </w:p>
    <w:p>
      <w:pPr>
        <w:spacing w:after="0" w:line="4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length varies depending on whether product usage is for “residential” or “professional” applications within individual product lines. Some products have an over-the-counter exchange option and some have a 30-day satisfaction guarantee. Warranty coverage ranges from a period of six months to seven years, and generally covers parts, labor, and other expenses for non-maintenance repairs. Warranty coverage generally does not cover operator abuse and improper use. An authorized Toro, Lawn-Boy, Hayter, Exmark, or Pope distributor or dealer must perform warranty work. Distributors, dealers, and contractors submit claims for warranty reimbursement and are credited for the cost of repairs, labor, and other expenses as long as the repairs meet our prescribed standards. At the time of sale, we accrue a warranty reserve based on, among other factors, historical claims experience by individual product lines for estimated costs in connection with future warranty claims. Warranty reserves are also accrued for major rework campaigns and product recalls. Service support outside of the warranty period is provided by independent Toro, Lawn-Boy, Hayter, or Exmark</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distributors and dealers at the customer’s expense. We also sell extended warranty coverage on select products for a prescribed period after the original factory warranty period expires.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Product Liability</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ectPr>
          <w:pgSz w:w="11900" w:h="16845" w:orient="portrait"/>
          <w:cols w:equalWidth="0" w:num="1">
            <w:col w:w="11380"/>
          </w:cols>
          <w:pgMar w:left="240" w:top="152" w:right="27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Patents</w:t>
      </w:r>
    </w:p>
    <w:p>
      <w:pPr>
        <w:sectPr>
          <w:pgSz w:w="11900" w:h="16845" w:orient="portrait"/>
          <w:cols w:equalWidth="0" w:num="1">
            <w:col w:w="11380"/>
          </w:cols>
          <w:pgMar w:left="240" w:top="152" w:right="279" w:bottom="0" w:gutter="0" w:footer="0" w:header="0"/>
          <w:type w:val="continuous"/>
        </w:sectPr>
      </w:pPr>
    </w:p>
    <w:bookmarkStart w:id="5" w:name="page6"/>
    <w:bookmarkEnd w:id="5"/>
    <w:p>
      <w:pPr>
        <w:ind w:right="220"/>
        <w:spacing w:after="0" w:line="266"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we believe our patents are valuable and patent protection is beneficial, our patent protection will not necessarily deter or prevent competitors from attempting to develop similar products. We are not materially dependent on any one or more of our patents.</w:t>
      </w:r>
    </w:p>
    <w:p>
      <w:pPr>
        <w:spacing w:after="0" w:line="1" w:lineRule="exact"/>
        <w:rPr>
          <w:sz w:val="20"/>
          <w:szCs w:val="20"/>
          <w:color w:val="auto"/>
        </w:rPr>
      </w:pPr>
    </w:p>
    <w:p>
      <w:pPr>
        <w:ind w:firstLine="180"/>
        <w:spacing w:after="0" w:line="268" w:lineRule="auto"/>
        <w:rPr>
          <w:sz w:val="20"/>
          <w:szCs w:val="20"/>
          <w:color w:val="auto"/>
        </w:rPr>
      </w:pPr>
      <w:r>
        <w:rPr>
          <w:rFonts w:ascii="Arial" w:cs="Arial" w:eastAsia="Arial" w:hAnsi="Arial"/>
          <w:sz w:val="18"/>
          <w:szCs w:val="18"/>
          <w:color w:val="auto"/>
        </w:rPr>
        <w:t>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Seasonality</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Sales of our residential products, which accounted for approximately 30 percent of total consolidated net sales in fiscal 2007,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on the West Coast, in Southern states, and in our markets in the Southern hemisphere, such as Australia, Latin America, and parts of Asia continue for a longer portion of the year than in Northern regions of the world.</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Typically, accounts receivable balances increase between January and April as a result of higher sales volumes and extended payment terms made available to our customers. Accounts receivable balances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operations and with our bank credit lines. Peak borrowing generally occurs between January and April.</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92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rPr>
              <w:t>Fiscal 2007</w:t>
            </w:r>
          </w:p>
        </w:tc>
        <w:tc>
          <w:tcPr>
            <w:tcW w:w="2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Fiscal 2006</w:t>
            </w:r>
          </w:p>
        </w:tc>
        <w:tc>
          <w:tcPr>
            <w:tcW w:w="2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Net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r>
      <w:tr>
        <w:trPr>
          <w:trHeight w:val="189"/>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Sales</w:t>
            </w: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Earnings</w:t>
            </w: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Sales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Earnings</w:t>
            </w:r>
          </w:p>
        </w:tc>
        <w:tc>
          <w:tcPr>
            <w:tcW w:w="220" w:type="dxa"/>
            <w:vAlign w:val="bottom"/>
            <w:tcBorders>
              <w:bottom w:val="single" w:sz="8" w:color="CCEEFF"/>
            </w:tcBorders>
          </w:tcPr>
          <w:p>
            <w:pPr>
              <w:spacing w:after="0"/>
              <w:rPr>
                <w:sz w:val="16"/>
                <w:szCs w:val="16"/>
                <w:color w:val="auto"/>
              </w:rPr>
            </w:pPr>
          </w:p>
        </w:tc>
      </w:tr>
      <w:tr>
        <w:trPr>
          <w:trHeight w:val="183"/>
        </w:trPr>
        <w:tc>
          <w:tcPr>
            <w:tcW w:w="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20%</w:t>
            </w: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13%</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r>
      <w:tr>
        <w:trPr>
          <w:trHeight w:val="189"/>
        </w:trPr>
        <w:tc>
          <w:tcPr>
            <w:tcW w:w="92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720" w:type="dxa"/>
            <w:vAlign w:val="bottom"/>
          </w:tcPr>
          <w:p>
            <w:pPr>
              <w:ind w:left="240"/>
              <w:spacing w:after="0"/>
              <w:rPr>
                <w:sz w:val="20"/>
                <w:szCs w:val="20"/>
                <w:color w:val="auto"/>
              </w:rPr>
            </w:pPr>
            <w:r>
              <w:rPr>
                <w:rFonts w:ascii="Arial" w:cs="Arial" w:eastAsia="Arial" w:hAnsi="Arial"/>
                <w:sz w:val="14"/>
                <w:szCs w:val="14"/>
                <w:b w:val="1"/>
                <w:bCs w:val="1"/>
                <w:color w:val="auto"/>
              </w:rPr>
              <w:t>37</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53</w:t>
            </w:r>
          </w:p>
        </w:tc>
        <w:tc>
          <w:tcPr>
            <w:tcW w:w="2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36</w:t>
            </w: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6"/>
                <w:szCs w:val="16"/>
                <w:color w:val="auto"/>
              </w:rPr>
            </w:pPr>
          </w:p>
        </w:tc>
      </w:tr>
      <w:tr>
        <w:trPr>
          <w:trHeight w:val="189"/>
        </w:trPr>
        <w:tc>
          <w:tcPr>
            <w:tcW w:w="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25</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30</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6"/>
                <w:szCs w:val="16"/>
                <w:color w:val="auto"/>
              </w:rPr>
            </w:pPr>
          </w:p>
        </w:tc>
      </w:tr>
      <w:tr>
        <w:trPr>
          <w:trHeight w:val="189"/>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4</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6"/>
                <w:szCs w:val="16"/>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Effects of Weather</w:t>
      </w:r>
    </w:p>
    <w:p>
      <w:pPr>
        <w:spacing w:after="0" w:line="40"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From time to time, weather conditions in a particular region or market may adversely affect sales of some of our products and field inventory levels, and result in a negative impact on our future net sales. As the percentage of our net sales from outside the United States has continued to increase, our dependency on weather in any one part of the world has decreased. Nonetheless, weather conditions could materially affect our future net sales.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Distribution and Marketing</w:t>
      </w:r>
    </w:p>
    <w:p>
      <w:pPr>
        <w:spacing w:after="0" w:line="40"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We market the majority of our products through approximately 50 domestic and 100 foreign distributors, as well as a number of hardware retailers, home centers, and mass retailers in more than 90 countries worldwide.</w:t>
      </w:r>
    </w:p>
    <w:p>
      <w:pPr>
        <w:ind w:right="80" w:firstLine="180"/>
        <w:spacing w:after="0" w:line="266" w:lineRule="auto"/>
        <w:rPr>
          <w:sz w:val="20"/>
          <w:szCs w:val="20"/>
          <w:color w:val="auto"/>
        </w:rPr>
      </w:pPr>
      <w:r>
        <w:rPr>
          <w:rFonts w:ascii="Arial" w:cs="Arial" w:eastAsia="Arial" w:hAnsi="Arial"/>
          <w:sz w:val="18"/>
          <w:szCs w:val="18"/>
          <w:color w:val="auto"/>
        </w:rPr>
        <w:t>Toro and Lawn-Boy residential products, such as walk power mowers, riding products, and snow throwers, are sold to distributors, including Toro-owned distributors, for resale to retail dealers throughout the United States. Walk power mowers, snow throwers, and riding products are also sold directly to dealers, hardware retailers, home centers, and mass retailers. Home solutions products and retail irrigation products are primarily sold directly to home centers, mass retailers, hardware retailers, and dealers. We also sell selected residential products over the Internet, mainly through Internet retailers. Internationally, residential products are sold direct to retail dealers and mass merchandisers in Australia, Belgium, Canada, and the United Kingdom. In most other countries, products are mainly sold to distributors for resale to dealers and mass retailers.</w:t>
      </w:r>
    </w:p>
    <w:p>
      <w:pPr>
        <w:spacing w:after="0" w:line="1" w:lineRule="exact"/>
        <w:rPr>
          <w:sz w:val="20"/>
          <w:szCs w:val="20"/>
          <w:color w:val="auto"/>
        </w:rPr>
      </w:pPr>
    </w:p>
    <w:p>
      <w:pPr>
        <w:ind w:right="480" w:firstLine="180"/>
        <w:spacing w:after="0" w:line="277" w:lineRule="auto"/>
        <w:rPr>
          <w:sz w:val="20"/>
          <w:szCs w:val="20"/>
          <w:color w:val="auto"/>
        </w:rPr>
      </w:pPr>
      <w:r>
        <w:rPr>
          <w:rFonts w:ascii="Arial" w:cs="Arial" w:eastAsia="Arial" w:hAnsi="Arial"/>
          <w:sz w:val="18"/>
          <w:szCs w:val="18"/>
          <w:color w:val="auto"/>
        </w:rPr>
        <w:t>Worldwide, professional products are sold mainly to distributors for resale to dealers, sports complexes, industrial facilities, contractors, municipalities, rental stores, and golf courses. We also sell some professional segment products directly to government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customers and rental companies. Selected residential/commercial irrigation products are also sold directly to professional irrigation distributors. Compact utility loaders and attachments are sold directly to dealers and large rental companies. Exmark products are also sold direct to dealers in certain regions of the United States.</w:t>
      </w:r>
    </w:p>
    <w:p>
      <w:pPr>
        <w:spacing w:after="0" w:line="1"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8"/>
          <w:szCs w:val="18"/>
          <w:color w:val="auto"/>
        </w:rPr>
        <w:t>We currently own two domestic distribution companies. Our primary purposes in owning domestic distributorships are to facilitate ownership transfers while improving operations, and to test and deploy new strategies and business practices that could be replicated by our independent distributors. These distribution companies sell professional and residential products directly to retail dealers and customers in the United States and a majority of their revenues are derived from Toro-manufactured products.</w:t>
      </w:r>
    </w:p>
    <w:p>
      <w:pPr>
        <w:spacing w:after="0" w:line="1" w:lineRule="exact"/>
        <w:rPr>
          <w:sz w:val="20"/>
          <w:szCs w:val="20"/>
          <w:color w:val="auto"/>
        </w:rPr>
      </w:pPr>
    </w:p>
    <w:p>
      <w:pPr>
        <w:ind w:right="660" w:firstLine="180"/>
        <w:spacing w:after="0" w:line="266" w:lineRule="auto"/>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 We believe our distribution network provides a competitive advantage in marketing and selling our products.</w:t>
      </w:r>
    </w:p>
    <w:p>
      <w:pPr>
        <w:ind w:right="220" w:firstLine="180"/>
        <w:spacing w:after="0" w:line="297" w:lineRule="auto"/>
        <w:rPr>
          <w:sz w:val="20"/>
          <w:szCs w:val="20"/>
          <w:color w:val="auto"/>
        </w:rPr>
      </w:pPr>
      <w:r>
        <w:rPr>
          <w:rFonts w:ascii="Arial" w:cs="Arial" w:eastAsia="Arial" w:hAnsi="Arial"/>
          <w:sz w:val="18"/>
          <w:szCs w:val="18"/>
          <w:color w:val="auto"/>
        </w:rPr>
        <w:t>Our current marketing strategy is to maintain distinct brands and brand identification for Toro</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Lawn Genie</w:t>
      </w:r>
      <w:r>
        <w:rPr>
          <w:rFonts w:ascii="Arial" w:cs="Arial" w:eastAsia="Arial" w:hAnsi="Arial"/>
          <w:sz w:val="8"/>
          <w:szCs w:val="8"/>
          <w:color w:val="auto"/>
        </w:rPr>
        <w:t>®</w:t>
      </w:r>
      <w:r>
        <w:rPr>
          <w:rFonts w:ascii="Arial" w:cs="Arial" w:eastAsia="Arial" w:hAnsi="Arial"/>
          <w:sz w:val="18"/>
          <w:szCs w:val="18"/>
          <w:color w:val="auto"/>
        </w:rPr>
        <w:t>, Pope</w:t>
      </w:r>
      <w:r>
        <w:rPr>
          <w:rFonts w:ascii="Arial" w:cs="Arial" w:eastAsia="Arial" w:hAnsi="Arial"/>
          <w:sz w:val="8"/>
          <w:szCs w:val="8"/>
          <w:color w:val="auto"/>
        </w:rPr>
        <w:t>®</w:t>
      </w:r>
      <w:r>
        <w:rPr>
          <w:rFonts w:ascii="Arial" w:cs="Arial" w:eastAsia="Arial" w:hAnsi="Arial"/>
          <w:sz w:val="18"/>
          <w:szCs w:val="18"/>
          <w:color w:val="auto"/>
        </w:rPr>
        <w:t>, and Rain Master™ products.</w:t>
      </w:r>
    </w:p>
    <w:p>
      <w:pPr>
        <w:spacing w:after="0" w:line="1" w:lineRule="exact"/>
        <w:rPr>
          <w:sz w:val="20"/>
          <w:szCs w:val="20"/>
          <w:color w:val="auto"/>
        </w:rPr>
      </w:pPr>
    </w:p>
    <w:p>
      <w:pPr>
        <w:ind w:right="160" w:firstLine="180"/>
        <w:spacing w:after="0" w:line="270" w:lineRule="auto"/>
        <w:rPr>
          <w:sz w:val="20"/>
          <w:szCs w:val="20"/>
          <w:color w:val="auto"/>
        </w:rPr>
      </w:pPr>
      <w:r>
        <w:rPr>
          <w:rFonts w:ascii="Arial" w:cs="Arial" w:eastAsia="Arial" w:hAnsi="Arial"/>
          <w:sz w:val="18"/>
          <w:szCs w:val="18"/>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purchased by the company as well as through cooperative programs with distributors, dealers, hardware retailers, home centers, and mass retailers.</w:t>
      </w:r>
    </w:p>
    <w:p>
      <w:pPr>
        <w:sectPr>
          <w:pgSz w:w="11900" w:h="16838" w:orient="portrait"/>
          <w:cols w:equalWidth="0" w:num="1">
            <w:col w:w="11400"/>
          </w:cols>
          <w:pgMar w:left="240" w:top="152" w:right="259" w:bottom="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4673B6"/>
        </w:rPr>
        <w:t>Customers</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Overall, we believe that in the long-term we are not dependent on any single customer. However, The Home Depot accounted for greater than 10 percent of our total consolidated net sales in fiscal 2007, 2006, and 2005. The residential segment of our business is dependent on The Home Depot as a customer. While the loss of any substantial customer, including The Home Depot, could have a material short-term impact on our business, we believe that our diverse distribution channels and customer base should reduce the long-term impact of any such loss.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Backlog of Orders</w:t>
      </w:r>
    </w:p>
    <w:p>
      <w:pPr>
        <w:spacing w:after="0" w:line="4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Our backlog of orders is dependent upon when customers place orders, and not necessarily an indicator of our expected results for the first fiscal quarter of fiscal 2008 or our fiscal 2008 sales growth. The approximate backlog of orders believed to be firm as of October 31, 2007 and 2006 was $70.0 million and $120.6 million, respectively, a decrease of 42 percent. This decline was primarily due to our domestic customers purchasing product closer to retail demand because of the uncertainty of the economy. Residential segment open orders for snow thrower products were also down compared to last fiscal year due to customers’ uncertainty of the upcoming snow season because of lower levels of snow fall during the 2006-2007 winter season in key markets. In addition, backlog of orders for our international businesses were also down as of October 31, 2007 compared to October 31, 2006 due to international customers placing orders in the first quarter of fiscal 2008 instead of the fourth quarter of fiscal 2007. We expect the existing backlog of orders will be filled in early fiscal 2008.</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Competition</w:t>
      </w:r>
    </w:p>
    <w:p>
      <w:pPr>
        <w:spacing w:after="0" w:line="4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pricing, product innovation, quality and reliability, product support and customer service, warranty, brand awareness, reputation, distribution, shelf space, and financing options. Pricing has become an increasingly important competitive factor for a majority of our products. We believe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many product lines with numerous manufacturers, many of which have greater operational and financial resources than us. We believe that we have a competitive advantage because we manufacture a broad range of product lines, we are committed to product innovation and customer service, we focus on Lean manufacturing methods, we have a strong focus in maintaining landscapes, and our distribution channels position us well to compete in various markets.</w:t>
      </w:r>
    </w:p>
    <w:p>
      <w:pPr>
        <w:spacing w:after="0" w:line="2" w:lineRule="exact"/>
        <w:rPr>
          <w:sz w:val="20"/>
          <w:szCs w:val="20"/>
          <w:color w:val="auto"/>
        </w:rPr>
      </w:pPr>
    </w:p>
    <w:p>
      <w:pPr>
        <w:ind w:right="20" w:firstLine="180"/>
        <w:spacing w:after="0" w:line="270" w:lineRule="auto"/>
        <w:rPr>
          <w:sz w:val="20"/>
          <w:szCs w:val="20"/>
          <w:color w:val="auto"/>
        </w:rPr>
      </w:pPr>
      <w:r>
        <w:rPr>
          <w:rFonts w:ascii="Arial" w:cs="Arial" w:eastAsia="Arial" w:hAnsi="Arial"/>
          <w:sz w:val="18"/>
          <w:szCs w:val="18"/>
          <w:color w:val="auto"/>
        </w:rPr>
        <w:t>Internationally, residential segment products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Environmental Matters and Other Governmental Regulation</w:t>
      </w:r>
    </w:p>
    <w:p>
      <w:pPr>
        <w:spacing w:after="0" w:line="4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We are subject to a wide variety of federal, state, international, and other governmental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European Union (EU) has adopted the following environmental directives: Waste Electrical and Electronic Equipment</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(WEEE) and Restriction on the use of Hazardous Substances (RoHS). Both directives are transposed into legislation in the 27 EU member states. The WEEE directive mandates the labeling, collection, and disposal of electrical and electronic equipment. The RoHS directive bans the sale of electrical and electronic equipment containing certain, or certain levels of, hazardous substances, such as lead, mercury, chromium, cadmium, and brominated-flame retardants. We believe that we are in substantial compliance with these regulations.</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The United States Environmental Protection Agency (EPA) and the California Air Resources Board (CARB) have adopted emission regulations setting maximum emission standards for certain off-road equipment. New engine emission regulations are being phased in by the federal government and the State of California. Our products are also subject to international laws and regulations related to emissions in places where we sell our products outside the United States. We are currently unable to predict the ultimate impact of the adopted and proposed regulations on our business.</w:t>
      </w:r>
    </w:p>
    <w:p>
      <w:pPr>
        <w:spacing w:after="0" w:line="1" w:lineRule="exact"/>
        <w:rPr>
          <w:sz w:val="20"/>
          <w:szCs w:val="20"/>
          <w:color w:val="auto"/>
        </w:rPr>
      </w:pPr>
    </w:p>
    <w:p>
      <w:pPr>
        <w:jc w:val="both"/>
        <w:ind w:right="240" w:firstLine="180"/>
        <w:spacing w:after="0" w:line="270" w:lineRule="auto"/>
        <w:rPr>
          <w:sz w:val="20"/>
          <w:szCs w:val="20"/>
          <w:color w:val="auto"/>
        </w:rPr>
      </w:pPr>
      <w:r>
        <w:rPr>
          <w:rFonts w:ascii="Arial" w:cs="Arial" w:eastAsia="Arial" w:hAnsi="Arial"/>
          <w:sz w:val="18"/>
          <w:szCs w:val="18"/>
          <w:color w:val="auto"/>
        </w:rPr>
        <w:t>Our residential products are subject to various United States statutes designed to protect consumers and are subject to the administrative jurisdiction of the Consumer Product Safety Commission. We are also subject to international, federal and state environmental, occupational safety, transportation, and other regulations. We believe we are in substantial compliance with all such regulations, none of which has had a material adverse effect on our operations or business.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 Financing</w:t>
      </w:r>
    </w:p>
    <w:p>
      <w:pPr>
        <w:spacing w:after="0" w:line="3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Toro Credit Company, our wholly owned finance subsidiary, provides financing for select products we manufacture for</w:t>
      </w:r>
      <w:r>
        <w:rPr>
          <w:rFonts w:ascii="Arial" w:cs="Arial" w:eastAsia="Arial" w:hAnsi="Arial"/>
          <w:sz w:val="18"/>
          <w:szCs w:val="18"/>
          <w:b w:val="1"/>
          <w:bCs w:val="1"/>
          <w:color w:val="4673B6"/>
        </w:rPr>
        <w:t xml:space="preserve"> </w:t>
      </w:r>
      <w:r>
        <w:rPr>
          <w:rFonts w:ascii="Arial" w:cs="Arial" w:eastAsia="Arial" w:hAnsi="Arial"/>
          <w:sz w:val="18"/>
          <w:szCs w:val="18"/>
          <w:color w:val="000000"/>
        </w:rPr>
        <w:t>North American Toro distributors and approximately 180 selected U.S. dealers. Toro Credit Company purchases select receivables from our distributors for extended periods that assist the distributors and dealers to carry representative inventories of equipment. Down payments are not required and, depending on the finance program for each product line, finance charges are incurred by us, shared between us and the distributor and/or the dealer, or paid by the distributor or dealer. A security interest is retained in the distributors’ and dealers’ inventories, and those inventories are monitored regularly. Terms to the distributors and dealers require payment as the equipment, which secures the indebtedness, is sold to customers, or when payment terms become due, whichever occurs first. Rates are based on prime rate plus a fixed percentage that differs based on whether the financing is for a distributor or dealer. Rates may also vary based on the product that is financed.</w:t>
      </w:r>
    </w:p>
    <w:p>
      <w:pPr>
        <w:spacing w:after="0" w:line="3" w:lineRule="exact"/>
        <w:rPr>
          <w:sz w:val="20"/>
          <w:szCs w:val="20"/>
          <w:color w:val="auto"/>
        </w:rPr>
      </w:pPr>
    </w:p>
    <w:p>
      <w:pPr>
        <w:ind w:right="340" w:firstLine="180"/>
        <w:spacing w:after="0" w:line="295" w:lineRule="auto"/>
        <w:rPr>
          <w:sz w:val="20"/>
          <w:szCs w:val="20"/>
          <w:color w:val="auto"/>
        </w:rPr>
      </w:pPr>
      <w:r>
        <w:rPr>
          <w:rFonts w:ascii="Arial" w:cs="Arial" w:eastAsia="Arial" w:hAnsi="Arial"/>
          <w:sz w:val="17"/>
          <w:szCs w:val="17"/>
          <w:color w:val="auto"/>
        </w:rPr>
        <w:t>Independent Toro dealers that do not finance through Toro Credit Company finance their inventories with third party sources. The finance charges represent interest for a pre-established length of time based on a predefined rate by a contract with third party financing sources. Exmark and some international products sold through dealers are financed primarily with third party financing sources or by the distributor.</w:t>
      </w:r>
    </w:p>
    <w:p>
      <w:pPr>
        <w:spacing w:after="0" w:line="5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color w:val="4673B6"/>
        </w:rPr>
        <w:t xml:space="preserve"> </w:t>
      </w:r>
      <w:r>
        <w:rPr>
          <w:rFonts w:ascii="Arial" w:cs="Arial" w:eastAsia="Arial" w:hAnsi="Arial"/>
          <w:sz w:val="18"/>
          <w:szCs w:val="18"/>
          <w:color w:val="000000"/>
        </w:rPr>
        <w:t>fields and grounds equipment customers and micro-irrigation customers in North America, Europe, and Australia. The purpose of these</w:t>
      </w:r>
    </w:p>
    <w:p>
      <w:pPr>
        <w:sectPr>
          <w:pgSz w:w="11900" w:h="16838" w:orient="portrait"/>
          <w:cols w:equalWidth="0" w:num="1">
            <w:col w:w="11400"/>
          </w:cols>
          <w:pgMar w:left="240" w:top="111"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agreements is to increase sales by giving buyers of our products alternative financing options when purchasing our products.</w:t>
      </w:r>
    </w:p>
    <w:p>
      <w:pPr>
        <w:spacing w:after="0" w:line="23"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We also have a multi-year agreement with a third party financing company to provide financing programs under a private label program in the U.S. This program, offered primarily to Toro and Exmark dealers, provides end-user customers a revolving line of credit for Toro and Exmark products, parts, and services.</w:t>
      </w:r>
    </w:p>
    <w:p>
      <w:pPr>
        <w:spacing w:after="0" w:line="74" w:lineRule="exact"/>
        <w:rPr>
          <w:sz w:val="20"/>
          <w:szCs w:val="20"/>
          <w:color w:val="auto"/>
        </w:rPr>
      </w:pPr>
    </w:p>
    <w:p>
      <w:pPr>
        <w:ind w:right="640"/>
        <w:spacing w:after="0" w:line="303" w:lineRule="auto"/>
        <w:rPr>
          <w:sz w:val="20"/>
          <w:szCs w:val="20"/>
          <w:color w:val="auto"/>
        </w:rPr>
      </w:pPr>
      <w:r>
        <w:rPr>
          <w:rFonts w:ascii="Arial" w:cs="Arial" w:eastAsia="Arial" w:hAnsi="Arial"/>
          <w:sz w:val="18"/>
          <w:szCs w:val="18"/>
          <w:b w:val="1"/>
          <w:bCs w:val="1"/>
          <w:color w:val="4673B6"/>
        </w:rPr>
        <w:t xml:space="preserve">Distributor Financing – </w:t>
      </w:r>
      <w:r>
        <w:rPr>
          <w:rFonts w:ascii="Arial" w:cs="Arial" w:eastAsia="Arial" w:hAnsi="Arial"/>
          <w:sz w:val="18"/>
          <w:szCs w:val="18"/>
          <w:color w:val="000000"/>
        </w:rPr>
        <w:t>Occasionally, we enter into long-term loan agreements with some distributors. These transactions are used for</w:t>
      </w:r>
      <w:r>
        <w:rPr>
          <w:rFonts w:ascii="Arial" w:cs="Arial" w:eastAsia="Arial" w:hAnsi="Arial"/>
          <w:sz w:val="18"/>
          <w:szCs w:val="18"/>
          <w:b w:val="1"/>
          <w:bCs w:val="1"/>
          <w:color w:val="4673B6"/>
        </w:rPr>
        <w:t xml:space="preserve"> </w:t>
      </w:r>
      <w:r>
        <w:rPr>
          <w:rFonts w:ascii="Arial" w:cs="Arial" w:eastAsia="Arial" w:hAnsi="Arial"/>
          <w:sz w:val="18"/>
          <w:szCs w:val="18"/>
          <w:color w:val="000000"/>
        </w:rPr>
        <w:t>expansion of the distributors’ businesses, acquisitions, refinancing working capital agreements, or ownership changes.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Employees</w:t>
      </w:r>
    </w:p>
    <w:p>
      <w:pPr>
        <w:spacing w:after="0" w:line="40"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During fiscal 2007, we employed an average of 5,320 employees. The total number of employees as of October 31, 2007 was 5,273. We consider our employee relations to be good. Three collective bargaining agreements cover approximately 17 percent of these employees. These three agreements expire in October 2008, May 2010, and October 2010. From time to time, we also retain consultants, independent contractors, and temporary and part-time workers.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Available Information</w:t>
      </w:r>
    </w:p>
    <w:p>
      <w:pPr>
        <w:spacing w:after="0" w:line="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4673B6"/>
        </w:rPr>
        <w:t xml:space="preserve">Filings with the SEC – </w:t>
      </w:r>
      <w:r>
        <w:rPr>
          <w:rFonts w:ascii="Arial" w:cs="Arial" w:eastAsia="Arial" w:hAnsi="Arial"/>
          <w:sz w:val="18"/>
          <w:szCs w:val="18"/>
          <w:color w:val="000000"/>
        </w:rPr>
        <w:t>We are a reporting company under the Securities Exchange Act of 1934, as amended, and file reports, proxy</w:t>
      </w:r>
      <w:r>
        <w:rPr>
          <w:rFonts w:ascii="Arial" w:cs="Arial" w:eastAsia="Arial" w:hAnsi="Arial"/>
          <w:sz w:val="18"/>
          <w:szCs w:val="18"/>
          <w:b w:val="1"/>
          <w:bCs w:val="1"/>
          <w:color w:val="4673B6"/>
        </w:rPr>
        <w:t xml:space="preserve"> </w:t>
      </w:r>
      <w:r>
        <w:rPr>
          <w:rFonts w:ascii="Arial" w:cs="Arial" w:eastAsia="Arial" w:hAnsi="Arial"/>
          <w:sz w:val="18"/>
          <w:szCs w:val="18"/>
          <w:color w:val="000000"/>
        </w:rPr>
        <w:t>statements, and other information with the Securities and Exchange Commission (SEC). Copies of these reports, proxy statements, and other information can be inspected and copied at the SEC’s Public Reference Room at 100 F Street N.E., Room 1580,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 w:lineRule="exact"/>
        <w:rPr>
          <w:sz w:val="20"/>
          <w:szCs w:val="20"/>
          <w:color w:val="auto"/>
        </w:rPr>
      </w:pPr>
    </w:p>
    <w:p>
      <w:pPr>
        <w:ind w:right="180" w:firstLine="180"/>
        <w:spacing w:after="0" w:line="269" w:lineRule="auto"/>
        <w:rPr>
          <w:sz w:val="20"/>
          <w:szCs w:val="20"/>
          <w:color w:val="auto"/>
        </w:rPr>
      </w:pPr>
      <w:r>
        <w:rPr>
          <w:rFonts w:ascii="Arial" w:cs="Arial" w:eastAsia="Arial" w:hAnsi="Arial"/>
          <w:sz w:val="18"/>
          <w:szCs w:val="18"/>
          <w:color w:val="auto"/>
        </w:rPr>
        <w:t xml:space="preserve">We make available, free of charge on our Internet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“Financials” link), our Annual Reports on Form 10-K, Quarterly Reports on Form 10-Q, Current Reports on Form 8-K, proxy statements on Schedule 14A, amendments to those reports, and other documents filed or furnished pursuant to Section 13(a) or 15(d) of the Securities Exchange Act of 1934, as amended, as soon as reasonably practicable after we electronically file such material with, or furnish it to, the SEC.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contained on our web site or connected to our web site is not incorporated by reference into this Annual Report on Form 10-K and should not be considered part of this report.</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4673B6"/>
        </w:rPr>
        <w:t xml:space="preserve">Corporate Governance – </w:t>
      </w:r>
      <w:r>
        <w:rPr>
          <w:rFonts w:ascii="Arial" w:cs="Arial" w:eastAsia="Arial" w:hAnsi="Arial"/>
          <w:sz w:val="18"/>
          <w:szCs w:val="18"/>
          <w:color w:val="000000"/>
        </w:rPr>
        <w:t>We have a Code of Ethics for the CEO and Senior Financial Officers, a Code of Conduct for all employees, and a</w:t>
      </w:r>
      <w:r>
        <w:rPr>
          <w:rFonts w:ascii="Arial" w:cs="Arial" w:eastAsia="Arial" w:hAnsi="Arial"/>
          <w:sz w:val="18"/>
          <w:szCs w:val="18"/>
          <w:b w:val="1"/>
          <w:bCs w:val="1"/>
          <w:color w:val="4673B6"/>
        </w:rPr>
        <w:t xml:space="preserve"> </w:t>
      </w:r>
      <w:r>
        <w:rPr>
          <w:rFonts w:ascii="Arial" w:cs="Arial" w:eastAsia="Arial" w:hAnsi="Arial"/>
          <w:sz w:val="18"/>
          <w:szCs w:val="18"/>
          <w:color w:val="000000"/>
        </w:rPr>
        <w:t xml:space="preserve">Board of Directors Business Ethics Policy Statement. Copies of these documents are posted on our website at </w:t>
      </w:r>
      <w:r>
        <w:rPr>
          <w:rFonts w:ascii="Arial" w:cs="Arial" w:eastAsia="Arial" w:hAnsi="Arial"/>
          <w:sz w:val="18"/>
          <w:szCs w:val="18"/>
          <w:u w:val="single" w:color="auto"/>
          <w:color w:val="000000"/>
        </w:rPr>
        <w:t>www.thetorocompany.com</w:t>
      </w:r>
      <w:r>
        <w:rPr>
          <w:rFonts w:ascii="Arial" w:cs="Arial" w:eastAsia="Arial" w:hAnsi="Arial"/>
          <w:sz w:val="18"/>
          <w:szCs w:val="18"/>
          <w:color w:val="000000"/>
        </w:rPr>
        <w:t xml:space="preserve"> (select the “Investor Information” link and then the “Corporate Governance” link). If we amend or grant any waivers to the codes that are applicable to our executive officers, which we do not anticipate doing, we have committed that we will post the amendments or waivers on our web site under “Corporate Governance.”</w:t>
      </w:r>
    </w:p>
    <w:p>
      <w:pPr>
        <w:spacing w:after="0" w:line="1"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 xml:space="preserve">We also make available, free of charge on our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and in print to any stockholder who requests, our corporate governance guidelines and the charters of our Audit Committee, Compensation and Human Resources Committee, Nominating and Governance Committee, and Finance Committee of our Board of Directors. Requests for copies can be directed to Investor Relations, telephone: (952) 887-7141.</w:t>
      </w:r>
    </w:p>
    <w:p>
      <w:pPr>
        <w:spacing w:after="0" w:line="1" w:lineRule="exact"/>
        <w:rPr>
          <w:sz w:val="20"/>
          <w:szCs w:val="20"/>
          <w:color w:val="auto"/>
        </w:rPr>
      </w:pPr>
    </w:p>
    <w:p>
      <w:pPr>
        <w:ind w:right="100" w:firstLine="180"/>
        <w:spacing w:after="0" w:line="271" w:lineRule="auto"/>
        <w:rPr>
          <w:sz w:val="20"/>
          <w:szCs w:val="20"/>
          <w:color w:val="auto"/>
        </w:rPr>
      </w:pPr>
      <w:r>
        <w:rPr>
          <w:rFonts w:ascii="Arial" w:cs="Arial" w:eastAsia="Arial" w:hAnsi="Arial"/>
          <w:sz w:val="18"/>
          <w:szCs w:val="18"/>
          <w:color w:val="auto"/>
        </w:rPr>
        <w:t>We have furnished to the SEC the required certifications under Section 302 of the Sarbanes-Oxley Act of 2002 regarding the quality of our public disclosures as Exhibits 31(a) and 31(b) to this report. We have filed with the New York Stock Exchange (NYSE) the CEO certification regarding our compliance with the NYSE’s corporate governance listing standards as required by NYSE Rule 3030A.12(a) on March 21, 2007.</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Forward-Looking Statements</w:t>
      </w:r>
    </w:p>
    <w:p>
      <w:pPr>
        <w:spacing w:after="0" w:line="4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“looking ahead”, “outlook”, “optimistic”, “anticipate”, “plan”, “estimate”, “believe”, “should”, “could”, “may”, “intend”, and similar expressions. Our forward-looking statements generally relate to our future performance, including our anticipated operating results and liquidity requirements, our business strategies and goals, and the effect of laws, rules, regulations as well as new accounting pronouncements and outstanding litigation, on our business, operating results, and financial condition.</w:t>
      </w:r>
    </w:p>
    <w:p>
      <w:pPr>
        <w:spacing w:after="0" w:line="2" w:lineRule="exact"/>
        <w:rPr>
          <w:sz w:val="20"/>
          <w:szCs w:val="20"/>
          <w:color w:val="auto"/>
        </w:rPr>
      </w:pPr>
    </w:p>
    <w:p>
      <w:pPr>
        <w:ind w:right="80" w:firstLine="180"/>
        <w:spacing w:after="0" w:line="266"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in this report in Part I, Item 1A, “Risk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 w:lineRule="exact"/>
        <w:rPr>
          <w:sz w:val="20"/>
          <w:szCs w:val="20"/>
          <w:color w:val="auto"/>
        </w:rPr>
      </w:pPr>
    </w:p>
    <w:p>
      <w:pPr>
        <w:ind w:right="200" w:firstLine="180"/>
        <w:spacing w:after="0" w:line="271"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Securities and Exchange Commission.</w:t>
      </w:r>
    </w:p>
    <w:p>
      <w:pPr>
        <w:sectPr>
          <w:pgSz w:w="11900" w:h="16838" w:orient="portrait"/>
          <w:cols w:equalWidth="0" w:num="1">
            <w:col w:w="11420"/>
          </w:cols>
          <w:pgMar w:left="240" w:top="152" w:right="239" w:bottom="65"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1A. RISK FACTORS</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operations, industry, financial position, or future financial performance.</w:t>
      </w:r>
    </w:p>
    <w:p>
      <w:pPr>
        <w:spacing w:after="0" w:line="157" w:lineRule="exact"/>
        <w:rPr>
          <w:sz w:val="20"/>
          <w:szCs w:val="20"/>
          <w:color w:val="auto"/>
        </w:rPr>
      </w:pPr>
    </w:p>
    <w:p>
      <w:pPr>
        <w:ind w:right="300"/>
        <w:spacing w:after="0" w:line="272" w:lineRule="auto"/>
        <w:rPr>
          <w:sz w:val="20"/>
          <w:szCs w:val="20"/>
          <w:color w:val="auto"/>
        </w:rPr>
      </w:pPr>
      <w:r>
        <w:rPr>
          <w:rFonts w:ascii="Arial" w:cs="Arial" w:eastAsia="Arial" w:hAnsi="Arial"/>
          <w:sz w:val="20"/>
          <w:szCs w:val="20"/>
          <w:b w:val="1"/>
          <w:bCs w:val="1"/>
          <w:i w:val="1"/>
          <w:iCs w:val="1"/>
          <w:color w:val="4673B6"/>
        </w:rPr>
        <w:t>Changes in economic conditions and outlook in the United States and around the world could adversely affect our net sales.</w:t>
      </w:r>
    </w:p>
    <w:p>
      <w:pPr>
        <w:spacing w:after="0" w:line="8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demand for our products is dependent upon economic conditions and outlook, including but not limited to economic growth rates; slow downs or reductions in home ownership, construction, and home sales; consumer spending levels; employment rates; interest rates; inflation; consumer confidence; and general economic and political conditions and expectations in the United States and the foreign economies in which we conduct business. Inflationary pressures, higher fuel prices, higher short-term and mortgage interest rates, and a negative economic outlook could cause consumers to reduce spending, which could have an adverse effect on our net sales and earnings.</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i w:val="1"/>
          <w:iCs w:val="1"/>
          <w:color w:val="4673B6"/>
        </w:rPr>
        <w:t>Increases in the cost and availability of raw materials and components that we purchase and increases in our other costs of doing business, such as transportation costs, may adversely affect our profit margins and business.</w:t>
      </w:r>
    </w:p>
    <w:p>
      <w:pPr>
        <w:spacing w:after="0" w:line="8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purchase raw materials, such as steel, aluminum, fuel, petroleum-based resins, linerboard, and other commodities, and components, such as engines, transmissions, transaxles, hydraulics, and electric motors, for use in our products. Increases in the cost of such raw materials and components may adversely affect our profit margins if we are unable to pass along any cost increases in the form of price increases or otherwise reduce our cost of goods sold. In the past, the benefits from our internal cost reduction efforts, as well as proactive vendor negotiations, reviewing alternative sourcing options, and moderate price increases on some of our products, have offset a portion of increased raw material and component costs. However, we cannot commit that we will be able to continue to offset increased costs in the future. Although most of the raw materials and components of our products are commercially available from a number of sources and in adequate supply, any disruption in the availability of such raw materials and components, our inability to obtain substitutes for such items, or any deterioration in our relationships with or the financial viability of our suppliers could adversely affect our business. Increases in our other costs of doing business may also adversely affect our profit margins and business. For example, an increase in fuel costs may also result in an increase in our transportation costs, which also could adversely affect our operating results and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Weather conditions may reduce demand for some of our products and adversely affect our net sales.</w:t>
      </w:r>
    </w:p>
    <w:p>
      <w:pPr>
        <w:spacing w:after="0" w:line="1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From time to time, weather conditions in a particular geographic region may adversely affect sales of some of our products and field inventory levels.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have had an adverse effect on sales of our snow thrower products. To the extent that such unfavorable weather conditions are exacerbated by global climate change or otherwise, our sales may be affected to a greater degree than we have previously experienced.</w:t>
      </w:r>
    </w:p>
    <w:p>
      <w:pPr>
        <w:spacing w:after="0" w:line="167" w:lineRule="exact"/>
        <w:rPr>
          <w:sz w:val="20"/>
          <w:szCs w:val="20"/>
          <w:color w:val="auto"/>
        </w:rPr>
      </w:pPr>
    </w:p>
    <w:p>
      <w:pPr>
        <w:ind w:right="520"/>
        <w:spacing w:after="0" w:line="250" w:lineRule="auto"/>
        <w:rPr>
          <w:sz w:val="20"/>
          <w:szCs w:val="20"/>
          <w:color w:val="auto"/>
        </w:rPr>
      </w:pPr>
      <w:r>
        <w:rPr>
          <w:rFonts w:ascii="Arial" w:cs="Arial" w:eastAsia="Arial" w:hAnsi="Arial"/>
          <w:sz w:val="20"/>
          <w:szCs w:val="20"/>
          <w:b w:val="1"/>
          <w:bCs w:val="1"/>
          <w:i w:val="1"/>
          <w:iCs w:val="1"/>
          <w:color w:val="4673B6"/>
        </w:rPr>
        <w:t>Our professional segment net sales are dependent upon the level of growth in the residential and commercial construction markets, growth of homeowners’ outsourcing lawn care, the amount of investment in golf course renovations and improvements, new golf course development, golf course closures, and the amount of government spending.</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Our professional segment products are sold by distributors or dealers, or sold directly to government customers, rental companies, and professional users engaged in maintaining and creating landscapes, such as golf courses, sports fields, municipal properties, and residential and commercial landscapes. Our professional segment net sales, therefore, are dependent upon the level of growth in residential and commercial construction markets, growth of homeowners’ outsourcing lawn care, the amount of investment in golf course renovations and improvements, new golf course construction, and the amount of government spending. Reduced tax revenue, increased expenses, and tighter government budgets generally result in reduced government spending for grounds maintenance equipment, which could have an adverse effect on our professional segment net sales. In addition, a slow rate of growth in golf rounds played that impacts revenue for golf courses and golf course closures could adversely affect our sales of golf course equipment and irrigation products.</w:t>
      </w:r>
    </w:p>
    <w:p>
      <w:pPr>
        <w:spacing w:after="0" w:line="170" w:lineRule="exact"/>
        <w:rPr>
          <w:sz w:val="20"/>
          <w:szCs w:val="20"/>
          <w:color w:val="auto"/>
        </w:rPr>
      </w:pPr>
    </w:p>
    <w:p>
      <w:pPr>
        <w:ind w:right="360"/>
        <w:spacing w:after="0" w:line="272" w:lineRule="auto"/>
        <w:rPr>
          <w:sz w:val="20"/>
          <w:szCs w:val="20"/>
          <w:color w:val="auto"/>
        </w:rPr>
      </w:pPr>
      <w:r>
        <w:rPr>
          <w:rFonts w:ascii="Arial" w:cs="Arial" w:eastAsia="Arial" w:hAnsi="Arial"/>
          <w:sz w:val="20"/>
          <w:szCs w:val="20"/>
          <w:b w:val="1"/>
          <w:bCs w:val="1"/>
          <w:i w:val="1"/>
          <w:iCs w:val="1"/>
          <w:color w:val="4673B6"/>
        </w:rPr>
        <w:t>Our residential segment net sales are dependent upon the amount of product placement at retailers, changing buying patterns of customers, and The Home Depot, Inc. as a major customer.</w:t>
      </w:r>
    </w:p>
    <w:p>
      <w:pPr>
        <w:spacing w:after="0" w:line="8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elimination or reduction of shelf space assigned to our products by retailers could adversely affect our residential segment net sales. Our residential segment net sales are also dependent upon changing buying patterns of customers. For example, in the last decade, there has been a trend away from purchases at dealer outlets and hardware retailers to price and value sensitive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purchases at home centers and mass retailers. This trend has resulted in a demand for residential products purchased at retailers, such as The Home Depot, which accounted for greater than 10 percent of our total consolidated net sales in fiscal 2007, 2006, and 2005. We believe that our diverse distribution channels and customer base should reduce the long-term impact on us if we were to lose The Home Depot or any other substantial customer. However, the loss of any substantial customer, significant reduction in sales to The Home Depot or other customers, or our inability to respond to future changes in buying patterns of customers and new distribution channels could have a material impact on our business and operating results. Changing buying patterns of customers also could result in reduced sales of one or more of our residential</w:t>
      </w:r>
    </w:p>
    <w:p>
      <w:pPr>
        <w:sectPr>
          <w:pgSz w:w="11900" w:h="16838" w:orient="portrait"/>
          <w:cols w:equalWidth="0" w:num="1">
            <w:col w:w="11420"/>
          </w:cols>
          <w:pgMar w:left="240" w:top="152" w:right="239" w:bottom="0" w:gutter="0" w:footer="0" w:header="0"/>
        </w:sectPr>
      </w:pPr>
    </w:p>
    <w:bookmarkStart w:id="9" w:name="page10"/>
    <w:bookmarkEnd w:id="9"/>
    <w:p>
      <w:pPr>
        <w:ind w:right="400"/>
        <w:spacing w:after="0" w:line="269" w:lineRule="auto"/>
        <w:rPr>
          <w:sz w:val="20"/>
          <w:szCs w:val="20"/>
          <w:color w:val="auto"/>
        </w:rPr>
      </w:pPr>
      <w:r>
        <w:rPr>
          <w:rFonts w:ascii="Arial" w:cs="Arial" w:eastAsia="Arial" w:hAnsi="Arial"/>
          <w:sz w:val="18"/>
          <w:szCs w:val="18"/>
          <w:color w:val="auto"/>
        </w:rPr>
        <w:t>segment products, resulting in increased inventory levels. Although our residential lawn and garden products are generally manufactured throughout the year, our residential snow removal equipment products are generally manufactured in the summer and fall months. Our production levels and inventory management goals are based on estimates of demand for our products, taking into account production capacity, timing of shipments, and field inventory levels. If we overestimate or underestimate demand during a given season, we may have excess or sub-optimal inventories.</w:t>
      </w:r>
    </w:p>
    <w:p>
      <w:pPr>
        <w:spacing w:after="0" w:line="164" w:lineRule="exact"/>
        <w:rPr>
          <w:sz w:val="20"/>
          <w:szCs w:val="20"/>
          <w:color w:val="auto"/>
        </w:rPr>
      </w:pPr>
    </w:p>
    <w:p>
      <w:pPr>
        <w:ind w:right="560"/>
        <w:spacing w:after="0" w:line="255" w:lineRule="auto"/>
        <w:rPr>
          <w:sz w:val="20"/>
          <w:szCs w:val="20"/>
          <w:color w:val="auto"/>
        </w:rPr>
      </w:pPr>
      <w:r>
        <w:rPr>
          <w:rFonts w:ascii="Arial" w:cs="Arial" w:eastAsia="Arial" w:hAnsi="Arial"/>
          <w:sz w:val="20"/>
          <w:szCs w:val="20"/>
          <w:b w:val="1"/>
          <w:bCs w:val="1"/>
          <w:i w:val="1"/>
          <w:iCs w:val="1"/>
          <w:color w:val="4673B6"/>
        </w:rPr>
        <w:t>If we are unable to continue to enhance existing products and develop and market new products that respond to customer needs and preferences and achieve market acceptance, we may experience a decrease in demand for our products, and our business could suffer.</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Our sales from new products in the past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 Product development requires significant financial, technological, and other resources. Although in the past we have implemented Lean manufacturing and other productivity improvement initiatives to provide investment funding for new products, we cannot be certain that we will be able to continue to do so in the future. Product improvements and new product introductions also require significant planning, design, development, and testing at the technological, product, and manufacturing process levels and we may not be able to timely develop product improvements or new products. Our competitors’ new products may beat our products to market, may be more effective with more features and/or less expensive than our products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67"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b w:val="1"/>
          <w:bCs w:val="1"/>
          <w:i w:val="1"/>
          <w:iCs w:val="1"/>
          <w:color w:val="4673B6"/>
        </w:rPr>
        <w:t>We face intense competition in all of our product lines with numerous manufacturers, including from some that have greater financial and other resources than we do. We may not be able to compete effectively against competitors’ actions, which could harm our business and operating results.</w:t>
      </w:r>
    </w:p>
    <w:p>
      <w:pPr>
        <w:spacing w:after="0" w:line="10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pricing, product innovation, quality and reliability, product support and customer service, warranty, brand awareness, reputation, distribution, shelf space, and financing options. We compete in all of our product lines with numerous manufacturers, some which have substantially greater financial, marketing, and other resources than we do. As a result, they may be able to adapt more quickly to new or emerging technologies and changes in customer preferences, or to devote greater resources to the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Pricing has become an increasingly important competitive factor for many of our products. We may not be able to compete effectively against competitors’ actions, which may include the movement of significant manufacturing to China for significant cost and price reductions, and which could harm our business and operating results.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b w:val="1"/>
          <w:bCs w:val="1"/>
          <w:i w:val="1"/>
          <w:iCs w:val="1"/>
          <w:color w:val="4673B6"/>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our products in the United States, Mexico, Australia, the United Kingdom, and Italy for sale throughout the world and maintain sales offices in the United States, Belgium, the United Kingdom, France, Australia, Singapore, Japan, China, Italy, and Switzerland. Our net sales outside the United States were 29.0 percent, 27.0 percent, and 24.8 percent of our total consolidated net sales for fiscal 2007, 2006, and 2005, respectively. International markets have in the past and will continue to be a focus for us to grow our revenues. For example, in February 2005, we completed the acquisition of certain assets and assumed certain liabilities of Hayter Limited, a company located in the United Kingdom that designs, manufactures, and markets residential and professional turf maintenance equipment, primarily for the United Kingdom market. We believe many opportunities exist in the international markets, and our goal is for international net sales to comprise a larger percentage of our total consolidated net sales. The expansion of our existing international operations and entry into additional international markets requires significant management attention and financial resources. Many of the countries in which we sell our products or otherwise have an international presence are, to some degree, subject to political, economic, and/or social instability. Our international operations expose us and our representatives, agents, and distributors to risks inherent in operating in foreign jurisdictions. These risks include:</w:t>
      </w:r>
    </w:p>
    <w:p>
      <w:pPr>
        <w:spacing w:after="0" w:line="21"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information technology;</w:t>
      </w:r>
    </w:p>
    <w:p>
      <w:pPr>
        <w:spacing w:after="0" w:line="23"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w:t>
      </w:r>
    </w:p>
    <w:p>
      <w:pPr>
        <w:spacing w:after="0" w:line="63" w:lineRule="exact"/>
        <w:rPr>
          <w:sz w:val="20"/>
          <w:szCs w:val="20"/>
          <w:color w:val="auto"/>
        </w:rPr>
      </w:pPr>
    </w:p>
    <w:p>
      <w:pPr>
        <w:ind w:left="180" w:right="720"/>
        <w:spacing w:after="0" w:line="258" w:lineRule="auto"/>
        <w:rPr>
          <w:sz w:val="20"/>
          <w:szCs w:val="20"/>
          <w:color w:val="auto"/>
        </w:rPr>
      </w:pPr>
      <w:r>
        <w:rPr>
          <w:rFonts w:ascii="Arial" w:cs="Arial" w:eastAsia="Arial" w:hAnsi="Arial"/>
          <w:sz w:val="18"/>
          <w:szCs w:val="18"/>
          <w:color w:val="auto"/>
        </w:rPr>
        <w:t>foreign agents, representatives, and distributors; and the imposition of increases in costly and lengthy export licensing requirements, customs duties and tariffs, license obligations, and other non-tariff barriers to trade;</w:t>
      </w:r>
    </w:p>
    <w:p>
      <w:pPr>
        <w:spacing w:after="0" w:line="1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 or prohibit our continued business with the sanctioned country, company, person, or entity;</w:t>
      </w:r>
    </w:p>
    <w:p>
      <w:pPr>
        <w:spacing w:after="0" w:line="23"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ectPr>
          <w:pgSz w:w="11900" w:h="16838" w:orient="portrait"/>
          <w:cols w:equalWidth="0" w:num="1">
            <w:col w:w="11420"/>
          </w:cols>
          <w:pgMar w:left="240" w:top="152" w:right="239" w:bottom="0" w:gutter="0" w:footer="0" w:header="0"/>
        </w:sectPr>
      </w:pPr>
    </w:p>
    <w:bookmarkStart w:id="10" w:name="page11"/>
    <w:bookmarkEnd w:id="10"/>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in particular, rules relating to environmental,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health, and safety matters.</w:t>
      </w:r>
    </w:p>
    <w:p>
      <w:pPr>
        <w:spacing w:after="0" w:line="23" w:lineRule="exact"/>
        <w:rPr>
          <w:sz w:val="20"/>
          <w:szCs w:val="20"/>
          <w:color w:val="auto"/>
        </w:rPr>
      </w:pPr>
    </w:p>
    <w:p>
      <w:pPr>
        <w:jc w:val="both"/>
        <w:ind w:right="560" w:firstLine="180"/>
        <w:spacing w:after="0" w:line="271" w:lineRule="auto"/>
        <w:rPr>
          <w:sz w:val="20"/>
          <w:szCs w:val="20"/>
          <w:color w:val="auto"/>
        </w:rPr>
      </w:pPr>
      <w:r>
        <w:rPr>
          <w:rFonts w:ascii="Arial" w:cs="Arial" w:eastAsia="Arial" w:hAnsi="Arial"/>
          <w:sz w:val="18"/>
          <w:szCs w:val="18"/>
          <w:color w:val="auto"/>
        </w:rPr>
        <w:t>Our operations in other countries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Fluctuations in foreign currency exchange rates could result in declines in our reported net sales and net earnings.</w:t>
      </w:r>
    </w:p>
    <w:p>
      <w:pPr>
        <w:spacing w:after="0" w:line="14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exchange rates.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Australian dollar, the Canadian dollar, the British pound, the Mexican peso, and the Japanese yen against the U.S. dollar. While we actively manage the exposure of our foreign currency market risk in the normal course of business by entering into various foreign exchange contracts, these instruments may not effectively limit our underlying exposure from currency fluctuations or minimize our net earnings and cash volatility associated with foreign currency exchange rate changes.</w:t>
      </w:r>
    </w:p>
    <w:p>
      <w:pPr>
        <w:spacing w:after="0" w:line="169"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b w:val="1"/>
          <w:bCs w:val="1"/>
          <w:i w:val="1"/>
          <w:iCs w:val="1"/>
          <w:color w:val="4673B6"/>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manufacture most of our products at seven locations in the United States, two locations in Mexico, and one location in each of Australia, Italy, and the United Kingdom. We also have several locations that serve as distribution centers, warehouses, test facilities, and corporate offices. In addition, we have agreements to manufacture products at several third-party manufacturers. These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facilities may be affected by natural or man-made disasters. In the event that one of our manufacturing facilities was affected by a disaster, we could be forced to shift production to one of our other manufacturing facilities. Although we purchase insurance for damage to our property and disruption of our business from casualties, such insurance may not be sufficient to cover all of our potential losses. Any disruption in our manufacturing capacity could have an adverse impact on our ability to produce sufficient quantities of our products or may require us to incur additional expenses in order to produce sufficient quantities,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a new collective bargaining agreement, could impair our ability to meet the demands of our customers and our customers may cancel orders or purchase products from our competitors, which could adversely affect our business and operating results. Our operating results may also be adversely affected if we are unable to cost-effectively expand existing and move production between manufacturing facilities as needed from time to time.</w:t>
      </w:r>
    </w:p>
    <w:p>
      <w:pPr>
        <w:spacing w:after="0" w:line="169" w:lineRule="exact"/>
        <w:rPr>
          <w:sz w:val="20"/>
          <w:szCs w:val="20"/>
          <w:color w:val="auto"/>
        </w:rPr>
      </w:pPr>
    </w:p>
    <w:p>
      <w:pPr>
        <w:ind w:right="460"/>
        <w:spacing w:after="0" w:line="272" w:lineRule="auto"/>
        <w:rPr>
          <w:sz w:val="20"/>
          <w:szCs w:val="20"/>
          <w:color w:val="auto"/>
        </w:rPr>
      </w:pPr>
      <w:r>
        <w:rPr>
          <w:rFonts w:ascii="Arial" w:cs="Arial" w:eastAsia="Arial" w:hAnsi="Arial"/>
          <w:sz w:val="20"/>
          <w:szCs w:val="20"/>
          <w:b w:val="1"/>
          <w:bCs w:val="1"/>
          <w:i w:val="1"/>
          <w:iCs w:val="1"/>
          <w:color w:val="4673B6"/>
        </w:rPr>
        <w:t>We intend to grow our business through additional acquisitions and alliances, stronger customer relations, and new partnerships, which are risky and could harm our business.</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alliances, stronger customer relations, and new partnerships that complement our existing brands and product portfolio. In February 2005, we completed the acquisition of certain assets and assumed certain liabilities of Hayter Limited in the United Kingdom, and in August 2007 we completed the acquisition of the stock of Rain Master Irrigation Systems, Inc. The benefits of an acquisition or new partnership may take more time than expected to develop or integrate into our operations, and we cannot guarantee that our Hayter acquisition, our Rain Master acquisition, or any future acquisitions, alliances, or joint ventures will in fact produce any benefits. In addition, acquisitions, alliances, joint ventures, and partnerships involve a number of risks, including:</w:t>
      </w:r>
    </w:p>
    <w:p>
      <w:pPr>
        <w:spacing w:after="0" w:line="1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integrating and assimilating the operations and products of an acquired business or in realizing projected efficiencies,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savings, and synergies;</w:t>
      </w:r>
    </w:p>
    <w:p>
      <w:pPr>
        <w:spacing w:after="0" w:line="23"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customers;</w:t>
      </w:r>
    </w:p>
    <w:p>
      <w:pPr>
        <w:spacing w:after="0" w:line="23"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w:t>
      </w:r>
    </w:p>
    <w:p>
      <w:pPr>
        <w:spacing w:after="0" w:line="63" w:lineRule="exact"/>
        <w:rPr>
          <w:sz w:val="20"/>
          <w:szCs w:val="20"/>
          <w:color w:val="auto"/>
        </w:rPr>
      </w:pPr>
    </w:p>
    <w:p>
      <w:pPr>
        <w:ind w:left="180" w:right="440"/>
        <w:spacing w:after="0" w:line="258" w:lineRule="auto"/>
        <w:rPr>
          <w:sz w:val="20"/>
          <w:szCs w:val="20"/>
          <w:color w:val="auto"/>
        </w:rPr>
      </w:pPr>
      <w:r>
        <w:rPr>
          <w:rFonts w:ascii="Arial" w:cs="Arial" w:eastAsia="Arial" w:hAnsi="Arial"/>
          <w:sz w:val="18"/>
          <w:szCs w:val="18"/>
          <w:color w:val="auto"/>
        </w:rPr>
        <w:t>acquisition purchase prices, which could in turn restrict our ability to access additional capital when needed or to pursue other important elements of our business strategy;</w:t>
      </w:r>
    </w:p>
    <w:p>
      <w:pPr>
        <w:spacing w:after="0" w:line="1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unanticipated costs associated with an acquisition, and 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inability to recover or manage such liabilities and costs; and</w:t>
      </w:r>
    </w:p>
    <w:p>
      <w:pPr>
        <w:spacing w:after="0" w:line="23" w:lineRule="exact"/>
        <w:rPr>
          <w:sz w:val="20"/>
          <w:szCs w:val="20"/>
          <w:color w:val="auto"/>
        </w:rPr>
      </w:pPr>
    </w:p>
    <w:p>
      <w:pPr>
        <w:ind w:left="180" w:right="540" w:hanging="172"/>
        <w:spacing w:after="0" w:line="324" w:lineRule="auto"/>
        <w:tabs>
          <w:tab w:leader="none" w:pos="1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ectPr>
          <w:pgSz w:w="11900" w:h="16838" w:orient="portrait"/>
          <w:cols w:equalWidth="0" w:num="1">
            <w:col w:w="11400"/>
          </w:cols>
          <w:pgMar w:left="240" w:top="152" w:right="259" w:bottom="0" w:gutter="0" w:footer="0" w:header="0"/>
        </w:sectPr>
      </w:pPr>
    </w:p>
    <w:bookmarkStart w:id="11" w:name="page12"/>
    <w:bookmarkEnd w:id="11"/>
    <w:p>
      <w:pPr>
        <w:spacing w:after="0" w:line="50" w:lineRule="exact"/>
        <w:rPr>
          <w:sz w:val="20"/>
          <w:szCs w:val="20"/>
          <w:color w:val="auto"/>
        </w:rPr>
      </w:pPr>
    </w:p>
    <w:p>
      <w:pPr>
        <w:ind w:right="240" w:firstLine="180"/>
        <w:spacing w:after="0" w:line="268" w:lineRule="auto"/>
        <w:rPr>
          <w:sz w:val="20"/>
          <w:szCs w:val="20"/>
          <w:color w:val="auto"/>
        </w:rPr>
      </w:pPr>
      <w:r>
        <w:rPr>
          <w:rFonts w:ascii="Arial" w:cs="Arial" w:eastAsia="Arial" w:hAnsi="Arial"/>
          <w:sz w:val="18"/>
          <w:szCs w:val="18"/>
          <w:color w:val="auto"/>
        </w:rPr>
        <w:t>Our ability to grow through acquisitions will depend, in part, on the availability of suitable acquisition candidates at an acceptable price, our ability to compete effectively for these acquisition candidates, and the availability of capital and personnel to complete such acquisitions and run the acquired business effectively. These risks could be heightened if we complete a large acquisition or several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i w:val="1"/>
          <w:iCs w:val="1"/>
          <w:color w:val="4673B6"/>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efficient operation of our business is dependent on our management information systems. We rely on our management information systems to effectively manage accounting and financial functions, manage manufacturing and supply chain processes, and maintain our research and development data. The failure of our management information systems to perform properly could disrupt our business and product development and could result in decreased sales, increased overhead costs, excess inventory, and product shortages, causing our business and operating results to suffer. In addition, our management information systems, including our computer systems, Internet web sites, telecommunications, and data networks, are vulnerable to damage or interruption from natural or man-made disasters, terrorist attacks and attacks by computer viruses or hackers, or power loss. Any such interruption could adversely affect our business and operating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b w:val="1"/>
          <w:bCs w:val="1"/>
          <w:i w:val="1"/>
          <w:iCs w:val="1"/>
          <w:color w:val="4673B6"/>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Some Toro and Lawn-Boy dealers and Exmark distributors and dealers generally finance their inventories with third party financing companies. These third party financing companies purchase select receivables from us and our distributors and dealers for extended periods that assist our distributors and dealers in carrying representative inventories of our products. We also have agreements with third party financing companies to provide financing options to golf course and sports fields and grounds equipment customers and micro-irrigation customers in North America and Europe. The purpose of these agreements is to increase our net sales by giving buyers of our products alternative financing options when purchasing our products. We also have an agreement with a third party financing company to provide financing programs under a private label program offered primarily to Toro, Lawn-Boy, and Exmark dealers that provides our end-user customers a revolving line of credit for Toro and Exmark products, parts, and services. Termination of our agreements with these third parties, any material change to the terms of our agreements with these third parties or in the availability or terms of credit for our customers from these third parties, or any delay in securing replacement credit sources, could adversely affect our operating results.</w:t>
      </w:r>
    </w:p>
    <w:p>
      <w:pPr>
        <w:spacing w:after="0" w:line="169"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b w:val="1"/>
          <w:bCs w:val="1"/>
          <w:i w:val="1"/>
          <w:iCs w:val="1"/>
          <w:color w:val="4673B6"/>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0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generally, as well as to many of our products.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Our competitors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and if the outcome of any such litigation is unfavorable to us, our business, consolidated operating results, and consolidated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which could be costly and time-consuming, or acquire a license, which we might not be able to do on terms favorable to us, or at all. For example, we are currently a defendant in an action in which Textron Innovations, Inc. is alleging that we willfully infringe certain claims of three patents by selling our Groundsmaster</w:t>
      </w:r>
      <w:r>
        <w:rPr>
          <w:rFonts w:ascii="Arial" w:cs="Arial" w:eastAsia="Arial" w:hAnsi="Arial"/>
          <w:sz w:val="8"/>
          <w:szCs w:val="8"/>
          <w:color w:val="auto"/>
        </w:rPr>
        <w:t>®</w:t>
      </w:r>
      <w:r>
        <w:rPr>
          <w:rFonts w:ascii="Arial" w:cs="Arial" w:eastAsia="Arial" w:hAnsi="Arial"/>
          <w:sz w:val="18"/>
          <w:szCs w:val="18"/>
          <w:color w:val="auto"/>
        </w:rPr>
        <w:t xml:space="preserve"> commercial mowers. Textron Innovations, Inc. seeks damages for past sales and an injunction against future infringement. This litigation is currently stayed, as reexamination proceedings are pending in the USPTO. For additional information regarding this lawsuit, see Part I, Item 3 “Legal Proceedings” of this report. We continue to evaluate this lawsuit and are unable to reasonably estimate the likelihood of loss or the amount or range of potential loss that could result from the litigation.</w:t>
      </w:r>
    </w:p>
    <w:p>
      <w:pPr>
        <w:spacing w:after="0" w:line="14"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63" w:lineRule="exact"/>
        <w:rPr>
          <w:sz w:val="20"/>
          <w:szCs w:val="20"/>
          <w:color w:val="auto"/>
        </w:rPr>
      </w:pPr>
    </w:p>
    <w:p>
      <w:pPr>
        <w:jc w:val="both"/>
        <w:ind w:right="60"/>
        <w:spacing w:after="0" w:line="255" w:lineRule="auto"/>
        <w:rPr>
          <w:sz w:val="20"/>
          <w:szCs w:val="20"/>
          <w:color w:val="auto"/>
        </w:rPr>
      </w:pPr>
      <w:r>
        <w:rPr>
          <w:rFonts w:ascii="Arial" w:cs="Arial" w:eastAsia="Arial" w:hAnsi="Arial"/>
          <w:sz w:val="20"/>
          <w:szCs w:val="20"/>
          <w:b w:val="1"/>
          <w:bCs w:val="1"/>
          <w:i w:val="1"/>
          <w:iCs w:val="1"/>
          <w:color w:val="4673B6"/>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ectPr>
          <w:pgSz w:w="11900" w:h="16888" w:orient="portrait"/>
          <w:cols w:equalWidth="0" w:num="1">
            <w:col w:w="11420"/>
          </w:cols>
          <w:pgMar w:left="240" w:top="152" w:right="239" w:bottom="0" w:gutter="0" w:footer="0" w:header="0"/>
        </w:sectPr>
      </w:pP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business, properties, and products are subject to a wide variety of international, federal, state and local laws, rules and regulations relating to climate change, emissions to air, discharges to water, worker and product user health and safety, and the generation, use, handling,</w:t>
      </w:r>
    </w:p>
    <w:p>
      <w:pPr>
        <w:sectPr>
          <w:pgSz w:w="11900" w:h="16888" w:orient="portrait"/>
          <w:cols w:equalWidth="0" w:num="1">
            <w:col w:w="11420"/>
          </w:cols>
          <w:pgMar w:left="240" w:top="152" w:right="239" w:bottom="0" w:gutter="0" w:footer="0" w:header="0"/>
          <w:type w:val="continuous"/>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management, storage, transportation, treatment, and disposal of hazardous substances, wastes, and other regulated materials. These laws, rules, and regulations may affect the way we conduct our operations, and the failure to comply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with these regulations could lead to fines and other penalties. Because we own and lease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consolidated financial position or operating results, our future costs of complying with the various environmental requirements, as they now exist or may be altered in the future, could adversely affect our financial condition and operating results. We are also subject to other international, federal and state laws, rules and regulations, the future non-compliance with which may harm our business or may adversely affect the demand for some of our products. For example, our residential products are subject to various United States statutes designed to protect consumers and are subject to the administrative jurisdiction of the Consumer Product Safety Commission. The EPA and CARB adopted emissions regulations setting maximum emission standards for certain off-road equipment. The EU also adopted environmental directives that mandate the labeling, collection, and disposal of electrical and electronic equipment and bans the sale of electrical and electronic equipment containing certain, or certain levels of, hazardous substances. In addition, governmental restrictions placed on water usage as well as water availability may adversely affect demand for our irrigation products. Changes in laws and regulations, including changes in accounting standards, taxation changes, including tax rate changes, new tax laws, and revised tax law interpretations, also may adversely affect our operating results.</w:t>
      </w:r>
    </w:p>
    <w:p>
      <w:pPr>
        <w:spacing w:after="0" w:line="179" w:lineRule="exact"/>
        <w:rPr>
          <w:sz w:val="20"/>
          <w:szCs w:val="20"/>
          <w:color w:val="auto"/>
        </w:rPr>
      </w:pPr>
    </w:p>
    <w:p>
      <w:pPr>
        <w:ind w:right="800"/>
        <w:spacing w:after="0" w:line="272" w:lineRule="auto"/>
        <w:rPr>
          <w:sz w:val="20"/>
          <w:szCs w:val="20"/>
          <w:color w:val="auto"/>
        </w:rPr>
      </w:pPr>
      <w:r>
        <w:rPr>
          <w:rFonts w:ascii="Arial" w:cs="Arial" w:eastAsia="Arial" w:hAnsi="Arial"/>
          <w:sz w:val="20"/>
          <w:szCs w:val="20"/>
          <w:b w:val="1"/>
          <w:bCs w:val="1"/>
          <w:i w:val="1"/>
          <w:iCs w:val="1"/>
          <w:color w:val="4673B6"/>
        </w:rPr>
        <w:t>We are subject to product liability claims, product quality issues, and other litigation from time to time that could adversely affect our operating results or financial condition.</w:t>
      </w: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manufacture, sale, and usage of our products expose us to significant risk of product liability claims. If a product liability claim or series of claims is brought against us for uninsured liabilities or in excess of our insurance coverage and it is ultimately determined that we are liable, our business could suffer. While we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Any losses that we may suffer from any liability claims, and the effect that any product liability litigation may have upon the reputation and marketability of our products, may divert management’s attention from other matters and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and higher warranty expense.</w:t>
      </w:r>
    </w:p>
    <w:p>
      <w:pPr>
        <w:spacing w:after="0" w:line="2" w:lineRule="exact"/>
        <w:rPr>
          <w:sz w:val="20"/>
          <w:szCs w:val="20"/>
          <w:color w:val="auto"/>
        </w:rPr>
      </w:pPr>
    </w:p>
    <w:p>
      <w:pPr>
        <w:ind w:right="60" w:firstLine="180"/>
        <w:spacing w:after="0" w:line="267" w:lineRule="auto"/>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 For example, we are currently one of nine defendants in a purported class action in which the plaintiffs are alleging that the horsepower labels on the products the plaintiffs purchased were inaccurate. The amended complaint asserts violations of the federal Racketeer Influenced and Corrupt Organizations (RICO) Act and statutory and common law claims arising from the laws of 48 states. The amended complaint seeks an injunction, unspecified compensatory and punitive damages, treble damages under the RICO Act, and attorneys’ fees. For additional information regarding this lawsuit, see Part III, Item I, “Legal Proceedings” of this report. Even if the plaintiffs’ claims are found to be without merit, we have incurred and may continue to incur substantial costs in defending the lawsuit. The lawsuit could divert the time and attention of our management and could result in adverse publicity, either of which could significantly harm our operating results and financial condition. Although we are currently unable to assess whether the litigation would have a material adverse effect on our consolidated operating results or financial condition, any adverse determination in the litigation might result in material liability, which could adversely impact our operating results and financial condition.</w:t>
      </w:r>
    </w:p>
    <w:p>
      <w:pPr>
        <w:spacing w:after="0" w:line="168" w:lineRule="exact"/>
        <w:rPr>
          <w:sz w:val="20"/>
          <w:szCs w:val="20"/>
          <w:color w:val="auto"/>
        </w:rPr>
      </w:pPr>
    </w:p>
    <w:p>
      <w:pPr>
        <w:ind w:right="60"/>
        <w:spacing w:after="0" w:line="272" w:lineRule="auto"/>
        <w:rPr>
          <w:sz w:val="20"/>
          <w:szCs w:val="20"/>
          <w:color w:val="auto"/>
        </w:rPr>
      </w:pPr>
      <w:r>
        <w:rPr>
          <w:rFonts w:ascii="Arial" w:cs="Arial" w:eastAsia="Arial" w:hAnsi="Arial"/>
          <w:sz w:val="20"/>
          <w:szCs w:val="20"/>
          <w:b w:val="1"/>
          <w:bCs w:val="1"/>
          <w:i w:val="1"/>
          <w:iCs w:val="1"/>
          <w:color w:val="4673B6"/>
        </w:rPr>
        <w:t>If we are unable to retain our key employees and attract and retain other qualified personnel, we may not be able to meet strategic objectives and our business could suffer.</w:t>
      </w:r>
    </w:p>
    <w:p>
      <w:pPr>
        <w:spacing w:after="0" w:line="8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ability to meet our strategic objectives and otherwise grow will depend to a significant extent on the continued contributions of our senior management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ectPr>
          <w:pgSz w:w="11900" w:h="16838" w:orient="portrait"/>
          <w:cols w:equalWidth="0" w:num="1">
            <w:col w:w="11400"/>
          </w:cols>
          <w:pgMar w:left="240" w:top="152" w:right="259" w:bottom="0" w:gutter="0" w:footer="0" w:header="0"/>
        </w:sectPr>
      </w:pPr>
    </w:p>
    <w:p>
      <w:pPr>
        <w:spacing w:after="0" w:line="157"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b w:val="1"/>
          <w:bCs w:val="1"/>
          <w:i w:val="1"/>
          <w:iCs w:val="1"/>
          <w:color w:val="4673B6"/>
        </w:rPr>
        <w:t>The terms of our credit arrangements and the indentures governing our senior notes and debentures could limit our ability to conduct our business, take advantage of business opportunities and respond to changing business, market, and economic conditions.</w:t>
      </w:r>
    </w:p>
    <w:p>
      <w:pPr>
        <w:sectPr>
          <w:pgSz w:w="11900" w:h="16838" w:orient="portrait"/>
          <w:cols w:equalWidth="0" w:num="1">
            <w:col w:w="11400"/>
          </w:cols>
          <w:pgMar w:left="240" w:top="152" w:right="259" w:bottom="0" w:gutter="0" w:footer="0" w:header="0"/>
          <w:type w:val="continuous"/>
        </w:sectPr>
      </w:pPr>
    </w:p>
    <w:bookmarkStart w:id="13" w:name="page14"/>
    <w:bookmarkEnd w:id="13"/>
    <w:p>
      <w:pPr>
        <w:spacing w:after="0" w:line="6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total capitalization ratio. Our credit arrangements and/or indentures also contain provisions that restrict our ability, subject to specified exceptions, to, among other things:</w:t>
      </w:r>
    </w:p>
    <w:p>
      <w:pPr>
        <w:spacing w:after="0" w:line="1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or investments, including acquisitions;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stockholders or redeem shares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common stock.</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64" w:lineRule="exact"/>
        <w:rPr>
          <w:sz w:val="20"/>
          <w:szCs w:val="20"/>
          <w:color w:val="auto"/>
        </w:rPr>
      </w:pPr>
    </w:p>
    <w:p>
      <w:pPr>
        <w:ind w:right="120"/>
        <w:spacing w:after="0" w:line="299" w:lineRule="auto"/>
        <w:rPr>
          <w:sz w:val="20"/>
          <w:szCs w:val="20"/>
          <w:color w:val="auto"/>
        </w:rPr>
      </w:pPr>
      <w:r>
        <w:rPr>
          <w:rFonts w:ascii="Arial" w:cs="Arial" w:eastAsia="Arial" w:hAnsi="Arial"/>
          <w:sz w:val="19"/>
          <w:szCs w:val="19"/>
          <w:b w:val="1"/>
          <w:bCs w:val="1"/>
          <w:i w:val="1"/>
          <w:iCs w:val="1"/>
          <w:color w:val="4673B6"/>
        </w:rPr>
        <w:t>If we are unable to comply with the terms of our credit arrangements and indentures, especially the financial covenants, our credit arrangements could be terminated and our senior notes and debentures could become due and payable.</w:t>
      </w:r>
    </w:p>
    <w:p>
      <w:pPr>
        <w:spacing w:after="0" w:line="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from the banks. In addition, our 6.625% senior notes and 7.800% debentures could become due and payable if we were unable to obtain a covenant waiver or refinance our medium-term debt under our credit arrangements. If our credit rating falls below investment grade, the interest rate we currently pay on outstanding debt under our credit arrangements could increase, which could adversely affect our operating results.</w:t>
      </w:r>
    </w:p>
    <w:p>
      <w:pPr>
        <w:spacing w:after="0" w:line="170" w:lineRule="exact"/>
        <w:rPr>
          <w:sz w:val="20"/>
          <w:szCs w:val="20"/>
          <w:color w:val="auto"/>
        </w:rPr>
      </w:pPr>
    </w:p>
    <w:p>
      <w:pPr>
        <w:ind w:right="740"/>
        <w:spacing w:after="0" w:line="272" w:lineRule="auto"/>
        <w:rPr>
          <w:sz w:val="20"/>
          <w:szCs w:val="20"/>
          <w:color w:val="auto"/>
        </w:rPr>
      </w:pPr>
      <w:r>
        <w:rPr>
          <w:rFonts w:ascii="Arial" w:cs="Arial" w:eastAsia="Arial" w:hAnsi="Arial"/>
          <w:sz w:val="20"/>
          <w:szCs w:val="20"/>
          <w:b w:val="1"/>
          <w:bCs w:val="1"/>
          <w:i w:val="1"/>
          <w:iCs w:val="1"/>
          <w:color w:val="4673B6"/>
        </w:rPr>
        <w:t>Our business is subject to a number of other miscellaneous risks that may adversely affect our operating results, financial condition, or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3"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or man-made disasters, which may result in shortages of raw materials, higher fuel costs, and increase in insurance premiums;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viability of distributors and dealers, changes in distributor ownership, our success in partnering with new dealers, and our customers’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ability to pay amounts owed to us; and</w:t>
      </w:r>
    </w:p>
    <w:p>
      <w:pPr>
        <w:spacing w:after="0" w:line="23" w:lineRule="exact"/>
        <w:rPr>
          <w:sz w:val="20"/>
          <w:szCs w:val="20"/>
          <w:color w:val="auto"/>
        </w:rPr>
      </w:pPr>
    </w:p>
    <w:p>
      <w:pPr>
        <w:ind w:left="180" w:right="640" w:hanging="172"/>
        <w:spacing w:after="0" w:line="324" w:lineRule="auto"/>
        <w:tabs>
          <w:tab w:leader="none" w:pos="1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2.  PROPERTIES</w:t>
      </w:r>
    </w:p>
    <w:p>
      <w:pPr>
        <w:spacing w:after="0" w:line="2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October 31, 2007, we utilized manufacturing, distribution, warehouse, and office facilities totaling approximately 5.8 million square feet of space. We also utilize approximately 20 acres of land in California as a testing facility, 16 acres of land in Nebraska as a parking lot and testing facility, and 36 acres of land in Minnesota as a testing and storage facility. Plant utilization varies during the year depending on the production cycle. We consider each of our current facilities in use to be in good operating condition and adequate for its present use. Management believes we have sufficient manufacturing capacity for fiscal 2008. The following schedule outlines our significant facilities by location, ownership, and function as of October 31, 2007:</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203"/>
        </w:trPr>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Ownership</w:t>
            </w:r>
          </w:p>
        </w:tc>
        <w:tc>
          <w:tcPr>
            <w:tcW w:w="5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Products Manufactured / Use</w:t>
            </w:r>
          </w:p>
        </w:tc>
      </w:tr>
      <w:tr>
        <w:trPr>
          <w:trHeight w:val="183"/>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Bloomington, MN</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Corporate headquarters, warehouse, and test facility</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El Paso, TX</w:t>
            </w:r>
          </w:p>
        </w:tc>
        <w:tc>
          <w:tcPr>
            <w:tcW w:w="1820" w:type="dxa"/>
            <w:vAlign w:val="bottom"/>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Components for professional and residential products, distribution center</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Plymouth, WI</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Juarez, Mexico</w:t>
            </w:r>
          </w:p>
        </w:tc>
        <w:tc>
          <w:tcPr>
            <w:tcW w:w="1820" w:type="dxa"/>
            <w:vAlign w:val="bottom"/>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products</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Tomah, WI</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Professional products and warehouse</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Windom, MN</w:t>
            </w:r>
          </w:p>
        </w:tc>
        <w:tc>
          <w:tcPr>
            <w:tcW w:w="1820" w:type="dxa"/>
            <w:vAlign w:val="bottom"/>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Residential and professional products and warehouse</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Baraboo, WI</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Professional and residential distribution center</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Beatrice, NE</w:t>
            </w:r>
          </w:p>
        </w:tc>
        <w:tc>
          <w:tcPr>
            <w:tcW w:w="1820" w:type="dxa"/>
            <w:vAlign w:val="bottom"/>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products, office, and test facility</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Riverside, CA</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Office and test facility</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Lakeville, MN</w:t>
            </w:r>
          </w:p>
        </w:tc>
        <w:tc>
          <w:tcPr>
            <w:tcW w:w="1820" w:type="dxa"/>
            <w:vAlign w:val="bottom"/>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Residential distribution center</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Lincoln, NE</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Professional distribution center</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1820" w:type="dxa"/>
            <w:vAlign w:val="bottom"/>
          </w:tcPr>
          <w:p>
            <w:pPr>
              <w:ind w:left="600"/>
              <w:spacing w:after="0"/>
              <w:rPr>
                <w:sz w:val="20"/>
                <w:szCs w:val="20"/>
                <w:color w:val="auto"/>
              </w:rPr>
            </w:pPr>
            <w:r>
              <w:rPr>
                <w:rFonts w:ascii="Arial" w:cs="Arial" w:eastAsia="Arial" w:hAnsi="Arial"/>
                <w:sz w:val="14"/>
                <w:szCs w:val="14"/>
                <w:color w:val="auto"/>
              </w:rPr>
              <w:t>Owned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Shakopee, MN</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Components for professional and residential products</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Braeside, Australia</w:t>
            </w:r>
          </w:p>
        </w:tc>
        <w:tc>
          <w:tcPr>
            <w:tcW w:w="1820" w:type="dxa"/>
            <w:vAlign w:val="bottom"/>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Distribution facility</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Beverley, Australia</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Owned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Professional products, office and distribution center</w:t>
            </w:r>
          </w:p>
        </w:tc>
      </w:tr>
      <w:tr>
        <w:trPr>
          <w:trHeight w:val="189"/>
        </w:trPr>
        <w:tc>
          <w:tcPr>
            <w:tcW w:w="2520" w:type="dxa"/>
            <w:vAlign w:val="bottom"/>
          </w:tcPr>
          <w:p>
            <w:pPr>
              <w:spacing w:after="0"/>
              <w:rPr>
                <w:sz w:val="20"/>
                <w:szCs w:val="20"/>
                <w:color w:val="auto"/>
              </w:rPr>
            </w:pPr>
            <w:r>
              <w:rPr>
                <w:rFonts w:ascii="Arial" w:cs="Arial" w:eastAsia="Arial" w:hAnsi="Arial"/>
                <w:sz w:val="14"/>
                <w:szCs w:val="14"/>
                <w:color w:val="auto"/>
              </w:rPr>
              <w:t>El Cajon, CA</w:t>
            </w:r>
          </w:p>
        </w:tc>
        <w:tc>
          <w:tcPr>
            <w:tcW w:w="1820" w:type="dxa"/>
            <w:vAlign w:val="bottom"/>
          </w:tcPr>
          <w:p>
            <w:pPr>
              <w:ind w:left="6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Brooklyn Center, MN</w:t>
            </w:r>
          </w:p>
        </w:tc>
        <w:tc>
          <w:tcPr>
            <w:tcW w:w="1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Distribution facility and office</w:t>
            </w:r>
          </w:p>
        </w:tc>
      </w:tr>
      <w:tr>
        <w:trPr>
          <w:trHeight w:val="191"/>
        </w:trPr>
        <w:tc>
          <w:tcPr>
            <w:tcW w:w="2520" w:type="dxa"/>
            <w:vAlign w:val="bottom"/>
          </w:tcPr>
          <w:p>
            <w:pPr>
              <w:spacing w:after="0"/>
              <w:rPr>
                <w:sz w:val="20"/>
                <w:szCs w:val="20"/>
                <w:color w:val="auto"/>
              </w:rPr>
            </w:pPr>
            <w:r>
              <w:rPr>
                <w:rFonts w:ascii="Arial" w:cs="Arial" w:eastAsia="Arial" w:hAnsi="Arial"/>
                <w:sz w:val="14"/>
                <w:szCs w:val="14"/>
                <w:color w:val="auto"/>
              </w:rPr>
              <w:t>Capena, Italy</w:t>
            </w:r>
          </w:p>
        </w:tc>
        <w:tc>
          <w:tcPr>
            <w:tcW w:w="1820" w:type="dxa"/>
            <w:vAlign w:val="bottom"/>
          </w:tcPr>
          <w:p>
            <w:pPr>
              <w:ind w:left="6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Distribution facility</w:t>
            </w:r>
          </w:p>
        </w:tc>
      </w:tr>
    </w:tbl>
    <w:p>
      <w:pPr>
        <w:sectPr>
          <w:pgSz w:w="11900" w:h="16899" w:orient="portrait"/>
          <w:cols w:equalWidth="0" w:num="1">
            <w:col w:w="11400"/>
          </w:cols>
          <w:pgMar w:left="240" w:top="152" w:right="259" w:bottom="0" w:gutter="0" w:footer="0" w:header="0"/>
        </w:sectPr>
      </w:pPr>
    </w:p>
    <w:bookmarkStart w:id="14" w:name="page15"/>
    <w:bookmarkEnd w:id="14"/>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Oevel, Belgium</w:t>
            </w:r>
          </w:p>
        </w:tc>
        <w:tc>
          <w:tcPr>
            <w:tcW w:w="20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Owned</w:t>
            </w:r>
          </w:p>
        </w:tc>
        <w:tc>
          <w:tcPr>
            <w:tcW w:w="54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Distribution facility and office</w:t>
            </w:r>
          </w:p>
        </w:tc>
      </w:tr>
      <w:tr>
        <w:trPr>
          <w:trHeight w:val="189"/>
        </w:trPr>
        <w:tc>
          <w:tcPr>
            <w:tcW w:w="2080" w:type="dxa"/>
            <w:vAlign w:val="bottom"/>
          </w:tcPr>
          <w:p>
            <w:pPr>
              <w:spacing w:after="0"/>
              <w:rPr>
                <w:sz w:val="20"/>
                <w:szCs w:val="20"/>
                <w:color w:val="auto"/>
              </w:rPr>
            </w:pPr>
            <w:r>
              <w:rPr>
                <w:rFonts w:ascii="Arial" w:cs="Arial" w:eastAsia="Arial" w:hAnsi="Arial"/>
                <w:sz w:val="14"/>
                <w:szCs w:val="14"/>
                <w:color w:val="auto"/>
              </w:rPr>
              <w:t>Hazelwood, MO</w:t>
            </w:r>
          </w:p>
        </w:tc>
        <w:tc>
          <w:tcPr>
            <w:tcW w:w="2020" w:type="dxa"/>
            <w:vAlign w:val="bottom"/>
          </w:tcPr>
          <w:p>
            <w:pPr>
              <w:ind w:left="1040"/>
              <w:spacing w:after="0"/>
              <w:rPr>
                <w:sz w:val="20"/>
                <w:szCs w:val="20"/>
                <w:color w:val="auto"/>
              </w:rPr>
            </w:pPr>
            <w:r>
              <w:rPr>
                <w:rFonts w:ascii="Arial" w:cs="Arial" w:eastAsia="Arial" w:hAnsi="Arial"/>
                <w:sz w:val="14"/>
                <w:szCs w:val="14"/>
                <w:color w:val="auto"/>
              </w:rPr>
              <w:t>Leased</w:t>
            </w:r>
          </w:p>
        </w:tc>
        <w:tc>
          <w:tcPr>
            <w:tcW w:w="5420" w:type="dxa"/>
            <w:vAlign w:val="bottom"/>
          </w:tcPr>
          <w:p>
            <w:pPr>
              <w:ind w:left="500"/>
              <w:spacing w:after="0"/>
              <w:rPr>
                <w:sz w:val="20"/>
                <w:szCs w:val="20"/>
                <w:color w:val="auto"/>
              </w:rPr>
            </w:pPr>
            <w:r>
              <w:rPr>
                <w:rFonts w:ascii="Arial" w:cs="Arial" w:eastAsia="Arial" w:hAnsi="Arial"/>
                <w:sz w:val="14"/>
                <w:szCs w:val="14"/>
                <w:color w:val="auto"/>
              </w:rPr>
              <w:t>Distribution facility and office</w:t>
            </w:r>
          </w:p>
        </w:tc>
      </w:tr>
      <w:tr>
        <w:trPr>
          <w:trHeight w:val="189"/>
        </w:trPr>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Sanford, FL</w:t>
            </w:r>
          </w:p>
        </w:tc>
        <w:tc>
          <w:tcPr>
            <w:tcW w:w="20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Leased</w:t>
            </w:r>
          </w:p>
        </w:tc>
        <w:tc>
          <w:tcPr>
            <w:tcW w:w="54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Professional products and distribution center</w:t>
            </w:r>
          </w:p>
        </w:tc>
      </w:tr>
      <w:tr>
        <w:trPr>
          <w:trHeight w:val="189"/>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Franklin Park, IL</w:t>
            </w:r>
          </w:p>
        </w:tc>
        <w:tc>
          <w:tcPr>
            <w:tcW w:w="20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Leased</w:t>
            </w:r>
          </w:p>
        </w:tc>
        <w:tc>
          <w:tcPr>
            <w:tcW w:w="54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Distribution facility</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3.  LEGAL PROCEEDINGS</w:t>
      </w:r>
    </w:p>
    <w:p>
      <w:pPr>
        <w:spacing w:after="0" w:line="29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2" w:lineRule="exact"/>
        <w:rPr>
          <w:sz w:val="20"/>
          <w:szCs w:val="20"/>
          <w:color w:val="auto"/>
        </w:rPr>
      </w:pPr>
    </w:p>
    <w:p>
      <w:pPr>
        <w:ind w:right="20" w:firstLine="180"/>
        <w:spacing w:after="0" w:line="267"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August 1, 2006, all of the defendants, except MTD Products Inc., filed motions to dismiss the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2" w:lineRule="exact"/>
        <w:rPr>
          <w:sz w:val="20"/>
          <w:szCs w:val="20"/>
          <w:color w:val="auto"/>
        </w:rPr>
      </w:pPr>
    </w:p>
    <w:p>
      <w:pPr>
        <w:ind w:right="20" w:firstLine="180"/>
        <w:spacing w:after="0" w:line="287" w:lineRule="auto"/>
        <w:rPr>
          <w:sz w:val="20"/>
          <w:szCs w:val="20"/>
          <w:color w:val="auto"/>
        </w:rPr>
      </w:pPr>
      <w:r>
        <w:rPr>
          <w:rFonts w:ascii="Arial" w:cs="Arial" w:eastAsia="Arial" w:hAnsi="Arial"/>
          <w:sz w:val="17"/>
          <w:szCs w:val="17"/>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w:t>
      </w:r>
      <w:r>
        <w:rPr>
          <w:rFonts w:ascii="Arial" w:cs="Arial" w:eastAsia="Arial" w:hAnsi="Arial"/>
          <w:sz w:val="8"/>
          <w:szCs w:val="8"/>
          <w:color w:val="auto"/>
        </w:rPr>
        <w:t>®</w:t>
      </w:r>
      <w:r>
        <w:rPr>
          <w:rFonts w:ascii="Arial" w:cs="Arial" w:eastAsia="Arial" w:hAnsi="Arial"/>
          <w:sz w:val="17"/>
          <w:szCs w:val="17"/>
          <w:color w:val="auto"/>
        </w:rPr>
        <w:t xml:space="preserve">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4.  SUBMISSION OF MATTERS TO A VOTE OF SECURITY 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EXECUTIVE OFFICERS OF THE REGISTRANT</w:t>
      </w:r>
    </w:p>
    <w:p>
      <w:pPr>
        <w:sectPr>
          <w:pgSz w:w="11900" w:h="16838" w:orient="portrait"/>
          <w:cols w:equalWidth="0" w:num="1">
            <w:col w:w="11420"/>
          </w:cols>
          <w:pgMar w:left="240" w:top="140" w:right="239" w:bottom="0" w:gutter="0" w:footer="0" w:header="0"/>
        </w:sectPr>
      </w:pPr>
    </w:p>
    <w:p>
      <w:pPr>
        <w:spacing w:after="0" w:line="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list below identifies those persons designated as executive officers of the company, including their age and position with the company as of December 14, 2007 and positions held by them during the last five or more years. Officers are elected by the Board of Directors or appointed</w:t>
      </w:r>
    </w:p>
    <w:p>
      <w:pPr>
        <w:sectPr>
          <w:pgSz w:w="11900" w:h="16838" w:orient="portrait"/>
          <w:cols w:equalWidth="0" w:num="1">
            <w:col w:w="11420"/>
          </w:cols>
          <w:pgMar w:left="240" w:top="140" w:right="239" w:bottom="0" w:gutter="0" w:footer="0" w:header="0"/>
          <w:type w:val="continuous"/>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by the Chief Executive Officer annually. All executive officers listed below are subject to Section 16 under the Securities Exchange Act of 1934, as amended.</w:t>
      </w:r>
    </w:p>
    <w:p>
      <w:pPr>
        <w:spacing w:after="0" w:line="165"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Name, Age, and Position with the</w:t>
            </w:r>
          </w:p>
        </w:tc>
        <w:tc>
          <w:tcPr>
            <w:tcW w:w="656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6560" w:type="dxa"/>
            <w:vAlign w:val="bottom"/>
          </w:tcPr>
          <w:p>
            <w:pPr>
              <w:spacing w:after="0"/>
              <w:rPr>
                <w:sz w:val="16"/>
                <w:szCs w:val="16"/>
                <w:color w:val="auto"/>
              </w:rPr>
            </w:pPr>
          </w:p>
        </w:tc>
      </w:tr>
      <w:tr>
        <w:trPr>
          <w:trHeight w:val="252"/>
        </w:trPr>
        <w:tc>
          <w:tcPr>
            <w:tcW w:w="20" w:type="dxa"/>
            <w:vAlign w:val="bottom"/>
          </w:tcPr>
          <w:p>
            <w:pPr>
              <w:spacing w:after="0"/>
              <w:rPr>
                <w:sz w:val="21"/>
                <w:szCs w:val="21"/>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Michael J. Hoffman</w:t>
            </w:r>
          </w:p>
        </w:tc>
        <w:tc>
          <w:tcPr>
            <w:tcW w:w="6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Chairman of the Board since March 2006, Chief Executive Officer since March 2005 and President</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52, Chairman of the Board, President and</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since October 2004. He also served as Chief Operating Officer from October 2004 to March 2005.</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November 2002 to October 2004, he served as Group Vice President, Consumer, Exmark,</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16"/>
                <w:szCs w:val="16"/>
                <w:color w:val="auto"/>
              </w:rPr>
            </w:pPr>
          </w:p>
        </w:tc>
        <w:tc>
          <w:tcPr>
            <w:tcW w:w="6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Landscape Contractor, and International Businesses.</w:t>
            </w: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William E. Brown, Jr.</w:t>
            </w:r>
          </w:p>
        </w:tc>
        <w:tc>
          <w:tcPr>
            <w:tcW w:w="6560" w:type="dxa"/>
            <w:vAlign w:val="bottom"/>
          </w:tcPr>
          <w:p>
            <w:pPr>
              <w:ind w:left="180"/>
              <w:spacing w:after="0"/>
              <w:rPr>
                <w:sz w:val="20"/>
                <w:szCs w:val="20"/>
                <w:color w:val="auto"/>
              </w:rPr>
            </w:pPr>
            <w:r>
              <w:rPr>
                <w:rFonts w:ascii="Arial" w:cs="Arial" w:eastAsia="Arial" w:hAnsi="Arial"/>
                <w:sz w:val="14"/>
                <w:szCs w:val="14"/>
                <w:color w:val="auto"/>
              </w:rPr>
              <w:t>Vice President, Consumer and Landscape Contractor Business – Toro since November 2006. From</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46, Vice President, Consumer and</w:t>
            </w:r>
          </w:p>
        </w:tc>
        <w:tc>
          <w:tcPr>
            <w:tcW w:w="6560" w:type="dxa"/>
            <w:vAlign w:val="bottom"/>
          </w:tcPr>
          <w:p>
            <w:pPr>
              <w:ind w:left="180"/>
              <w:spacing w:after="0"/>
              <w:rPr>
                <w:sz w:val="20"/>
                <w:szCs w:val="20"/>
                <w:color w:val="auto"/>
              </w:rPr>
            </w:pPr>
            <w:r>
              <w:rPr>
                <w:rFonts w:ascii="Arial" w:cs="Arial" w:eastAsia="Arial" w:hAnsi="Arial"/>
                <w:sz w:val="14"/>
                <w:szCs w:val="14"/>
                <w:color w:val="auto"/>
              </w:rPr>
              <w:t>February 2003 to October 2006, he served as Vice President and General Manager, Commercial</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Landscape</w:t>
            </w:r>
          </w:p>
        </w:tc>
        <w:tc>
          <w:tcPr>
            <w:tcW w:w="6560" w:type="dxa"/>
            <w:vAlign w:val="bottom"/>
          </w:tcPr>
          <w:p>
            <w:pPr>
              <w:ind w:left="180"/>
              <w:spacing w:after="0"/>
              <w:rPr>
                <w:sz w:val="20"/>
                <w:szCs w:val="20"/>
                <w:color w:val="auto"/>
              </w:rPr>
            </w:pPr>
            <w:r>
              <w:rPr>
                <w:rFonts w:ascii="Arial" w:cs="Arial" w:eastAsia="Arial" w:hAnsi="Arial"/>
                <w:sz w:val="14"/>
                <w:szCs w:val="14"/>
                <w:color w:val="auto"/>
              </w:rPr>
              <w:t>Business.</w:t>
            </w:r>
          </w:p>
        </w:tc>
      </w:tr>
      <w:tr>
        <w:trPr>
          <w:trHeight w:val="188"/>
        </w:trPr>
        <w:tc>
          <w:tcPr>
            <w:tcW w:w="2900" w:type="dxa"/>
            <w:vAlign w:val="bottom"/>
            <w:gridSpan w:val="2"/>
          </w:tcPr>
          <w:p>
            <w:pPr>
              <w:spacing w:after="0"/>
              <w:rPr>
                <w:sz w:val="20"/>
                <w:szCs w:val="20"/>
                <w:color w:val="auto"/>
              </w:rPr>
            </w:pPr>
            <w:r>
              <w:rPr>
                <w:rFonts w:ascii="Arial" w:cs="Arial" w:eastAsia="Arial" w:hAnsi="Arial"/>
                <w:sz w:val="14"/>
                <w:szCs w:val="14"/>
                <w:color w:val="auto"/>
              </w:rPr>
              <w:t>Contractor Business – Toro</w:t>
            </w:r>
          </w:p>
        </w:tc>
        <w:tc>
          <w:tcPr>
            <w:tcW w:w="656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Philip A. Burkart</w:t>
            </w:r>
          </w:p>
        </w:tc>
        <w:tc>
          <w:tcPr>
            <w:tcW w:w="6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Vice President, Irrigation Businesses since November 2006. From February 2003 to October 2006,</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45, Vice President, Irrigation Businesses</w:t>
            </w:r>
          </w:p>
        </w:tc>
        <w:tc>
          <w:tcPr>
            <w:tcW w:w="6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he served as Vice President and General Manager, Irrigation Business.</w:t>
            </w: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Timothy P. Dordell</w:t>
            </w:r>
          </w:p>
        </w:tc>
        <w:tc>
          <w:tcPr>
            <w:tcW w:w="6560" w:type="dxa"/>
            <w:vAlign w:val="bottom"/>
          </w:tcPr>
          <w:p>
            <w:pPr>
              <w:ind w:left="180"/>
              <w:spacing w:after="0"/>
              <w:rPr>
                <w:sz w:val="20"/>
                <w:szCs w:val="20"/>
                <w:color w:val="auto"/>
              </w:rPr>
            </w:pPr>
            <w:r>
              <w:rPr>
                <w:rFonts w:ascii="Arial" w:cs="Arial" w:eastAsia="Arial" w:hAnsi="Arial"/>
                <w:sz w:val="14"/>
                <w:szCs w:val="14"/>
                <w:color w:val="auto"/>
              </w:rPr>
              <w:t>Vice President, Secretary and General Counsel since May 2007. From November 2006 to</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45, Vice President, Secretary and</w:t>
            </w:r>
          </w:p>
        </w:tc>
        <w:tc>
          <w:tcPr>
            <w:tcW w:w="6560" w:type="dxa"/>
            <w:vAlign w:val="bottom"/>
          </w:tcPr>
          <w:p>
            <w:pPr>
              <w:ind w:left="180"/>
              <w:spacing w:after="0"/>
              <w:rPr>
                <w:sz w:val="20"/>
                <w:szCs w:val="20"/>
                <w:color w:val="auto"/>
              </w:rPr>
            </w:pPr>
            <w:r>
              <w:rPr>
                <w:rFonts w:ascii="Arial" w:cs="Arial" w:eastAsia="Arial" w:hAnsi="Arial"/>
                <w:sz w:val="14"/>
                <w:szCs w:val="14"/>
                <w:color w:val="auto"/>
              </w:rPr>
              <w:t>May 2007, he served as Vice President, Deputy General Counsel. From May 2002 to</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General Counsel</w:t>
            </w:r>
          </w:p>
        </w:tc>
        <w:tc>
          <w:tcPr>
            <w:tcW w:w="6560" w:type="dxa"/>
            <w:vAlign w:val="bottom"/>
          </w:tcPr>
          <w:p>
            <w:pPr>
              <w:ind w:left="180"/>
              <w:spacing w:after="0"/>
              <w:rPr>
                <w:sz w:val="20"/>
                <w:szCs w:val="20"/>
                <w:color w:val="auto"/>
              </w:rPr>
            </w:pPr>
            <w:r>
              <w:rPr>
                <w:rFonts w:ascii="Arial" w:cs="Arial" w:eastAsia="Arial" w:hAnsi="Arial"/>
                <w:sz w:val="14"/>
                <w:szCs w:val="14"/>
                <w:color w:val="auto"/>
              </w:rPr>
              <w:t>November 2006, he served as Associate General Counsel-Corporate and Assistant Secretary at</w:t>
            </w:r>
          </w:p>
        </w:tc>
      </w:tr>
      <w:tr>
        <w:trPr>
          <w:trHeight w:val="189"/>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560" w:type="dxa"/>
            <w:vAlign w:val="bottom"/>
          </w:tcPr>
          <w:p>
            <w:pPr>
              <w:ind w:left="180"/>
              <w:spacing w:after="0"/>
              <w:rPr>
                <w:sz w:val="20"/>
                <w:szCs w:val="20"/>
                <w:color w:val="auto"/>
              </w:rPr>
            </w:pPr>
            <w:r>
              <w:rPr>
                <w:rFonts w:ascii="Arial" w:cs="Arial" w:eastAsia="Arial" w:hAnsi="Arial"/>
                <w:sz w:val="14"/>
                <w:szCs w:val="14"/>
                <w:color w:val="auto"/>
              </w:rPr>
              <w:t>Ecolab Inc., a developer and marketer of products and services for the hospitality, foodservice,</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healthcare, and industrial markets.</w:t>
            </w:r>
          </w:p>
        </w:tc>
      </w:tr>
      <w:tr>
        <w:trPr>
          <w:trHeight w:val="184"/>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Michael D. Drazan</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Chief Information Officer and Vice President, Corporate Services since November 2007. From</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50, Chief Information Officer and</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November 2006 to October 2007, he served as Vice President, Chief Information Officer. From</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Vice President, Corporate Services</w:t>
            </w:r>
          </w:p>
        </w:tc>
        <w:tc>
          <w:tcPr>
            <w:tcW w:w="6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March 2000 to November 2006, he served as Vice President, Corporate Information Services.</w:t>
            </w: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Blake M. Grams</w:t>
            </w:r>
          </w:p>
        </w:tc>
        <w:tc>
          <w:tcPr>
            <w:tcW w:w="6560" w:type="dxa"/>
            <w:vAlign w:val="bottom"/>
          </w:tcPr>
          <w:p>
            <w:pPr>
              <w:ind w:left="180"/>
              <w:spacing w:after="0"/>
              <w:rPr>
                <w:sz w:val="20"/>
                <w:szCs w:val="20"/>
                <w:color w:val="auto"/>
              </w:rPr>
            </w:pPr>
            <w:r>
              <w:rPr>
                <w:rFonts w:ascii="Arial" w:cs="Arial" w:eastAsia="Arial" w:hAnsi="Arial"/>
                <w:sz w:val="14"/>
                <w:szCs w:val="14"/>
                <w:color w:val="auto"/>
              </w:rPr>
              <w:t>Managing Director, Corporate Controller since February 2006. From November 2003 to</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40, Managing Director, Corporate</w:t>
            </w:r>
          </w:p>
        </w:tc>
        <w:tc>
          <w:tcPr>
            <w:tcW w:w="6560" w:type="dxa"/>
            <w:vAlign w:val="bottom"/>
          </w:tcPr>
          <w:p>
            <w:pPr>
              <w:ind w:left="180"/>
              <w:spacing w:after="0"/>
              <w:rPr>
                <w:sz w:val="20"/>
                <w:szCs w:val="20"/>
                <w:color w:val="auto"/>
              </w:rPr>
            </w:pPr>
            <w:r>
              <w:rPr>
                <w:rFonts w:ascii="Arial" w:cs="Arial" w:eastAsia="Arial" w:hAnsi="Arial"/>
                <w:sz w:val="14"/>
                <w:szCs w:val="14"/>
                <w:color w:val="auto"/>
              </w:rPr>
              <w:t>January 2006, he served as Director, Corporate Finance. From February 2003 to October 2003, he</w:t>
            </w:r>
          </w:p>
        </w:tc>
      </w:tr>
      <w:tr>
        <w:trPr>
          <w:trHeight w:val="188"/>
        </w:trPr>
        <w:tc>
          <w:tcPr>
            <w:tcW w:w="2900" w:type="dxa"/>
            <w:vAlign w:val="bottom"/>
            <w:gridSpan w:val="2"/>
          </w:tcPr>
          <w:p>
            <w:pPr>
              <w:spacing w:after="0"/>
              <w:rPr>
                <w:sz w:val="20"/>
                <w:szCs w:val="20"/>
                <w:color w:val="auto"/>
              </w:rPr>
            </w:pPr>
            <w:r>
              <w:rPr>
                <w:rFonts w:ascii="Arial" w:cs="Arial" w:eastAsia="Arial" w:hAnsi="Arial"/>
                <w:sz w:val="14"/>
                <w:szCs w:val="14"/>
                <w:color w:val="auto"/>
              </w:rPr>
              <w:t>Controller</w:t>
            </w:r>
          </w:p>
        </w:tc>
        <w:tc>
          <w:tcPr>
            <w:tcW w:w="6560" w:type="dxa"/>
            <w:vAlign w:val="bottom"/>
          </w:tcPr>
          <w:p>
            <w:pPr>
              <w:ind w:left="180"/>
              <w:spacing w:after="0"/>
              <w:rPr>
                <w:sz w:val="20"/>
                <w:szCs w:val="20"/>
                <w:color w:val="auto"/>
              </w:rPr>
            </w:pPr>
            <w:r>
              <w:rPr>
                <w:rFonts w:ascii="Arial" w:cs="Arial" w:eastAsia="Arial" w:hAnsi="Arial"/>
                <w:sz w:val="14"/>
                <w:szCs w:val="14"/>
                <w:color w:val="auto"/>
              </w:rPr>
              <w:t>served as Senior Manager, Corporate Finance and Planning.</w:t>
            </w:r>
          </w:p>
        </w:tc>
      </w:tr>
      <w:tr>
        <w:trPr>
          <w:trHeight w:val="184"/>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Michael J. Happe</w:t>
            </w:r>
          </w:p>
        </w:tc>
        <w:tc>
          <w:tcPr>
            <w:tcW w:w="6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Manager, Commercial Business since November 2007. From November 2006 to</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36, General Manager,</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October 2007, he served as Managing Director, Commercial Business. From November 2004 to</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Commercial Business</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October 2006, he served as Director of Marketing, International Business. From April 2002 to</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November 2004, he served as National Account Manager – The Home Depot for the Consumer</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16"/>
                <w:szCs w:val="16"/>
                <w:color w:val="auto"/>
              </w:rPr>
            </w:pPr>
          </w:p>
        </w:tc>
        <w:tc>
          <w:tcPr>
            <w:tcW w:w="6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Business.</w:t>
            </w: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Dennis P. Himan</w:t>
            </w:r>
          </w:p>
        </w:tc>
        <w:tc>
          <w:tcPr>
            <w:tcW w:w="6560" w:type="dxa"/>
            <w:vAlign w:val="bottom"/>
          </w:tcPr>
          <w:p>
            <w:pPr>
              <w:ind w:left="180"/>
              <w:spacing w:after="0"/>
              <w:rPr>
                <w:sz w:val="20"/>
                <w:szCs w:val="20"/>
                <w:color w:val="auto"/>
              </w:rPr>
            </w:pPr>
            <w:r>
              <w:rPr>
                <w:rFonts w:ascii="Arial" w:cs="Arial" w:eastAsia="Arial" w:hAnsi="Arial"/>
                <w:sz w:val="14"/>
                <w:szCs w:val="14"/>
                <w:color w:val="auto"/>
              </w:rPr>
              <w:t>Group Vice President, Commercial, Corporate Accounts, Exmark, MTI, International, and Irrigation</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63, Vice President, Group</w:t>
            </w:r>
          </w:p>
        </w:tc>
        <w:tc>
          <w:tcPr>
            <w:tcW w:w="6560" w:type="dxa"/>
            <w:vAlign w:val="bottom"/>
          </w:tcPr>
          <w:p>
            <w:pPr>
              <w:ind w:left="180"/>
              <w:spacing w:after="0"/>
              <w:rPr>
                <w:sz w:val="20"/>
                <w:szCs w:val="20"/>
                <w:color w:val="auto"/>
              </w:rPr>
            </w:pPr>
            <w:r>
              <w:rPr>
                <w:rFonts w:ascii="Arial" w:cs="Arial" w:eastAsia="Arial" w:hAnsi="Arial"/>
                <w:sz w:val="14"/>
                <w:szCs w:val="14"/>
                <w:color w:val="auto"/>
              </w:rPr>
              <w:t>Businesses since November 2006. From February 2003 to October 2006, he served as Vice</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President and General Manager, International Business.</w:t>
            </w:r>
          </w:p>
        </w:tc>
      </w:tr>
      <w:tr>
        <w:trPr>
          <w:trHeight w:val="184"/>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Sandra J. Meurlot</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Vice President, Operations since November 2002.</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59, Vice President, Operations</w:t>
            </w:r>
          </w:p>
        </w:tc>
        <w:tc>
          <w:tcPr>
            <w:tcW w:w="6560" w:type="dxa"/>
            <w:vAlign w:val="bottom"/>
            <w:tcBorders>
              <w:bottom w:val="single" w:sz="8" w:color="auto"/>
            </w:tcBorders>
            <w:shd w:val="clear" w:color="auto" w:fill="CCEEFF"/>
          </w:tcPr>
          <w:p>
            <w:pPr>
              <w:spacing w:after="0"/>
              <w:rPr>
                <w:sz w:val="16"/>
                <w:szCs w:val="16"/>
                <w:color w:val="auto"/>
              </w:rPr>
            </w:pP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Karen M. Meyer</w:t>
            </w:r>
          </w:p>
        </w:tc>
        <w:tc>
          <w:tcPr>
            <w:tcW w:w="6560" w:type="dxa"/>
            <w:vAlign w:val="bottom"/>
          </w:tcPr>
          <w:p>
            <w:pPr>
              <w:ind w:left="180"/>
              <w:spacing w:after="0"/>
              <w:rPr>
                <w:sz w:val="20"/>
                <w:szCs w:val="20"/>
                <w:color w:val="auto"/>
              </w:rPr>
            </w:pPr>
            <w:r>
              <w:rPr>
                <w:rFonts w:ascii="Arial" w:cs="Arial" w:eastAsia="Arial" w:hAnsi="Arial"/>
                <w:sz w:val="14"/>
                <w:szCs w:val="14"/>
                <w:color w:val="auto"/>
              </w:rPr>
              <w:t>Vice President, Administration since August 1998. On January 31, 2008, she will retire as an</w:t>
            </w:r>
          </w:p>
        </w:tc>
      </w:tr>
      <w:tr>
        <w:trPr>
          <w:trHeight w:val="188"/>
        </w:trPr>
        <w:tc>
          <w:tcPr>
            <w:tcW w:w="2900" w:type="dxa"/>
            <w:vAlign w:val="bottom"/>
            <w:gridSpan w:val="2"/>
          </w:tcPr>
          <w:p>
            <w:pPr>
              <w:spacing w:after="0"/>
              <w:rPr>
                <w:sz w:val="20"/>
                <w:szCs w:val="20"/>
                <w:color w:val="auto"/>
              </w:rPr>
            </w:pPr>
            <w:r>
              <w:rPr>
                <w:rFonts w:ascii="Arial" w:cs="Arial" w:eastAsia="Arial" w:hAnsi="Arial"/>
                <w:sz w:val="14"/>
                <w:szCs w:val="14"/>
                <w:color w:val="auto"/>
              </w:rPr>
              <w:t>57, Vice President, Administration</w:t>
            </w:r>
          </w:p>
        </w:tc>
        <w:tc>
          <w:tcPr>
            <w:tcW w:w="6560" w:type="dxa"/>
            <w:vAlign w:val="bottom"/>
          </w:tcPr>
          <w:p>
            <w:pPr>
              <w:ind w:left="180"/>
              <w:spacing w:after="0"/>
              <w:rPr>
                <w:sz w:val="20"/>
                <w:szCs w:val="20"/>
                <w:color w:val="auto"/>
              </w:rPr>
            </w:pPr>
            <w:r>
              <w:rPr>
                <w:rFonts w:ascii="Arial" w:cs="Arial" w:eastAsia="Arial" w:hAnsi="Arial"/>
                <w:sz w:val="14"/>
                <w:szCs w:val="14"/>
                <w:color w:val="auto"/>
              </w:rPr>
              <w:t>employee of The Toro Company.</w:t>
            </w:r>
          </w:p>
        </w:tc>
      </w:tr>
      <w:tr>
        <w:trPr>
          <w:trHeight w:val="184"/>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Peter M. Ramstad</w:t>
            </w:r>
          </w:p>
        </w:tc>
        <w:tc>
          <w:tcPr>
            <w:tcW w:w="6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Vice President, Human Resources and Business Development since November 2007. From</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50, Vice President, Human Resources and</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November 2006 to October 2007, he served as Vice President, Business and Strategic</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Business Development</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Development. From December 2003 to November 2006, he served as Executive Vice President,</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Strategy and Finance at Personnel Decisions International, a consulting company that helps clients</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build organizational and talent strategies and assess and develop leaders. From April 2001 to</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2003, he served as Executive Vice President, Chief Financial Officer at Personnel</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16"/>
                <w:szCs w:val="16"/>
                <w:color w:val="auto"/>
              </w:rPr>
            </w:pPr>
          </w:p>
        </w:tc>
        <w:tc>
          <w:tcPr>
            <w:tcW w:w="6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Decisions International.</w:t>
            </w: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Darren L. Redetzke</w:t>
            </w:r>
          </w:p>
        </w:tc>
        <w:tc>
          <w:tcPr>
            <w:tcW w:w="6560" w:type="dxa"/>
            <w:vAlign w:val="bottom"/>
          </w:tcPr>
          <w:p>
            <w:pPr>
              <w:ind w:left="180"/>
              <w:spacing w:after="0"/>
              <w:rPr>
                <w:sz w:val="20"/>
                <w:szCs w:val="20"/>
                <w:color w:val="auto"/>
              </w:rPr>
            </w:pPr>
            <w:r>
              <w:rPr>
                <w:rFonts w:ascii="Arial" w:cs="Arial" w:eastAsia="Arial" w:hAnsi="Arial"/>
                <w:sz w:val="14"/>
                <w:szCs w:val="14"/>
                <w:color w:val="auto"/>
              </w:rPr>
              <w:t>General Manager, International Business since November 2007. From November 2006 to</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43, General Manager,</w:t>
            </w:r>
          </w:p>
        </w:tc>
        <w:tc>
          <w:tcPr>
            <w:tcW w:w="6560" w:type="dxa"/>
            <w:vAlign w:val="bottom"/>
          </w:tcPr>
          <w:p>
            <w:pPr>
              <w:ind w:left="180"/>
              <w:spacing w:after="0"/>
              <w:rPr>
                <w:sz w:val="20"/>
                <w:szCs w:val="20"/>
                <w:color w:val="auto"/>
              </w:rPr>
            </w:pPr>
            <w:r>
              <w:rPr>
                <w:rFonts w:ascii="Arial" w:cs="Arial" w:eastAsia="Arial" w:hAnsi="Arial"/>
                <w:sz w:val="14"/>
                <w:szCs w:val="14"/>
                <w:color w:val="auto"/>
              </w:rPr>
              <w:t>October 2007, he served as Managing Director, International Business. From November 2004 to</w:t>
            </w:r>
          </w:p>
        </w:tc>
      </w:tr>
      <w:tr>
        <w:trPr>
          <w:trHeight w:val="189"/>
        </w:trPr>
        <w:tc>
          <w:tcPr>
            <w:tcW w:w="2900" w:type="dxa"/>
            <w:vAlign w:val="bottom"/>
            <w:gridSpan w:val="2"/>
          </w:tcPr>
          <w:p>
            <w:pPr>
              <w:spacing w:after="0"/>
              <w:rPr>
                <w:sz w:val="20"/>
                <w:szCs w:val="20"/>
                <w:color w:val="auto"/>
              </w:rPr>
            </w:pPr>
            <w:r>
              <w:rPr>
                <w:rFonts w:ascii="Arial" w:cs="Arial" w:eastAsia="Arial" w:hAnsi="Arial"/>
                <w:sz w:val="14"/>
                <w:szCs w:val="14"/>
                <w:color w:val="auto"/>
              </w:rPr>
              <w:t>International Business</w:t>
            </w:r>
          </w:p>
        </w:tc>
        <w:tc>
          <w:tcPr>
            <w:tcW w:w="6560" w:type="dxa"/>
            <w:vAlign w:val="bottom"/>
          </w:tcPr>
          <w:p>
            <w:pPr>
              <w:ind w:left="180"/>
              <w:spacing w:after="0"/>
              <w:rPr>
                <w:sz w:val="20"/>
                <w:szCs w:val="20"/>
                <w:color w:val="auto"/>
              </w:rPr>
            </w:pPr>
            <w:r>
              <w:rPr>
                <w:rFonts w:ascii="Arial" w:cs="Arial" w:eastAsia="Arial" w:hAnsi="Arial"/>
                <w:sz w:val="14"/>
                <w:szCs w:val="14"/>
                <w:color w:val="auto"/>
              </w:rPr>
              <w:t>October 2006, he served as Director of Marketing – Golf for the Commercial Business. From</w:t>
            </w:r>
          </w:p>
        </w:tc>
      </w:tr>
      <w:tr>
        <w:trPr>
          <w:trHeight w:val="189"/>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560" w:type="dxa"/>
            <w:vAlign w:val="bottom"/>
          </w:tcPr>
          <w:p>
            <w:pPr>
              <w:ind w:left="180"/>
              <w:spacing w:after="0"/>
              <w:rPr>
                <w:sz w:val="20"/>
                <w:szCs w:val="20"/>
                <w:color w:val="auto"/>
              </w:rPr>
            </w:pPr>
            <w:r>
              <w:rPr>
                <w:rFonts w:ascii="Arial" w:cs="Arial" w:eastAsia="Arial" w:hAnsi="Arial"/>
                <w:sz w:val="14"/>
                <w:szCs w:val="14"/>
                <w:color w:val="auto"/>
              </w:rPr>
              <w:t>December 2001 to October 2004, he served as Director of Marketing – Irrigation and Commercial</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 the International Business.</w:t>
            </w:r>
          </w:p>
        </w:tc>
      </w:tr>
      <w:tr>
        <w:trPr>
          <w:trHeight w:val="184"/>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Richard W. Rodier</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Manager, Landscape Contractor Business – Toro since November 2004. From</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47, General Manager, Landscape</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February 2003 to October 2004, he served as Managing Director, Landscape Contractor Business –</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Contractor</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Toro.</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Business – Toro</w:t>
            </w:r>
          </w:p>
        </w:tc>
        <w:tc>
          <w:tcPr>
            <w:tcW w:w="6560" w:type="dxa"/>
            <w:vAlign w:val="bottom"/>
            <w:tcBorders>
              <w:bottom w:val="single" w:sz="8" w:color="auto"/>
            </w:tcBorders>
            <w:shd w:val="clear" w:color="auto" w:fill="CCEEFF"/>
          </w:tcPr>
          <w:p>
            <w:pPr>
              <w:spacing w:after="0"/>
              <w:rPr>
                <w:sz w:val="16"/>
                <w:szCs w:val="16"/>
                <w:color w:val="auto"/>
              </w:rPr>
            </w:pP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Mark B. Stinson</w:t>
            </w:r>
          </w:p>
        </w:tc>
        <w:tc>
          <w:tcPr>
            <w:tcW w:w="6560" w:type="dxa"/>
            <w:vAlign w:val="bottom"/>
          </w:tcPr>
          <w:p>
            <w:pPr>
              <w:ind w:left="180"/>
              <w:spacing w:after="0"/>
              <w:rPr>
                <w:sz w:val="20"/>
                <w:szCs w:val="20"/>
                <w:color w:val="auto"/>
              </w:rPr>
            </w:pPr>
            <w:r>
              <w:rPr>
                <w:rFonts w:ascii="Arial" w:cs="Arial" w:eastAsia="Arial" w:hAnsi="Arial"/>
                <w:sz w:val="14"/>
                <w:szCs w:val="14"/>
                <w:color w:val="auto"/>
              </w:rPr>
              <w:t>General Manager, Exmark since November 2004. From February 2003 to October 2004, he served</w:t>
            </w:r>
          </w:p>
        </w:tc>
      </w:tr>
      <w:tr>
        <w:trPr>
          <w:trHeight w:val="188"/>
        </w:trPr>
        <w:tc>
          <w:tcPr>
            <w:tcW w:w="2900" w:type="dxa"/>
            <w:vAlign w:val="bottom"/>
            <w:gridSpan w:val="2"/>
          </w:tcPr>
          <w:p>
            <w:pPr>
              <w:spacing w:after="0"/>
              <w:rPr>
                <w:sz w:val="20"/>
                <w:szCs w:val="20"/>
                <w:color w:val="auto"/>
              </w:rPr>
            </w:pPr>
            <w:r>
              <w:rPr>
                <w:rFonts w:ascii="Arial" w:cs="Arial" w:eastAsia="Arial" w:hAnsi="Arial"/>
                <w:sz w:val="14"/>
                <w:szCs w:val="14"/>
                <w:color w:val="auto"/>
              </w:rPr>
              <w:t>42, General Manager, Exmark</w:t>
            </w:r>
          </w:p>
        </w:tc>
        <w:tc>
          <w:tcPr>
            <w:tcW w:w="6560" w:type="dxa"/>
            <w:vAlign w:val="bottom"/>
          </w:tcPr>
          <w:p>
            <w:pPr>
              <w:ind w:left="180"/>
              <w:spacing w:after="0"/>
              <w:rPr>
                <w:sz w:val="20"/>
                <w:szCs w:val="20"/>
                <w:color w:val="auto"/>
              </w:rPr>
            </w:pPr>
            <w:r>
              <w:rPr>
                <w:rFonts w:ascii="Arial" w:cs="Arial" w:eastAsia="Arial" w:hAnsi="Arial"/>
                <w:sz w:val="14"/>
                <w:szCs w:val="14"/>
                <w:color w:val="auto"/>
              </w:rPr>
              <w:t>as Managing Director, Exmark.</w:t>
            </w:r>
          </w:p>
        </w:tc>
      </w:tr>
      <w:tr>
        <w:trPr>
          <w:trHeight w:val="184"/>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Stephen P. Wolfe</w:t>
            </w:r>
          </w:p>
        </w:tc>
        <w:tc>
          <w:tcPr>
            <w:tcW w:w="6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Vice President, Finance and Chief Financial Officer since February 2006. From June 1997 to</w:t>
            </w: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59, Vice President, Finance and</w:t>
            </w:r>
          </w:p>
        </w:tc>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2006, he served as Vice President Finance, Treasurer and Chief Financial Officer.</w:t>
            </w:r>
          </w:p>
        </w:tc>
      </w:tr>
      <w:tr>
        <w:trPr>
          <w:trHeight w:val="188"/>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w:t>
            </w:r>
          </w:p>
        </w:tc>
        <w:tc>
          <w:tcPr>
            <w:tcW w:w="6560" w:type="dxa"/>
            <w:vAlign w:val="bottom"/>
            <w:tcBorders>
              <w:bottom w:val="single" w:sz="8" w:color="auto"/>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4673B6"/>
        </w:rPr>
        <w:t>PART II</w:t>
      </w:r>
    </w:p>
    <w:p>
      <w:pPr>
        <w:spacing w:after="0" w:line="200" w:lineRule="exact"/>
        <w:rPr>
          <w:sz w:val="20"/>
          <w:szCs w:val="20"/>
          <w:color w:val="auto"/>
        </w:rPr>
      </w:pPr>
    </w:p>
    <w:p>
      <w:pPr>
        <w:spacing w:after="0" w:line="375" w:lineRule="exact"/>
        <w:rPr>
          <w:sz w:val="20"/>
          <w:szCs w:val="20"/>
          <w:color w:val="auto"/>
        </w:rPr>
      </w:pPr>
    </w:p>
    <w:p>
      <w:pPr>
        <w:ind w:left="800" w:hanging="791"/>
        <w:spacing w:after="0" w:line="299" w:lineRule="auto"/>
        <w:rPr>
          <w:sz w:val="20"/>
          <w:szCs w:val="20"/>
          <w:color w:val="auto"/>
        </w:rPr>
      </w:pPr>
      <w:r>
        <w:rPr>
          <w:rFonts w:ascii="Arial" w:cs="Arial" w:eastAsia="Arial" w:hAnsi="Arial"/>
          <w:sz w:val="22"/>
          <w:szCs w:val="22"/>
          <w:b w:val="1"/>
          <w:bCs w:val="1"/>
          <w:color w:val="4673B6"/>
        </w:rPr>
        <w:t>ITEM 5. MARKET FOR REGISTRANT’S COMMON EQUITY, RELATED STOCKHOLDER MATTERS, AND ISSUER PURCHASES OF EQUITY SECURITIES</w:t>
      </w:r>
    </w:p>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Toro common stock is listed for trading on the New York Stock Exchange and trades under the symbol “TTC.” The high, low, and last sales prices for Toro common stock and cash dividends paid for each of the quarterly periods for fiscal 2007 and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117475</wp:posOffset>
            </wp:positionV>
            <wp:extent cx="2889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ectPr>
          <w:pgSz w:w="11900" w:h="16838" w:orient="portrait"/>
          <w:cols w:equalWidth="0" w:num="1">
            <w:col w:w="11360"/>
          </w:cols>
          <w:pgMar w:left="240" w:top="152" w:right="299" w:bottom="0" w:gutter="0" w:footer="0" w:header="0"/>
        </w:sectPr>
      </w:pPr>
    </w:p>
    <w:p>
      <w:pPr>
        <w:spacing w:after="0" w:line="19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Fiscal year ended</w:t>
      </w:r>
    </w:p>
    <w:p>
      <w:pPr>
        <w:spacing w:after="0" w:line="29" w:lineRule="exact"/>
        <w:rPr>
          <w:sz w:val="20"/>
          <w:szCs w:val="20"/>
          <w:color w:val="auto"/>
        </w:rPr>
      </w:pPr>
    </w:p>
    <w:p>
      <w:pPr>
        <w:ind w:left="3420"/>
        <w:spacing w:after="0"/>
        <w:tabs>
          <w:tab w:leader="none" w:pos="5340" w:val="left"/>
          <w:tab w:leader="none" w:pos="5920" w:val="left"/>
          <w:tab w:leader="none" w:pos="6820" w:val="left"/>
          <w:tab w:leader="none" w:pos="7480" w:val="left"/>
        </w:tabs>
        <w:rPr>
          <w:sz w:val="20"/>
          <w:szCs w:val="20"/>
          <w:color w:val="auto"/>
        </w:rPr>
      </w:pPr>
      <w:r>
        <w:rPr>
          <w:rFonts w:ascii="Arial" w:cs="Arial" w:eastAsia="Arial" w:hAnsi="Arial"/>
          <w:sz w:val="14"/>
          <w:szCs w:val="14"/>
          <w:b w:val="1"/>
          <w:bCs w:val="1"/>
          <w:color w:val="auto"/>
        </w:rPr>
        <w:t>October 31, 2007</w:t>
      </w:r>
      <w:r>
        <w:rPr>
          <w:sz w:val="20"/>
          <w:szCs w:val="20"/>
          <w:color w:val="auto"/>
        </w:rPr>
        <w:tab/>
      </w:r>
      <w:r>
        <w:rPr>
          <w:rFonts w:ascii="Arial" w:cs="Arial" w:eastAsia="Arial" w:hAnsi="Arial"/>
          <w:sz w:val="14"/>
          <w:szCs w:val="14"/>
          <w:b w:val="1"/>
          <w:bCs w:val="1"/>
          <w:color w:val="auto"/>
        </w:rPr>
        <w:t>First</w:t>
      </w:r>
      <w:r>
        <w:rPr>
          <w:sz w:val="20"/>
          <w:szCs w:val="20"/>
          <w:color w:val="auto"/>
        </w:rPr>
        <w:tab/>
      </w:r>
      <w:r>
        <w:rPr>
          <w:rFonts w:ascii="Arial" w:cs="Arial" w:eastAsia="Arial" w:hAnsi="Arial"/>
          <w:sz w:val="14"/>
          <w:szCs w:val="14"/>
          <w:b w:val="1"/>
          <w:bCs w:val="1"/>
          <w:color w:val="auto"/>
        </w:rPr>
        <w:t>Second</w:t>
      </w:r>
      <w:r>
        <w:rPr>
          <w:sz w:val="20"/>
          <w:szCs w:val="20"/>
          <w:color w:val="auto"/>
        </w:rPr>
        <w:tab/>
      </w: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b w:val="1"/>
          <w:bCs w:val="1"/>
          <w:color w:val="auto"/>
        </w:rPr>
        <w:t>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17145</wp:posOffset>
            </wp:positionV>
            <wp:extent cx="2924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ectPr>
          <w:pgSz w:w="11900" w:h="16838" w:orient="portrait"/>
          <w:cols w:equalWidth="0" w:num="1">
            <w:col w:w="11360"/>
          </w:cols>
          <w:pgMar w:left="240" w:top="152" w:right="299" w:bottom="0" w:gutter="0" w:footer="0" w:header="0"/>
          <w:type w:val="continuous"/>
        </w:sectPr>
      </w:pPr>
    </w:p>
    <w:bookmarkStart w:id="16" w:name="page17"/>
    <w:bookmarkEnd w:id="16"/>
    <w:tbl>
      <w:tblPr>
        <w:tblLayout w:type="fixed"/>
        <w:tblInd w:w="3420" w:type="dxa"/>
        <w:tblCellMar>
          <w:top w:w="0" w:type="dxa"/>
          <w:left w:w="0" w:type="dxa"/>
          <w:bottom w:w="0" w:type="dxa"/>
          <w:right w:w="0" w:type="dxa"/>
        </w:tblCellMar>
      </w:tblPr>
      <w:tr>
        <w:trPr>
          <w:trHeight w:val="203"/>
        </w:trPr>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Market price per share</w:t>
            </w:r>
          </w:p>
        </w:tc>
        <w:tc>
          <w:tcPr>
            <w:tcW w:w="8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of common stock –</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ind w:left="260"/>
              <w:spacing w:after="0"/>
              <w:rPr>
                <w:sz w:val="20"/>
                <w:szCs w:val="20"/>
                <w:color w:val="auto"/>
              </w:rPr>
            </w:pPr>
            <w:r>
              <w:rPr>
                <w:rFonts w:ascii="Arial" w:cs="Arial" w:eastAsia="Arial" w:hAnsi="Arial"/>
                <w:sz w:val="14"/>
                <w:szCs w:val="14"/>
                <w:b w:val="1"/>
                <w:bCs w:val="1"/>
                <w:color w:val="auto"/>
              </w:rPr>
              <w:t>High sales price</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$ 52.00</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$ 57.11</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$ 63.69</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61.56</w:t>
            </w:r>
          </w:p>
        </w:tc>
        <w:tc>
          <w:tcPr>
            <w:tcW w:w="4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Low sales price</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42.06</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49.20</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51.17</w:t>
            </w: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50.73</w:t>
            </w:r>
          </w:p>
        </w:tc>
        <w:tc>
          <w:tcPr>
            <w:tcW w:w="4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Last sales price</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51.68</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51.46</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56.47</w:t>
            </w:r>
          </w:p>
        </w:tc>
        <w:tc>
          <w:tcPr>
            <w:tcW w:w="22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55.66</w:t>
            </w:r>
          </w:p>
        </w:tc>
        <w:tc>
          <w:tcPr>
            <w:tcW w:w="40" w:type="dxa"/>
            <w:vAlign w:val="bottom"/>
          </w:tcPr>
          <w:p>
            <w:pPr>
              <w:spacing w:after="0"/>
              <w:rPr>
                <w:sz w:val="16"/>
                <w:szCs w:val="16"/>
                <w:color w:val="auto"/>
              </w:rPr>
            </w:pPr>
          </w:p>
        </w:tc>
      </w:tr>
      <w:tr>
        <w:trPr>
          <w:trHeight w:val="189"/>
        </w:trPr>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dividends per</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share of common</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7"/>
                <w:szCs w:val="17"/>
                <w:b w:val="1"/>
                <w:bCs w:val="1"/>
                <w:color w:val="auto"/>
                <w:vertAlign w:val="superscript"/>
              </w:rPr>
              <w:t>1</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0.12</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0.12</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0.12</w:t>
            </w: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0.12</w:t>
            </w:r>
          </w:p>
        </w:tc>
        <w:tc>
          <w:tcPr>
            <w:tcW w:w="4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4"/>
        </w:trPr>
        <w:tc>
          <w:tcPr>
            <w:tcW w:w="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Fiscal year ended</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October 31, 2006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Second</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Third</w:t>
            </w:r>
          </w:p>
        </w:tc>
        <w:tc>
          <w:tcPr>
            <w:tcW w:w="700" w:type="dxa"/>
            <w:vAlign w:val="bottom"/>
            <w:gridSpan w:val="4"/>
          </w:tcPr>
          <w:p>
            <w:pPr>
              <w:ind w:left="180"/>
              <w:spacing w:after="0"/>
              <w:rPr>
                <w:sz w:val="20"/>
                <w:szCs w:val="20"/>
                <w:color w:val="auto"/>
              </w:rPr>
            </w:pPr>
            <w:r>
              <w:rPr>
                <w:rFonts w:ascii="Arial" w:cs="Arial" w:eastAsia="Arial" w:hAnsi="Arial"/>
                <w:sz w:val="14"/>
                <w:szCs w:val="14"/>
                <w:color w:val="auto"/>
              </w:rPr>
              <w:t>Fourth</w:t>
            </w:r>
          </w:p>
        </w:tc>
      </w:tr>
      <w:tr>
        <w:trPr>
          <w:trHeight w:val="184"/>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8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of common stock –</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High sales price</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$ 46.78</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$ 52.52</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$ 50.71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45.00</w:t>
            </w: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Low sales price</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43.00</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40.50</w:t>
            </w: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37.77</w:t>
            </w: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Last sales price</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43.19</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50.06</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42.30</w:t>
            </w:r>
          </w:p>
        </w:tc>
        <w:tc>
          <w:tcPr>
            <w:tcW w:w="22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43.16</w:t>
            </w:r>
          </w:p>
        </w:tc>
        <w:tc>
          <w:tcPr>
            <w:tcW w:w="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per</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of common</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stock</w:t>
            </w:r>
            <w:r>
              <w:rPr>
                <w:rFonts w:ascii="Arial" w:cs="Arial" w:eastAsia="Arial" w:hAnsi="Arial"/>
                <w:sz w:val="17"/>
                <w:szCs w:val="17"/>
                <w:color w:val="auto"/>
                <w:vertAlign w:val="superscript"/>
              </w:rPr>
              <w:t>1</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0.09</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32" w:lineRule="exact"/>
        <w:rPr>
          <w:sz w:val="20"/>
          <w:szCs w:val="20"/>
          <w:color w:val="auto"/>
        </w:rPr>
      </w:pPr>
    </w:p>
    <w:p>
      <w:pPr>
        <w:ind w:left="100" w:right="520" w:hanging="92"/>
        <w:spacing w:after="0" w:line="290" w:lineRule="auto"/>
        <w:tabs>
          <w:tab w:leader="none" w:pos="1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Future cash dividends will depend upon the company’s financial condition, capital requirements, results of operations, and other factors deemed relevant by the Board of Directors.</w:t>
      </w:r>
    </w:p>
    <w:p>
      <w:pPr>
        <w:spacing w:after="0" w:line="54"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4673B6"/>
        </w:rPr>
        <w:t xml:space="preserve">Common Stock – </w:t>
      </w:r>
      <w:r>
        <w:rPr>
          <w:rFonts w:ascii="Arial" w:cs="Arial" w:eastAsia="Arial" w:hAnsi="Arial"/>
          <w:sz w:val="18"/>
          <w:szCs w:val="18"/>
          <w:color w:val="000000"/>
        </w:rPr>
        <w:t>100,000,000 shares authorized, $1.00 par value, 37,950,831 and 40,355,714 shares outstanding as of October 31, 2007</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2006,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Preferred Stock – </w:t>
      </w:r>
      <w:r>
        <w:rPr>
          <w:rFonts w:ascii="Arial" w:cs="Arial" w:eastAsia="Arial" w:hAnsi="Arial"/>
          <w:sz w:val="18"/>
          <w:szCs w:val="18"/>
          <w:color w:val="000000"/>
        </w:rPr>
        <w:t>1,000,000 voting shares authorized and 850,000 non-voting shares authorized, $1.00 par value, no shares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Stockholders – </w:t>
      </w:r>
      <w:r>
        <w:rPr>
          <w:rFonts w:ascii="Arial" w:cs="Arial" w:eastAsia="Arial" w:hAnsi="Arial"/>
          <w:sz w:val="18"/>
          <w:szCs w:val="18"/>
          <w:color w:val="000000"/>
        </w:rPr>
        <w:t>As of December 13, 2007, Toro had approximately 4,359 stockholders of record.</w:t>
      </w:r>
    </w:p>
    <w:p>
      <w:pPr>
        <w:spacing w:after="0" w:line="1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information with respect to shares of Toro common stock purchased by the company during each of the three fiscal months in the period ended October 31, 2007.</w:t>
      </w:r>
    </w:p>
    <w:p>
      <w:pPr>
        <w:spacing w:after="0" w:line="165"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1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Maximum</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Number of</w:t>
            </w:r>
          </w:p>
        </w:tc>
        <w:tc>
          <w:tcPr>
            <w:tcW w:w="8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Purchased</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Shares that</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as Part of</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Total</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Average</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Publicly</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Number of</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Price</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Announced</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Shares</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Paid Per</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Plans or</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1,2</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Share</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Programs</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Programs</w:t>
            </w:r>
            <w:r>
              <w:rPr>
                <w:rFonts w:ascii="Arial" w:cs="Arial" w:eastAsia="Arial" w:hAnsi="Arial"/>
                <w:sz w:val="17"/>
                <w:szCs w:val="17"/>
                <w:color w:val="auto"/>
                <w:vertAlign w:val="superscript"/>
              </w:rPr>
              <w:t>1,2</w:t>
            </w:r>
          </w:p>
        </w:tc>
        <w:tc>
          <w:tcPr>
            <w:tcW w:w="0" w:type="dxa"/>
            <w:vAlign w:val="bottom"/>
          </w:tcPr>
          <w:p>
            <w:pPr>
              <w:spacing w:after="0"/>
              <w:rPr>
                <w:sz w:val="1"/>
                <w:szCs w:val="1"/>
                <w:color w:val="auto"/>
              </w:rPr>
            </w:pPr>
          </w:p>
        </w:tc>
      </w:tr>
      <w:tr>
        <w:trPr>
          <w:trHeight w:val="169"/>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August 4, 2007</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through</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August 31,</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2007</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80,000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$ 55.50</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80,000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2,966,563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20"/>
                <w:szCs w:val="20"/>
                <w:color w:val="auto"/>
              </w:rPr>
            </w:pPr>
            <w:r>
              <w:rPr>
                <w:rFonts w:ascii="Arial" w:cs="Arial" w:eastAsia="Arial" w:hAnsi="Arial"/>
                <w:sz w:val="14"/>
                <w:szCs w:val="14"/>
                <w:color w:val="auto"/>
              </w:rPr>
              <w:t>September 1,</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180"/>
              <w:spacing w:after="0"/>
              <w:rPr>
                <w:sz w:val="20"/>
                <w:szCs w:val="20"/>
                <w:color w:val="auto"/>
              </w:rPr>
            </w:pPr>
            <w:r>
              <w:rPr>
                <w:rFonts w:ascii="Arial" w:cs="Arial" w:eastAsia="Arial" w:hAnsi="Arial"/>
                <w:sz w:val="14"/>
                <w:szCs w:val="14"/>
                <w:color w:val="auto"/>
              </w:rPr>
              <w:t>2007 through</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180"/>
              <w:spacing w:after="0"/>
              <w:rPr>
                <w:sz w:val="20"/>
                <w:szCs w:val="20"/>
                <w:color w:val="auto"/>
              </w:rPr>
            </w:pPr>
            <w:r>
              <w:rPr>
                <w:rFonts w:ascii="Arial" w:cs="Arial" w:eastAsia="Arial" w:hAnsi="Arial"/>
                <w:sz w:val="14"/>
                <w:szCs w:val="14"/>
                <w:color w:val="auto"/>
              </w:rPr>
              <w:t>September 28,</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80"/>
              <w:spacing w:after="0"/>
              <w:rPr>
                <w:sz w:val="20"/>
                <w:szCs w:val="20"/>
                <w:color w:val="auto"/>
              </w:rPr>
            </w:pPr>
            <w:r>
              <w:rPr>
                <w:rFonts w:ascii="Arial" w:cs="Arial" w:eastAsia="Arial" w:hAnsi="Arial"/>
                <w:sz w:val="14"/>
                <w:szCs w:val="14"/>
                <w:color w:val="auto"/>
              </w:rPr>
              <w:t>2007</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951,588</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59.67</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951,588</w:t>
            </w:r>
          </w:p>
        </w:tc>
        <w:tc>
          <w:tcPr>
            <w:tcW w:w="840" w:type="dxa"/>
            <w:vAlign w:val="bottom"/>
          </w:tcPr>
          <w:p>
            <w:pPr>
              <w:jc w:val="right"/>
              <w:spacing w:after="0"/>
              <w:rPr>
                <w:sz w:val="20"/>
                <w:szCs w:val="20"/>
                <w:color w:val="auto"/>
              </w:rPr>
            </w:pPr>
            <w:r>
              <w:rPr>
                <w:rFonts w:ascii="Arial" w:cs="Arial" w:eastAsia="Arial" w:hAnsi="Arial"/>
                <w:sz w:val="14"/>
                <w:szCs w:val="14"/>
                <w:color w:val="auto"/>
              </w:rPr>
              <w:t>2,014,975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September 29,</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2007 through</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October 31,</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2007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882,490</w:t>
            </w:r>
            <w:r>
              <w:rPr>
                <w:rFonts w:ascii="Arial" w:cs="Arial" w:eastAsia="Arial" w:hAnsi="Arial"/>
                <w:sz w:val="17"/>
                <w:szCs w:val="17"/>
                <w:color w:val="auto"/>
                <w:vertAlign w:val="superscript"/>
              </w:rPr>
              <w:t>3</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58.18</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880,800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1,134,175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Total</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1,914,078</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$ 58.81</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1,912,388</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8890</wp:posOffset>
            </wp:positionV>
            <wp:extent cx="2400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On July 18, 2006, the company’s Board of Directors authorized the repurchase of 3,000,000 shares of the company’s common stock in open-market or in privately negotiated</w:t>
      </w:r>
    </w:p>
    <w:p>
      <w:pPr>
        <w:spacing w:after="0" w:line="57" w:lineRule="exact"/>
        <w:rPr>
          <w:sz w:val="20"/>
          <w:szCs w:val="20"/>
          <w:color w:val="auto"/>
        </w:rPr>
      </w:pPr>
    </w:p>
    <w:p>
      <w:pPr>
        <w:ind w:left="100" w:right="340"/>
        <w:spacing w:after="0" w:line="278" w:lineRule="auto"/>
        <w:rPr>
          <w:sz w:val="20"/>
          <w:szCs w:val="20"/>
          <w:color w:val="auto"/>
        </w:rPr>
      </w:pPr>
      <w:r>
        <w:rPr>
          <w:rFonts w:ascii="Arial" w:cs="Arial" w:eastAsia="Arial" w:hAnsi="Arial"/>
          <w:sz w:val="14"/>
          <w:szCs w:val="14"/>
          <w:color w:val="auto"/>
        </w:rPr>
        <w:t>transactions. This program has no expiration date but may be terminated by the company’s Board of Directors at any time. The company purchased an aggregate of 46,563 shares during the periods indicated above under this program. There are no shares remaining for repurchase under this program.</w:t>
      </w:r>
    </w:p>
    <w:p>
      <w:pPr>
        <w:spacing w:after="0" w:line="5" w:lineRule="exact"/>
        <w:rPr>
          <w:sz w:val="20"/>
          <w:szCs w:val="20"/>
          <w:color w:val="auto"/>
        </w:rPr>
      </w:pPr>
    </w:p>
    <w:p>
      <w:pPr>
        <w:jc w:val="both"/>
        <w:ind w:left="100" w:right="60" w:hanging="92"/>
        <w:spacing w:after="0" w:line="273" w:lineRule="auto"/>
        <w:tabs>
          <w:tab w:leader="none" w:pos="1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On May 22, 2007, the company’s Board of Directors authorized the repurchase of an additional 3,000,000 shares of the company’s common stock in open-market or in privately negotiated transactions. This program has no expiration date but may be terminated by the company’s Board of Directors at any time. The company purchased an aggregate of</w:t>
      </w:r>
    </w:p>
    <w:p>
      <w:pPr>
        <w:ind w:left="100"/>
        <w:spacing w:after="0"/>
        <w:rPr>
          <w:sz w:val="20"/>
          <w:szCs w:val="20"/>
          <w:color w:val="auto"/>
        </w:rPr>
      </w:pPr>
      <w:r>
        <w:rPr>
          <w:rFonts w:ascii="Arial" w:cs="Arial" w:eastAsia="Arial" w:hAnsi="Arial"/>
          <w:sz w:val="14"/>
          <w:szCs w:val="14"/>
          <w:color w:val="auto"/>
        </w:rPr>
        <w:t>1,865,825 shares during the periods indicated above under this program.</w:t>
      </w:r>
    </w:p>
    <w:p>
      <w:pPr>
        <w:spacing w:after="0" w:line="28" w:lineRule="exact"/>
        <w:rPr>
          <w:sz w:val="20"/>
          <w:szCs w:val="20"/>
          <w:color w:val="auto"/>
        </w:rPr>
      </w:pPr>
    </w:p>
    <w:p>
      <w:pPr>
        <w:jc w:val="both"/>
        <w:ind w:left="100" w:right="300" w:hanging="92"/>
        <w:spacing w:after="0" w:line="280" w:lineRule="auto"/>
        <w:tabs>
          <w:tab w:leader="none" w:pos="1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1,690 units (shares) of Toro common stock purchased in open-market transactions at an average price of $56.85 per share on behalf of a rabbi trust formed to pay benefit obligations of the company to participants in deferred compensation plans. These 1,690 shares were not repurchased under the company’s repurchase programs, as described in footnotes 1 and 2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The Toro Company Common Stock Comparative Performance Graph</w:t>
      </w:r>
    </w:p>
    <w:p>
      <w:pPr>
        <w:spacing w:after="0" w:line="31" w:lineRule="exact"/>
        <w:rPr>
          <w:sz w:val="20"/>
          <w:szCs w:val="20"/>
          <w:color w:val="auto"/>
        </w:rPr>
      </w:pPr>
    </w:p>
    <w:p>
      <w:pPr>
        <w:spacing w:after="0" w:line="273" w:lineRule="auto"/>
        <w:rPr>
          <w:sz w:val="20"/>
          <w:szCs w:val="20"/>
          <w:color w:val="auto"/>
        </w:rPr>
      </w:pPr>
      <w:r>
        <w:rPr>
          <w:rFonts w:ascii="Arial" w:cs="Arial" w:eastAsia="Arial" w:hAnsi="Arial"/>
          <w:sz w:val="18"/>
          <w:szCs w:val="18"/>
          <w:i w:val="1"/>
          <w:iCs w:val="1"/>
          <w:color w:val="auto"/>
        </w:rPr>
        <w:t>The information contained in The Toro Company Stock Comparative Performance Graph section shall not be deemed to be “soliciting material” or “filed” or incorporated by reference in future filings with the SEC, or subject to the liabilities of Section 18 of the Securities Exchange Act of 1934, except to the extent that we specifically request that it be treated as soliciting material or incorporate it by reference into a document filed under the Securities Act of 1933 or the Securities Exchange Act of 1934.</w:t>
      </w:r>
    </w:p>
    <w:p>
      <w:pPr>
        <w:spacing w:after="0" w:line="201"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following graph and table depict the cumulative total stockholder return (assuming reinvestment of dividends) on $100 invested in each of Toro Common Stock, the S&amp;P 500 Index, and an industry peer index for the five year period from October 31, 2002 through October 31, 2007.</w:t>
      </w:r>
    </w:p>
    <w:p>
      <w:pPr>
        <w:sectPr>
          <w:pgSz w:w="11900" w:h="16838" w:orient="portrait"/>
          <w:cols w:equalWidth="0" w:num="1">
            <w:col w:w="11360"/>
          </w:cols>
          <w:pgMar w:left="240" w:top="133" w:right="299" w:bottom="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88900</wp:posOffset>
            </wp:positionV>
            <wp:extent cx="5085715" cy="2341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08571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26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10/02</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10/03</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10/04</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10/05</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10/06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10/07</w:t>
            </w:r>
          </w:p>
        </w:tc>
      </w:tr>
      <w:tr>
        <w:trPr>
          <w:trHeight w:val="183"/>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The Toro Company</w:t>
            </w:r>
          </w:p>
        </w:tc>
        <w:tc>
          <w:tcPr>
            <w:tcW w:w="20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156.63</w:t>
            </w: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215.96</w:t>
            </w: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232.43</w:t>
            </w: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276.97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359.65</w:t>
            </w:r>
          </w:p>
        </w:tc>
      </w:tr>
      <w:tr>
        <w:trPr>
          <w:trHeight w:val="189"/>
        </w:trPr>
        <w:tc>
          <w:tcPr>
            <w:tcW w:w="262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204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120.80</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132.18</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143.71</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167.19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191.54</w:t>
            </w:r>
          </w:p>
        </w:tc>
      </w:tr>
      <w:tr>
        <w:trPr>
          <w:trHeight w:val="189"/>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20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139.07</w:t>
            </w:r>
          </w:p>
        </w:tc>
        <w:tc>
          <w:tcPr>
            <w:tcW w:w="10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164.08</w:t>
            </w:r>
          </w:p>
        </w:tc>
        <w:tc>
          <w:tcPr>
            <w:tcW w:w="10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180.17</w:t>
            </w:r>
          </w:p>
        </w:tc>
        <w:tc>
          <w:tcPr>
            <w:tcW w:w="10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223.69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299.32</w:t>
            </w:r>
          </w:p>
        </w:tc>
      </w:tr>
    </w:tbl>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industry peer index is based on companies included in the Fortune 500 Industrial and Farm Equipment Index for 2002, the most recent year available, including: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Tecumseh Products Company, Teleflex, Terex Corporation, Timken Company, and Walter Industries Inc. Companies removed from the Index were Unova, Inc., York International Corporation, and Stewart &amp; Stevenson Services, Inc.</w:t>
      </w:r>
    </w:p>
    <w:p>
      <w:pPr>
        <w:spacing w:after="0" w:line="1"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Publication of the Fortune 500 Industrial and Farm Equipment Index was discontinued after 2002. Management believes, however, that the companies in the index continue to provide a good representation of our peer issuers on an industry basis and have continued to use the group to provide continuity.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6.  SELECTED FINANCIAL DATA</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204"/>
        </w:trPr>
        <w:tc>
          <w:tcPr>
            <w:tcW w:w="4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2005</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Borders>
              <w:bottom w:val="single" w:sz="8" w:color="CCEEFF"/>
            </w:tcBorders>
          </w:tcPr>
          <w:p>
            <w:pPr>
              <w:spacing w:after="0"/>
              <w:rPr>
                <w:sz w:val="18"/>
                <w:szCs w:val="18"/>
                <w:color w:val="auto"/>
              </w:rPr>
            </w:pPr>
          </w:p>
        </w:tc>
      </w:tr>
      <w:tr>
        <w:trPr>
          <w:trHeight w:val="183"/>
        </w:trPr>
        <w:tc>
          <w:tcPr>
            <w:tcW w:w="4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1,876,904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1,835,991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1,779,387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1,652,508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1,496,588</w:t>
            </w:r>
          </w:p>
        </w:tc>
        <w:tc>
          <w:tcPr>
            <w:tcW w:w="160" w:type="dxa"/>
            <w:vAlign w:val="bottom"/>
          </w:tcPr>
          <w:p>
            <w:pPr>
              <w:spacing w:after="0"/>
              <w:rPr>
                <w:sz w:val="16"/>
                <w:szCs w:val="16"/>
                <w:color w:val="auto"/>
              </w:rPr>
            </w:pPr>
          </w:p>
        </w:tc>
      </w:tr>
      <w:tr>
        <w:trPr>
          <w:trHeight w:val="189"/>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Net sales growth from prior year</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w:t>
            </w: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Gross profit as a percentage of net sales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36.1%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35.8%</w:t>
            </w:r>
          </w:p>
        </w:tc>
      </w:tr>
      <w:tr>
        <w:trPr>
          <w:trHeight w:val="189"/>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Selling, general, and administrative expense as a percentage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45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of net sales</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27.3%</w:t>
            </w: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Earnings from operations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223,649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202,876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182,726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165,225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126,994</w:t>
            </w:r>
          </w:p>
        </w:tc>
        <w:tc>
          <w:tcPr>
            <w:tcW w:w="160" w:type="dxa"/>
            <w:vAlign w:val="bottom"/>
          </w:tcPr>
          <w:p>
            <w:pPr>
              <w:spacing w:after="0"/>
              <w:rPr>
                <w:sz w:val="16"/>
                <w:szCs w:val="16"/>
                <w:color w:val="auto"/>
              </w:rPr>
            </w:pPr>
          </w:p>
        </w:tc>
      </w:tr>
      <w:tr>
        <w:trPr>
          <w:trHeight w:val="189"/>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Interest expense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19,445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17,672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17,733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15,523</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16,285</w:t>
            </w:r>
          </w:p>
        </w:tc>
        <w:tc>
          <w:tcPr>
            <w:tcW w:w="160" w:type="dxa"/>
            <w:vAlign w:val="bottom"/>
            <w:shd w:val="clear" w:color="auto" w:fill="CCEEFF"/>
          </w:tcPr>
          <w:p>
            <w:pPr>
              <w:spacing w:after="0"/>
              <w:rPr>
                <w:sz w:val="16"/>
                <w:szCs w:val="16"/>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Net earnings</w:t>
            </w:r>
          </w:p>
        </w:tc>
        <w:tc>
          <w:tcPr>
            <w:tcW w:w="3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142,436</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129,145</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114,082</w:t>
            </w:r>
          </w:p>
        </w:tc>
        <w:tc>
          <w:tcPr>
            <w:tcW w:w="1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102,666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81,620</w:t>
            </w:r>
          </w:p>
        </w:tc>
        <w:tc>
          <w:tcPr>
            <w:tcW w:w="160" w:type="dxa"/>
            <w:vAlign w:val="bottom"/>
          </w:tcPr>
          <w:p>
            <w:pPr>
              <w:spacing w:after="0"/>
              <w:rPr>
                <w:sz w:val="16"/>
                <w:szCs w:val="16"/>
                <w:color w:val="auto"/>
              </w:rPr>
            </w:pPr>
          </w:p>
        </w:tc>
      </w:tr>
      <w:tr>
        <w:trPr>
          <w:trHeight w:val="189"/>
        </w:trPr>
        <w:tc>
          <w:tcPr>
            <w:tcW w:w="45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As a percentage of net sales</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r>
      <w:tr>
        <w:trPr>
          <w:trHeight w:val="216"/>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17"/>
                <w:szCs w:val="17"/>
                <w:b w:val="1"/>
                <w:bCs w:val="1"/>
                <w:color w:val="auto"/>
                <w:vertAlign w:val="superscript"/>
              </w:rPr>
              <w:t>2</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3.01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17"/>
                <w:szCs w:val="17"/>
                <w:b w:val="1"/>
                <w:bCs w:val="1"/>
                <w:color w:val="auto"/>
                <w:vertAlign w:val="superscript"/>
              </w:rPr>
              <w:t>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3.40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spacing w:after="0"/>
              <w:rPr>
                <w:sz w:val="18"/>
                <w:szCs w:val="18"/>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Return on average stockholders’ equity</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19.8%</w:t>
            </w: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950,837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919,073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914,860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929,846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926,493</w:t>
            </w:r>
          </w:p>
        </w:tc>
        <w:tc>
          <w:tcPr>
            <w:tcW w:w="160" w:type="dxa"/>
            <w:vAlign w:val="bottom"/>
          </w:tcPr>
          <w:p>
            <w:pPr>
              <w:spacing w:after="0"/>
              <w:rPr>
                <w:sz w:val="16"/>
                <w:szCs w:val="16"/>
                <w:color w:val="auto"/>
              </w:rPr>
            </w:pPr>
          </w:p>
        </w:tc>
      </w:tr>
      <w:tr>
        <w:trPr>
          <w:trHeight w:val="21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Average net working capital as a percentage of net sales</w:t>
            </w:r>
            <w:r>
              <w:rPr>
                <w:rFonts w:ascii="Arial" w:cs="Arial" w:eastAsia="Arial" w:hAnsi="Arial"/>
                <w:sz w:val="17"/>
                <w:szCs w:val="17"/>
                <w:b w:val="1"/>
                <w:bCs w:val="1"/>
                <w:color w:val="auto"/>
                <w:vertAlign w:val="superscript"/>
              </w:rPr>
              <w:t>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34.3%</w:t>
            </w: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Long-term debt, including current portion</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229,209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175,046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175,091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178,921</w:t>
            </w:r>
          </w:p>
        </w:tc>
        <w:tc>
          <w:tcPr>
            <w:tcW w:w="160" w:type="dxa"/>
            <w:vAlign w:val="bottom"/>
          </w:tcPr>
          <w:p>
            <w:pPr>
              <w:spacing w:after="0"/>
              <w:rPr>
                <w:sz w:val="16"/>
                <w:szCs w:val="16"/>
                <w:color w:val="auto"/>
              </w:rPr>
            </w:pPr>
          </w:p>
        </w:tc>
      </w:tr>
      <w:tr>
        <w:trPr>
          <w:trHeight w:val="189"/>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370,438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392,029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390,034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420,819</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451,523</w:t>
            </w:r>
          </w:p>
        </w:tc>
        <w:tc>
          <w:tcPr>
            <w:tcW w:w="160" w:type="dxa"/>
            <w:vAlign w:val="bottom"/>
            <w:shd w:val="clear" w:color="auto" w:fill="CCEEFF"/>
          </w:tcPr>
          <w:p>
            <w:pPr>
              <w:spacing w:after="0"/>
              <w:rPr>
                <w:sz w:val="16"/>
                <w:szCs w:val="16"/>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Debt-to-capitalization ratio</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w:t>
            </w:r>
          </w:p>
        </w:tc>
        <w:tc>
          <w:tcPr>
            <w:tcW w:w="1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28.6%</w:t>
            </w: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Cash provided by operating activities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183,574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190,271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174,083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185,149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115,984</w:t>
            </w:r>
          </w:p>
        </w:tc>
        <w:tc>
          <w:tcPr>
            <w:tcW w:w="160" w:type="dxa"/>
            <w:vAlign w:val="bottom"/>
          </w:tcPr>
          <w:p>
            <w:pPr>
              <w:spacing w:after="0"/>
              <w:rPr>
                <w:sz w:val="16"/>
                <w:szCs w:val="16"/>
                <w:color w:val="auto"/>
              </w:rPr>
            </w:pPr>
          </w:p>
        </w:tc>
      </w:tr>
      <w:tr>
        <w:trPr>
          <w:trHeight w:val="189"/>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Repurchases of Toro common stock</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182,843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146,543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156,972</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169,821</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18,726</w:t>
            </w:r>
          </w:p>
        </w:tc>
        <w:tc>
          <w:tcPr>
            <w:tcW w:w="160" w:type="dxa"/>
            <w:vAlign w:val="bottom"/>
            <w:shd w:val="clear" w:color="auto" w:fill="CCEEFF"/>
          </w:tcPr>
          <w:p>
            <w:pPr>
              <w:spacing w:after="0"/>
              <w:rPr>
                <w:sz w:val="16"/>
                <w:szCs w:val="16"/>
                <w:color w:val="auto"/>
              </w:rPr>
            </w:pPr>
          </w:p>
        </w:tc>
      </w:tr>
      <w:tr>
        <w:trPr>
          <w:trHeight w:val="216"/>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17"/>
                <w:szCs w:val="17"/>
                <w:b w:val="1"/>
                <w:bCs w:val="1"/>
                <w:color w:val="auto"/>
                <w:vertAlign w:val="superscript"/>
              </w:rPr>
              <w:t>2</w:t>
            </w:r>
          </w:p>
        </w:tc>
        <w:tc>
          <w:tcPr>
            <w:tcW w:w="30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0.48</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0.24</w:t>
            </w:r>
          </w:p>
        </w:tc>
        <w:tc>
          <w:tcPr>
            <w:tcW w:w="1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8"/>
                <w:szCs w:val="18"/>
                <w:color w:val="auto"/>
              </w:rPr>
            </w:pPr>
          </w:p>
        </w:tc>
      </w:tr>
      <w:tr>
        <w:trPr>
          <w:trHeight w:val="189"/>
        </w:trPr>
        <w:tc>
          <w:tcPr>
            <w:tcW w:w="4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Market price range –</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5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17"/>
                <w:szCs w:val="17"/>
                <w:b w:val="1"/>
                <w:bCs w:val="1"/>
                <w:color w:val="auto"/>
                <w:vertAlign w:val="superscript"/>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63.69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35.825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25.205</w:t>
            </w: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300"/>
              <w:spacing w:after="0"/>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17"/>
                <w:szCs w:val="17"/>
                <w:b w:val="1"/>
                <w:bCs w:val="1"/>
                <w:color w:val="auto"/>
                <w:vertAlign w:val="superscript"/>
              </w:rPr>
              <w:t>2</w:t>
            </w:r>
          </w:p>
        </w:tc>
        <w:tc>
          <w:tcPr>
            <w:tcW w:w="30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42.06</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36.30</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33.90</w:t>
            </w:r>
          </w:p>
        </w:tc>
        <w:tc>
          <w:tcPr>
            <w:tcW w:w="1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22.225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15.075</w:t>
            </w:r>
          </w:p>
        </w:tc>
        <w:tc>
          <w:tcPr>
            <w:tcW w:w="160" w:type="dxa"/>
            <w:vAlign w:val="bottom"/>
          </w:tcPr>
          <w:p>
            <w:pPr>
              <w:spacing w:after="0"/>
              <w:rPr>
                <w:sz w:val="18"/>
                <w:szCs w:val="18"/>
                <w:color w:val="auto"/>
              </w:rPr>
            </w:pPr>
          </w:p>
        </w:tc>
      </w:tr>
      <w:tr>
        <w:trPr>
          <w:trHeight w:val="189"/>
        </w:trPr>
        <w:tc>
          <w:tcPr>
            <w:tcW w:w="4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Average number of employees</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5,320</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5,343</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5,185</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5,164</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5,367</w:t>
            </w:r>
          </w:p>
        </w:tc>
        <w:tc>
          <w:tcPr>
            <w:tcW w:w="160" w:type="dxa"/>
            <w:vAlign w:val="bottom"/>
            <w:shd w:val="clear" w:color="auto" w:fill="CCEEFF"/>
          </w:tcPr>
          <w:p>
            <w:pPr>
              <w:spacing w:after="0"/>
              <w:rPr>
                <w:sz w:val="16"/>
                <w:szCs w:val="16"/>
                <w:color w:val="auto"/>
              </w:rPr>
            </w:pPr>
          </w:p>
        </w:tc>
      </w:tr>
    </w:tbl>
    <w:p>
      <w:pPr>
        <w:ind w:left="120" w:hanging="112"/>
        <w:spacing w:after="0" w:line="220" w:lineRule="auto"/>
        <w:tabs>
          <w:tab w:leader="none" w:pos="1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financial statements include results of Hayter Limited from February 8, 2005, date of acquisition.</w:t>
      </w:r>
    </w:p>
    <w:p>
      <w:pPr>
        <w:spacing w:after="0" w:line="23"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Per share data has been adjusted for all fiscal years presented to reflect two separate two-for-one stock splits effective on March 28, 2005 and April 1, 2003.</w:t>
      </w:r>
    </w:p>
    <w:p>
      <w:pPr>
        <w:spacing w:after="0" w:line="5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Average net working capital is defined as monthly average accounts receivable plus inventory less trade payables.</w:t>
      </w:r>
    </w:p>
    <w:p>
      <w:pPr>
        <w:sectPr>
          <w:pgSz w:w="11900" w:h="16838" w:orient="portrait"/>
          <w:cols w:equalWidth="0" w:num="1">
            <w:col w:w="11380"/>
          </w:cols>
          <w:pgMar w:left="240" w:top="1440" w:right="279" w:bottom="502" w:gutter="0" w:footer="0" w:header="0"/>
        </w:sectPr>
      </w:pPr>
    </w:p>
    <w:bookmarkStart w:id="18" w:name="page19"/>
    <w:bookmarkEnd w:id="18"/>
    <w:p>
      <w:pPr>
        <w:ind w:left="800" w:right="840" w:hanging="791"/>
        <w:spacing w:after="0" w:line="301" w:lineRule="auto"/>
        <w:rPr>
          <w:sz w:val="20"/>
          <w:szCs w:val="20"/>
          <w:color w:val="auto"/>
        </w:rPr>
      </w:pPr>
      <w:r>
        <w:rPr>
          <w:rFonts w:ascii="Arial" w:cs="Arial" w:eastAsia="Arial" w:hAnsi="Arial"/>
          <w:sz w:val="22"/>
          <w:szCs w:val="22"/>
          <w:b w:val="1"/>
          <w:bCs w:val="1"/>
          <w:color w:val="4673B6"/>
        </w:rPr>
        <w:t>ITEM 7. MANAGEMENT’S DISCUSSION AND ANALYSIS OF FINANCIAL CONDITION AND RESULTS OF OPERATIONS</w:t>
      </w:r>
    </w:p>
    <w:p>
      <w:pPr>
        <w:spacing w:after="0" w:line="14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users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MD&amp;A is organized in the following major sections:</w:t>
      </w:r>
    </w:p>
    <w:p>
      <w:pPr>
        <w:spacing w:after="0" w:line="23"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Overview, Summary of Fiscal 2007 Results, GrowLean Initiative, and Outlook for Fiscal 2008</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by Business Segment</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 and Contractual Obligations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OVERVIEW</w:t>
      </w:r>
    </w:p>
    <w:p>
      <w:pPr>
        <w:spacing w:after="0" w:line="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worldwide. We sell our products through a network of distributors, dealers, hardware retailers, home centers, mass retailers, and over the Internet, mainly through Internet retailers. Our businesses are organized into two operating segments: professional and residential. A third segment called “other” consists of domestic distribution companies and corporate activities, including corporate financing activities. Our emphasis is to provide well-built, dependable, and innovative products supported by an extensive service network. A significant portion of our revenues has historically been, and we expect it to continue to be, attributable to new and enhanced products.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Summary of Fiscal 2007 Results</w:t>
      </w:r>
    </w:p>
    <w:p>
      <w:pPr>
        <w:spacing w:after="0" w:line="40" w:lineRule="exact"/>
        <w:rPr>
          <w:sz w:val="20"/>
          <w:szCs w:val="20"/>
          <w:color w:val="auto"/>
        </w:rPr>
      </w:pPr>
    </w:p>
    <w:p>
      <w:pPr>
        <w:ind w:right="680"/>
        <w:spacing w:after="0" w:line="258" w:lineRule="auto"/>
        <w:rPr>
          <w:sz w:val="20"/>
          <w:szCs w:val="20"/>
          <w:color w:val="auto"/>
        </w:rPr>
      </w:pPr>
      <w:r>
        <w:rPr>
          <w:rFonts w:ascii="Arial" w:cs="Arial" w:eastAsia="Arial" w:hAnsi="Arial"/>
          <w:sz w:val="18"/>
          <w:szCs w:val="18"/>
          <w:color w:val="auto"/>
        </w:rPr>
        <w:t>Fiscal 2007 was another good year with record net sales and double digit diluted net earnings per share growth. Our fiscal 2007 results included the following items of significance:</w:t>
      </w:r>
    </w:p>
    <w:p>
      <w:pPr>
        <w:spacing w:after="0" w:line="14"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after-tax return on sales for fiscal 2007 rose to 7.6 percent compared to 7.0 percent in fiscal 2006.</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growth for fiscal 2007 was 2.2 percent over fiscal 2006, despite difficult economic and weather conditions.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net sales continued to grow faster than our total consolidated net sales with an increase of 9.6 percent compared to fiscal 2006.</w:t>
      </w:r>
    </w:p>
    <w:p>
      <w:pPr>
        <w:spacing w:after="0" w:line="63"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color w:val="auto"/>
        </w:rPr>
        <w:t>Almost half of this increase was the result of the weaker U.S. dollar compared to other currencies in which we transact business. This increase was also attributable to our continued investments in new products, including products designed specifically for international markets and customers, and investments in infrastructure around the world that connects us closer to international customers and increases our global presence. International net sales comprised 29.0 percent of our total consolidated net sales in fiscal 2007 compared to 27.0 percent in fiscal 2006 and 24.8 percent in fiscal 2005.</w:t>
      </w:r>
    </w:p>
    <w:p>
      <w:pPr>
        <w:spacing w:after="0" w:line="14"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segment net sales, which represents over two-thirds of our total consolidated net sales, increased 3.7 percent in fiscal 2007</w:t>
      </w:r>
    </w:p>
    <w:p>
      <w:pPr>
        <w:spacing w:after="0" w:line="63" w:lineRule="exact"/>
        <w:rPr>
          <w:sz w:val="20"/>
          <w:szCs w:val="20"/>
          <w:color w:val="auto"/>
        </w:rPr>
      </w:pPr>
    </w:p>
    <w:p>
      <w:pPr>
        <w:ind w:left="180" w:right="20"/>
        <w:spacing w:after="0" w:line="258" w:lineRule="auto"/>
        <w:rPr>
          <w:sz w:val="20"/>
          <w:szCs w:val="20"/>
          <w:color w:val="auto"/>
        </w:rPr>
      </w:pPr>
      <w:r>
        <w:rPr>
          <w:rFonts w:ascii="Arial" w:cs="Arial" w:eastAsia="Arial" w:hAnsi="Arial"/>
          <w:sz w:val="18"/>
          <w:szCs w:val="18"/>
          <w:color w:val="auto"/>
        </w:rPr>
        <w:t>compared to fiscal 2006 due primarily to the successful introduction of new products, continued strong growth in the international golf market, and increased worldwide demand and growth in the sports fields and grounds market.</w:t>
      </w:r>
    </w:p>
    <w:p>
      <w:pPr>
        <w:spacing w:after="0" w:line="1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residential segment net sales were slightly down by 0.6 percent in fiscal 2007 compared to fiscal 2006. Sales of our recently introduced</w:t>
      </w:r>
    </w:p>
    <w:p>
      <w:pPr>
        <w:spacing w:after="0" w:line="63" w:lineRule="exact"/>
        <w:rPr>
          <w:sz w:val="20"/>
          <w:szCs w:val="20"/>
          <w:color w:val="auto"/>
        </w:rPr>
      </w:pPr>
    </w:p>
    <w:p>
      <w:pPr>
        <w:ind w:left="180" w:right="40"/>
        <w:spacing w:after="0" w:line="258" w:lineRule="auto"/>
        <w:rPr>
          <w:sz w:val="20"/>
          <w:szCs w:val="20"/>
          <w:color w:val="auto"/>
        </w:rPr>
      </w:pPr>
      <w:r>
        <w:rPr>
          <w:rFonts w:ascii="Arial" w:cs="Arial" w:eastAsia="Arial" w:hAnsi="Arial"/>
          <w:sz w:val="18"/>
          <w:szCs w:val="18"/>
          <w:color w:val="auto"/>
        </w:rPr>
        <w:t>redesigned innovative TimeCutter Z Series zero-turning radius riding mowers and enhanced walk power mower products were not enough to offset the decline in snow thrower sales as a result of the lack of snow fall in key markets during the 2006-2007 winter season.</w:t>
      </w:r>
    </w:p>
    <w:p>
      <w:pPr>
        <w:spacing w:after="0" w:line="14" w:lineRule="exact"/>
        <w:rPr>
          <w:sz w:val="20"/>
          <w:szCs w:val="20"/>
          <w:color w:val="auto"/>
        </w:rPr>
      </w:pPr>
    </w:p>
    <w:p>
      <w:pPr>
        <w:ind w:left="180" w:right="340" w:hanging="172"/>
        <w:spacing w:after="0" w:line="297" w:lineRule="auto"/>
        <w:tabs>
          <w:tab w:leader="none" w:pos="1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2007 net earnings increased 10.3 percent compared to fiscal 2006, and diluted net earnings per share increased 16.8 percent over fiscal 2006. This was our 9</w:t>
      </w:r>
      <w:r>
        <w:rPr>
          <w:rFonts w:ascii="Arial" w:cs="Arial" w:eastAsia="Arial" w:hAnsi="Arial"/>
          <w:sz w:val="8"/>
          <w:szCs w:val="8"/>
          <w:color w:val="auto"/>
        </w:rPr>
        <w:t>th</w:t>
      </w:r>
      <w:r>
        <w:rPr>
          <w:rFonts w:ascii="Arial" w:cs="Arial" w:eastAsia="Arial" w:hAnsi="Arial"/>
          <w:sz w:val="18"/>
          <w:szCs w:val="18"/>
          <w:color w:val="auto"/>
        </w:rPr>
        <w:t xml:space="preserve"> consecutive fiscal year of double digit diluted net earnings per share growth before accounting changes.</w:t>
      </w:r>
    </w:p>
    <w:p>
      <w:pPr>
        <w:spacing w:after="0" w:line="14" w:lineRule="exact"/>
        <w:rPr>
          <w:rFonts w:ascii="Arial" w:cs="Arial" w:eastAsia="Arial" w:hAnsi="Arial"/>
          <w:sz w:val="18"/>
          <w:szCs w:val="18"/>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Despite continued commodity cost increases, fiscal 2007 gross margin rose to 36.1 percent compared to 35.0 percent in fiscal 2006 due in</w:t>
      </w:r>
    </w:p>
    <w:p>
      <w:pPr>
        <w:spacing w:after="0" w:line="63" w:lineRule="exact"/>
        <w:rPr>
          <w:sz w:val="20"/>
          <w:szCs w:val="20"/>
          <w:color w:val="auto"/>
        </w:rPr>
      </w:pPr>
    </w:p>
    <w:p>
      <w:pPr>
        <w:ind w:left="180" w:right="560"/>
        <w:spacing w:after="0" w:line="258" w:lineRule="auto"/>
        <w:rPr>
          <w:sz w:val="20"/>
          <w:szCs w:val="20"/>
          <w:color w:val="auto"/>
        </w:rPr>
      </w:pPr>
      <w:r>
        <w:rPr>
          <w:rFonts w:ascii="Arial" w:cs="Arial" w:eastAsia="Arial" w:hAnsi="Arial"/>
          <w:sz w:val="18"/>
          <w:szCs w:val="18"/>
          <w:color w:val="auto"/>
        </w:rPr>
        <w:t>part to improved margins on new products, moderate price increases introduced on some products, continued use of Lean methods to reduce costs, and a weaker U.S. dollar compared to other currencies in which we transact business.</w:t>
      </w:r>
    </w:p>
    <w:p>
      <w:pPr>
        <w:spacing w:after="0" w:line="14"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general, and administrative expense as a percentage of net sales slightly increased to 24.2 percent in fiscal 2007 compared to 24.0</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 in fiscal 2006.</w:t>
      </w:r>
    </w:p>
    <w:p>
      <w:pPr>
        <w:spacing w:after="0" w:line="23"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continued to generate strong cash flows from operations. Net cash provided by operating activities was $183.6 million in fiscal 2007</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compared to $190.3 million in fiscal 2006, a decrease of 3.5 percent.</w:t>
      </w:r>
    </w:p>
    <w:p>
      <w:pPr>
        <w:spacing w:after="0" w:line="23"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increased our fiscal 2007 quarterly cash dividend for the third consecutive year.</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continued with our stock repurchase program in fiscal 2007, which reduced our number of shares outstanding. This reduction resulted in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 increase in diluted net earnings per share of approximately $0.19 in fiscal 2007 compared to fiscal 2006.</w:t>
      </w:r>
    </w:p>
    <w:p>
      <w:pPr>
        <w:spacing w:after="0" w:line="23"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completed the acquisition of Rain Master Irrigation Systems, Inc. (Rain Master), which broadened our product offering for our Irritrol brand</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irrigation products.</w:t>
      </w:r>
    </w:p>
    <w:p>
      <w:pPr>
        <w:spacing w:after="0" w:line="23"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issued $125.0 million 30-year senior notes, which were used to pay off higher interest rate debt and for general corporate purposes.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condition remained strong in fiscal 2007 with continued emphasis on asset management. Average inventory levels and average</w:t>
      </w:r>
    </w:p>
    <w:p>
      <w:pPr>
        <w:spacing w:after="0" w:line="63" w:lineRule="exact"/>
        <w:rPr>
          <w:sz w:val="20"/>
          <w:szCs w:val="20"/>
          <w:color w:val="auto"/>
        </w:rPr>
      </w:pPr>
    </w:p>
    <w:p>
      <w:pPr>
        <w:ind w:left="180" w:right="120"/>
        <w:spacing w:after="0" w:line="271" w:lineRule="auto"/>
        <w:rPr>
          <w:sz w:val="20"/>
          <w:szCs w:val="20"/>
          <w:color w:val="auto"/>
        </w:rPr>
      </w:pPr>
      <w:r>
        <w:rPr>
          <w:rFonts w:ascii="Arial" w:cs="Arial" w:eastAsia="Arial" w:hAnsi="Arial"/>
          <w:sz w:val="18"/>
          <w:szCs w:val="18"/>
          <w:color w:val="auto"/>
        </w:rPr>
        <w:t>receivable balances increased by 4.3 percent and 0.3 percent, respectively, compared to fiscal 2006. This allowed us to continue to reinvest in product development, brand building, and new technologies; repurchase shares of our stock; fund acquisitions; and increase our cash dividend in fiscal 2007.</w:t>
      </w:r>
    </w:p>
    <w:p>
      <w:pPr>
        <w:sectPr>
          <w:pgSz w:w="11900" w:h="16838" w:orient="portrait"/>
          <w:cols w:equalWidth="0" w:num="1">
            <w:col w:w="11420"/>
          </w:cols>
          <w:pgMar w:left="240" w:top="106" w:right="23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GrowLean Initiative</w:t>
      </w:r>
    </w:p>
    <w:p>
      <w:pPr>
        <w:sectPr>
          <w:pgSz w:w="11900" w:h="16838" w:orient="portrait"/>
          <w:cols w:equalWidth="0" w:num="1">
            <w:col w:w="11420"/>
          </w:cols>
          <w:pgMar w:left="240" w:top="106" w:right="239" w:bottom="0" w:gutter="0" w:footer="0" w:header="0"/>
          <w:type w:val="continuous"/>
        </w:sectPr>
      </w:pPr>
    </w:p>
    <w:bookmarkStart w:id="19" w:name="page20"/>
    <w:bookmarkEnd w:id="19"/>
    <w:p>
      <w:pPr>
        <w:spacing w:after="0" w:line="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In fiscal 2007, we launched our next-generation “GrowLean” initiative for fiscal years 2007 through 2009. This initiative focuses our efforts more intensely on revenue growth and asset management while maximizing our use of Lean methods to reduce costs and improve quality and efficiency in our manufacturing facilities and corporate offices. We believe we have opportunities to create a leaner, cohesive enterprise that has the potential to deliver sustainable financial performance.</w:t>
      </w:r>
    </w:p>
    <w:p>
      <w:pPr>
        <w:spacing w:after="0" w:line="73"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4673B6"/>
        </w:rPr>
        <w:t xml:space="preserve">Building a Growth Enterprise. </w:t>
      </w:r>
      <w:r>
        <w:rPr>
          <w:rFonts w:ascii="Arial" w:cs="Arial" w:eastAsia="Arial" w:hAnsi="Arial"/>
          <w:sz w:val="18"/>
          <w:szCs w:val="18"/>
          <w:color w:val="000000"/>
        </w:rPr>
        <w:t>We have identified several strategic focus areas to drive revenue growth in our businesses and accelerate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opportunities to expand our global presence through stronger customer relations, acquisitions, alliances, and new partnerships. In order to meet our “GrowLean” initiative goal to grow net sales at an average annual rate of 8 percent or more over the three-year period ending October 31, 2009, we plan to invest in new product development, marketing, distribution, and other strategies to help build market share and strengthen our brands worldwide. At the same time, we plan to pursue targeted acquisitions using a disciplined approach that will add value to our existing brands and product portfolio. We also expect to increase our investment in developing innovative, customer-valued products to generate revenue growth. In the first year of our “GrowLean” initiative, our net sales growth rate was 2.2 percent .</w:t>
      </w:r>
    </w:p>
    <w:p>
      <w:pPr>
        <w:spacing w:after="0" w:line="73" w:lineRule="exact"/>
        <w:rPr>
          <w:sz w:val="20"/>
          <w:szCs w:val="20"/>
          <w:color w:val="auto"/>
        </w:rPr>
      </w:pPr>
    </w:p>
    <w:p>
      <w:pPr>
        <w:ind w:right="880"/>
        <w:spacing w:after="0" w:line="303" w:lineRule="auto"/>
        <w:rPr>
          <w:sz w:val="20"/>
          <w:szCs w:val="20"/>
          <w:color w:val="auto"/>
        </w:rPr>
      </w:pPr>
      <w:r>
        <w:rPr>
          <w:rFonts w:ascii="Arial" w:cs="Arial" w:eastAsia="Arial" w:hAnsi="Arial"/>
          <w:sz w:val="18"/>
          <w:szCs w:val="18"/>
          <w:b w:val="1"/>
          <w:bCs w:val="1"/>
          <w:i w:val="1"/>
          <w:iCs w:val="1"/>
          <w:color w:val="4673B6"/>
        </w:rPr>
        <w:t xml:space="preserve">Building a Lean Enterprise. </w:t>
      </w:r>
      <w:r>
        <w:rPr>
          <w:rFonts w:ascii="Arial" w:cs="Arial" w:eastAsia="Arial" w:hAnsi="Arial"/>
          <w:sz w:val="18"/>
          <w:szCs w:val="18"/>
          <w:color w:val="000000"/>
        </w:rPr>
        <w:t>Our continuous improvement journey, which was part of our two previous three-year initiatives, created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awareness on our part of the root causes of waste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inefficiency throughout our entire organization. We believe we now have a strong foundation on which to elevate our internal use of Lean tools while expanding them externally to our suppliers and distribution partners. The profitability goal within our “GrowLean” initiative is to achieve a consistent after-tax return on sales of 7 percent or more over the three-year period ending October 31, 2009. To accomplish this, we plan to continue to employ Lean methods, such as Value Stream Mapping, to identify and eliminate constraints and barriers within and across our businesses and functions. In addition, we plan to fine-tune enterprise-wide systems, such as Design for Manufacturing and Assembly, to deliver products more competitively and efficiently. In the first year of our “GrowLean” initiative, our after-tax return on sales was 7.6 percent.</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4673B6"/>
        </w:rPr>
        <w:t xml:space="preserve">Improving Asset Management. </w:t>
      </w:r>
      <w:r>
        <w:rPr>
          <w:rFonts w:ascii="Arial" w:cs="Arial" w:eastAsia="Arial" w:hAnsi="Arial"/>
          <w:sz w:val="18"/>
          <w:szCs w:val="18"/>
          <w:color w:val="000000"/>
        </w:rPr>
        <w:t>In our quest to become an integrated Lean enterprise, we are placing additional emphasis on asset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management. This is an endeavor that we believe will fundamentally change the way we do business, and we are in the early stages of this journey. Our long-term goal within our “GrowLean” initiative is to reduce average net working capital as a percent of net sales below 20 percent, or in the “teens.” We define net working capital as accounts receivable plus inventory less trade payables. In fiscal 2007, our average net working capital as a percentage of net sales was 29.4 percent.</w:t>
      </w:r>
    </w:p>
    <w:p>
      <w:pPr>
        <w:spacing w:after="0" w:line="1" w:lineRule="exact"/>
        <w:rPr>
          <w:sz w:val="20"/>
          <w:szCs w:val="20"/>
          <w:color w:val="auto"/>
        </w:rPr>
      </w:pPr>
    </w:p>
    <w:p>
      <w:pPr>
        <w:ind w:right="20" w:firstLine="180"/>
        <w:spacing w:after="0" w:line="268" w:lineRule="auto"/>
        <w:rPr>
          <w:sz w:val="20"/>
          <w:szCs w:val="20"/>
          <w:color w:val="auto"/>
        </w:rPr>
      </w:pPr>
      <w:r>
        <w:rPr>
          <w:rFonts w:ascii="Arial" w:cs="Arial" w:eastAsia="Arial" w:hAnsi="Arial"/>
          <w:sz w:val="18"/>
          <w:szCs w:val="18"/>
          <w:color w:val="auto"/>
        </w:rPr>
        <w:t>We have begun to reduce inventory everywhere in the system – within our plants and warehouses as well as at our distributors. Throughout the supply chain, we expect to reduce our costs as more of our products use the same components and we locate and negotiate better supplier agreements to only purchase what we need. In fiscal 2007, we continued to roll-out a pull-based production system that we plan to implement in all of our plants. The pull model is based on customer demand that trigger replenishment cycles throughout the supply chain. As manufacturing is then better synchronized with customer demand, we expect significant inventory reductions at our production facilities, somewhat tempered by the seasonal nature of our business. We expect that our focus on asset management will improve customer satisfaction by delivering the right products to the right distributor or dealer – at just the right time – to meet current demand.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Outlook for Fiscal 2008</w:t>
      </w:r>
    </w:p>
    <w:p>
      <w:pPr>
        <w:spacing w:after="0" w:line="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Overall, fiscal 2007 was a good year and we believe we are in a position for yet another good year in fiscal 2008. We believe the key drivers for our anticipated growth in fiscal 2008 will include, among many others, these main factors:</w:t>
      </w:r>
    </w:p>
    <w:p>
      <w:pPr>
        <w:spacing w:after="0" w:line="14"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markets will continue to be a focus for us to grow our revenues as we plan to continue to invest in new products designed</w:t>
      </w:r>
    </w:p>
    <w:p>
      <w:pPr>
        <w:spacing w:after="0" w:line="63" w:lineRule="exact"/>
        <w:rPr>
          <w:sz w:val="20"/>
          <w:szCs w:val="20"/>
          <w:color w:val="auto"/>
        </w:rPr>
      </w:pPr>
    </w:p>
    <w:p>
      <w:pPr>
        <w:ind w:left="180" w:right="640"/>
        <w:spacing w:after="0" w:line="258" w:lineRule="auto"/>
        <w:rPr>
          <w:sz w:val="20"/>
          <w:szCs w:val="20"/>
          <w:color w:val="auto"/>
        </w:rPr>
      </w:pPr>
      <w:r>
        <w:rPr>
          <w:rFonts w:ascii="Arial" w:cs="Arial" w:eastAsia="Arial" w:hAnsi="Arial"/>
          <w:sz w:val="18"/>
          <w:szCs w:val="18"/>
          <w:color w:val="auto"/>
        </w:rPr>
        <w:t>specifically for international markets and customers. Many opportunities exist abroad, especially in the golf market, and our goal is for international sales to comprise a larger percentage of our total consolidated net sales.</w:t>
      </w:r>
    </w:p>
    <w:p>
      <w:pPr>
        <w:spacing w:after="0" w:line="14"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anticipate continued success in our product innovation efforts and customer acceptance of our new products. Consistent with our focus</w:t>
      </w:r>
    </w:p>
    <w:p>
      <w:pPr>
        <w:spacing w:after="0" w:line="63" w:lineRule="exact"/>
        <w:rPr>
          <w:sz w:val="20"/>
          <w:szCs w:val="20"/>
          <w:color w:val="auto"/>
        </w:rPr>
      </w:pPr>
    </w:p>
    <w:p>
      <w:pPr>
        <w:ind w:left="180" w:right="600"/>
        <w:spacing w:after="0" w:line="258" w:lineRule="auto"/>
        <w:rPr>
          <w:sz w:val="20"/>
          <w:szCs w:val="20"/>
          <w:color w:val="auto"/>
        </w:rPr>
      </w:pPr>
      <w:r>
        <w:rPr>
          <w:rFonts w:ascii="Arial" w:cs="Arial" w:eastAsia="Arial" w:hAnsi="Arial"/>
          <w:sz w:val="18"/>
          <w:szCs w:val="18"/>
          <w:color w:val="auto"/>
        </w:rPr>
        <w:t>on asset management, our overall field inventory levels are within our expectations, and field inventory levels for landscape contractor equipment are down as of October 31, 2007 compared to October 31, 2006.</w:t>
      </w:r>
    </w:p>
    <w:p>
      <w:pPr>
        <w:spacing w:after="0" w:line="14"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anticipate growth in our professional segment as we plan to increase our market share by enhancing our product offering with innovative</w:t>
      </w:r>
    </w:p>
    <w:p>
      <w:pPr>
        <w:spacing w:after="0" w:line="63" w:lineRule="exact"/>
        <w:rPr>
          <w:sz w:val="20"/>
          <w:szCs w:val="20"/>
          <w:color w:val="auto"/>
        </w:rPr>
      </w:pPr>
    </w:p>
    <w:p>
      <w:pPr>
        <w:ind w:left="180" w:right="120"/>
        <w:spacing w:after="0" w:line="258" w:lineRule="auto"/>
        <w:rPr>
          <w:sz w:val="20"/>
          <w:szCs w:val="20"/>
          <w:color w:val="auto"/>
        </w:rPr>
      </w:pPr>
      <w:r>
        <w:rPr>
          <w:rFonts w:ascii="Arial" w:cs="Arial" w:eastAsia="Arial" w:hAnsi="Arial"/>
          <w:sz w:val="18"/>
          <w:szCs w:val="18"/>
          <w:color w:val="auto"/>
        </w:rPr>
        <w:t>new and improved products. For example, in fiscal 2008 we plan to increase our product offering of precision irrigation products designed to conserve water usage.</w:t>
      </w:r>
    </w:p>
    <w:p>
      <w:pPr>
        <w:spacing w:after="0" w:line="14"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Fiscal 2007 was a challenging year for our residential segment as weather and economic conditions were unfavorable to our business. These</w:t>
      </w:r>
    </w:p>
    <w:p>
      <w:pPr>
        <w:spacing w:after="0" w:line="63" w:lineRule="exact"/>
        <w:rPr>
          <w:sz w:val="20"/>
          <w:szCs w:val="20"/>
          <w:color w:val="auto"/>
        </w:rPr>
      </w:pPr>
    </w:p>
    <w:p>
      <w:pPr>
        <w:jc w:val="both"/>
        <w:ind w:left="180" w:right="140"/>
        <w:spacing w:after="0" w:line="261" w:lineRule="auto"/>
        <w:rPr>
          <w:sz w:val="20"/>
          <w:szCs w:val="20"/>
          <w:color w:val="auto"/>
        </w:rPr>
      </w:pPr>
      <w:r>
        <w:rPr>
          <w:rFonts w:ascii="Arial" w:cs="Arial" w:eastAsia="Arial" w:hAnsi="Arial"/>
          <w:sz w:val="18"/>
          <w:szCs w:val="18"/>
          <w:color w:val="auto"/>
        </w:rPr>
        <w:t>conditions continue to be a concern for us as we enter fiscal 2008. However, we are anticipating continued growth in the zero-turning radius riding mower market from the traditional riding tractor mowers and we expect the new products we introduced in fiscal 2007 will continue to be well received by our customers in fiscal 2008.</w:t>
      </w:r>
    </w:p>
    <w:p>
      <w:pPr>
        <w:spacing w:after="0" w:line="13"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fiscal 2007, we again experienced rising costs for commodities, and anticipate commodity costs to continue to increase in fiscal 2008.</w:t>
      </w:r>
    </w:p>
    <w:p>
      <w:pPr>
        <w:spacing w:after="0" w:line="63" w:lineRule="exact"/>
        <w:rPr>
          <w:sz w:val="20"/>
          <w:szCs w:val="20"/>
          <w:color w:val="auto"/>
        </w:rPr>
      </w:pPr>
    </w:p>
    <w:p>
      <w:pPr>
        <w:ind w:left="180" w:right="180"/>
        <w:spacing w:after="0" w:line="262" w:lineRule="auto"/>
        <w:rPr>
          <w:sz w:val="20"/>
          <w:szCs w:val="20"/>
          <w:color w:val="auto"/>
        </w:rPr>
      </w:pPr>
      <w:r>
        <w:rPr>
          <w:rFonts w:ascii="Arial" w:cs="Arial" w:eastAsia="Arial" w:hAnsi="Arial"/>
          <w:sz w:val="18"/>
          <w:szCs w:val="18"/>
          <w:color w:val="auto"/>
        </w:rPr>
        <w:t>These rising costs are expected to impede our gross margin growth rate in fiscal 2008 compared to fiscal 2007, as we anticipate that increased worldwide demand and other factors will drive commodity prices higher. We have made significant progress using Lean methods and principles, and we plan to continue this focus as part of our “GrowLean” initiative to offset these rising costs and implement select price increases on some products.</w:t>
      </w:r>
    </w:p>
    <w:p>
      <w:pPr>
        <w:spacing w:after="0" w:line="1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flows provided from operations are expected to improve in fiscal 2008 compared to fiscal 2007 as we plan to continue our focus on</w:t>
      </w:r>
    </w:p>
    <w:p>
      <w:pPr>
        <w:spacing w:after="0" w:line="63" w:lineRule="exact"/>
        <w:rPr>
          <w:sz w:val="20"/>
          <w:szCs w:val="20"/>
          <w:color w:val="auto"/>
        </w:rPr>
      </w:pPr>
    </w:p>
    <w:p>
      <w:pPr>
        <w:ind w:left="180" w:right="220"/>
        <w:spacing w:after="0" w:line="266" w:lineRule="auto"/>
        <w:rPr>
          <w:sz w:val="20"/>
          <w:szCs w:val="20"/>
          <w:color w:val="auto"/>
        </w:rPr>
      </w:pPr>
      <w:r>
        <w:rPr>
          <w:rFonts w:ascii="Arial" w:cs="Arial" w:eastAsia="Arial" w:hAnsi="Arial"/>
          <w:sz w:val="18"/>
          <w:szCs w:val="18"/>
          <w:color w:val="auto"/>
        </w:rPr>
        <w:t>improving asset utilization as part of our GrowLean initiative. We intend to reinvest this additional cash generated back into our businesses through investments in product development, brand building, share repurchases, and acquisitions.</w:t>
      </w:r>
    </w:p>
    <w:p>
      <w:pPr>
        <w:spacing w:after="0" w:line="271" w:lineRule="auto"/>
        <w:rPr>
          <w:sz w:val="20"/>
          <w:szCs w:val="20"/>
          <w:color w:val="auto"/>
        </w:rPr>
      </w:pPr>
      <w:r>
        <w:rPr>
          <w:rFonts w:ascii="Arial" w:cs="Arial" w:eastAsia="Arial" w:hAnsi="Arial"/>
          <w:sz w:val="18"/>
          <w:szCs w:val="18"/>
          <w:color w:val="auto"/>
        </w:rPr>
        <w:t>We will continue to keep a cautionary eye on the world economies, retail demand, field inventory levels, commodity prices, weather, competitive actions, and other factors identified in Part I, Item 1A, “Risk Factors” of this report, which could cause our actual results to differ from our anticipated outlook.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RESULTS OF OPERATIONS</w:t>
      </w:r>
    </w:p>
    <w:p>
      <w:pPr>
        <w:sectPr>
          <w:pgSz w:w="11900" w:h="16848" w:orient="portrait"/>
          <w:cols w:equalWidth="0" w:num="1">
            <w:col w:w="11420"/>
          </w:cols>
          <w:pgMar w:left="240" w:top="152" w:right="239" w:bottom="0" w:gutter="0" w:footer="0" w:header="0"/>
        </w:sectPr>
      </w:pPr>
    </w:p>
    <w:p>
      <w:pPr>
        <w:spacing w:after="0" w:line="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Fiscal 2007 net earnings were $142.4 million compared to $129.1 million in fiscal 2006, an increase of 10.3 percent. Fiscal 2007 diluted net earnings per share were $3.40, an increase of 16.8 percent over $2.91 per share in fiscal 2006. The primary factors contributing to the net</w:t>
      </w:r>
    </w:p>
    <w:p>
      <w:pPr>
        <w:sectPr>
          <w:pgSz w:w="11900" w:h="16848" w:orient="portrait"/>
          <w:cols w:equalWidth="0" w:num="1">
            <w:col w:w="11420"/>
          </w:cols>
          <w:pgMar w:left="240" w:top="152" w:right="239" w:bottom="0" w:gutter="0" w:footer="0" w:header="0"/>
          <w:type w:val="continuous"/>
        </w:sectPr>
      </w:pPr>
    </w:p>
    <w:bookmarkStart w:id="20" w:name="page21"/>
    <w:bookmarkEnd w:id="20"/>
    <w:p>
      <w:pPr>
        <w:ind w:right="480"/>
        <w:spacing w:after="0" w:line="277" w:lineRule="auto"/>
        <w:rPr>
          <w:sz w:val="20"/>
          <w:szCs w:val="20"/>
          <w:color w:val="auto"/>
        </w:rPr>
      </w:pPr>
      <w:r>
        <w:rPr>
          <w:rFonts w:ascii="Arial" w:cs="Arial" w:eastAsia="Arial" w:hAnsi="Arial"/>
          <w:sz w:val="18"/>
          <w:szCs w:val="18"/>
          <w:color w:val="auto"/>
        </w:rPr>
        <w:t>earnings increase were higher net sales and an increase in gross margins, somewhat offset by higher selling, general, and administrative expenses, and an increase in our effective tax rate. In addition, our share repurchase program</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resulted in an increase in diluted net earnings per share of approximately $0.19 in fiscal 2007 compared to fiscal 2006.</w:t>
      </w:r>
    </w:p>
    <w:p>
      <w:pPr>
        <w:spacing w:after="0" w:line="23" w:lineRule="exact"/>
        <w:rPr>
          <w:sz w:val="20"/>
          <w:szCs w:val="20"/>
          <w:color w:val="auto"/>
        </w:rPr>
      </w:pPr>
    </w:p>
    <w:p>
      <w:pPr>
        <w:ind w:right="160" w:firstLine="180"/>
        <w:spacing w:after="0" w:line="266" w:lineRule="auto"/>
        <w:rPr>
          <w:sz w:val="20"/>
          <w:szCs w:val="20"/>
          <w:color w:val="auto"/>
        </w:rPr>
      </w:pPr>
      <w:r>
        <w:rPr>
          <w:rFonts w:ascii="Arial" w:cs="Arial" w:eastAsia="Arial" w:hAnsi="Arial"/>
          <w:sz w:val="18"/>
          <w:szCs w:val="18"/>
          <w:color w:val="auto"/>
        </w:rPr>
        <w:t>Fiscal 2006 net earnings were $129.1 million compared to $114.1 million in fiscal 2005, an increase of 13.2 percent. Fiscal 2006 diluted net earnings per share were $2.91, an increase of 18.8 percent over $2.45 per share in fiscal 2005. The primary factors contributing to the net earnings increase were higher net sales, an increase in gross margins, improved leveraging of selling, general, and administrative expense, and higher other income, net.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152" w:lineRule="exact"/>
        <w:rPr>
          <w:sz w:val="20"/>
          <w:szCs w:val="20"/>
          <w:color w:val="auto"/>
        </w:rPr>
      </w:pPr>
    </w:p>
    <w:tbl>
      <w:tblPr>
        <w:tblLayout w:type="fixed"/>
        <w:tblInd w:w="3460" w:type="dxa"/>
        <w:tblCellMar>
          <w:top w:w="0" w:type="dxa"/>
          <w:left w:w="0" w:type="dxa"/>
          <w:bottom w:w="0" w:type="dxa"/>
          <w:right w:w="0" w:type="dxa"/>
        </w:tblCellMar>
      </w:tblPr>
      <w:tr>
        <w:trPr>
          <w:trHeight w:val="189"/>
        </w:trPr>
        <w:tc>
          <w:tcPr>
            <w:tcW w:w="2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2006</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6"/>
                <w:szCs w:val="16"/>
                <w:color w:val="auto"/>
              </w:rPr>
            </w:pPr>
          </w:p>
        </w:tc>
      </w:tr>
      <w:tr>
        <w:trPr>
          <w:trHeight w:val="169"/>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8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100.0% </w:t>
            </w:r>
            <w:r>
              <w:rPr>
                <w:rFonts w:ascii="Arial" w:cs="Arial" w:eastAsia="Arial" w:hAnsi="Arial"/>
                <w:sz w:val="14"/>
                <w:szCs w:val="14"/>
                <w:color w:val="auto"/>
              </w:rPr>
              <w:t>100.0% 100.0%</w:t>
            </w:r>
          </w:p>
        </w:tc>
      </w:tr>
      <w:tr>
        <w:trPr>
          <w:trHeight w:val="176"/>
        </w:trPr>
        <w:tc>
          <w:tcPr>
            <w:tcW w:w="264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(63.9)</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(65.0)</w:t>
            </w: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(65.4)</w:t>
            </w:r>
          </w:p>
        </w:tc>
      </w:tr>
      <w:tr>
        <w:trPr>
          <w:trHeight w:val="169"/>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Gross margin</w:t>
            </w: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36.1</w:t>
            </w:r>
          </w:p>
        </w:tc>
        <w:tc>
          <w:tcPr>
            <w:tcW w:w="5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Borders>
              <w:top w:val="single" w:sz="8" w:color="CCEEFF"/>
            </w:tcBorders>
            <w:shd w:val="clear" w:color="auto" w:fill="CCEEFF"/>
          </w:tcPr>
          <w:p>
            <w:pPr>
              <w:spacing w:after="0"/>
              <w:rPr>
                <w:sz w:val="14"/>
                <w:szCs w:val="14"/>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4"/>
                <w:szCs w:val="14"/>
                <w:b w:val="1"/>
                <w:bCs w:val="1"/>
                <w:color w:val="auto"/>
              </w:rPr>
              <w:t>expense</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(24.2)</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(24.3)</w:t>
            </w:r>
          </w:p>
        </w:tc>
      </w:tr>
      <w:tr>
        <w:trPr>
          <w:trHeight w:val="176"/>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r>
      <w:tr>
        <w:trPr>
          <w:trHeight w:val="176"/>
        </w:trPr>
        <w:tc>
          <w:tcPr>
            <w:tcW w:w="2640" w:type="dxa"/>
            <w:vAlign w:val="bottom"/>
          </w:tcPr>
          <w:p>
            <w:pPr>
              <w:spacing w:after="0"/>
              <w:rPr>
                <w:sz w:val="20"/>
                <w:szCs w:val="20"/>
                <w:color w:val="auto"/>
              </w:rPr>
            </w:pPr>
            <w:r>
              <w:rPr>
                <w:rFonts w:ascii="Arial" w:cs="Arial" w:eastAsia="Arial" w:hAnsi="Arial"/>
                <w:sz w:val="14"/>
                <w:szCs w:val="14"/>
                <w:b w:val="1"/>
                <w:bCs w:val="1"/>
                <w:color w:val="auto"/>
              </w:rPr>
              <w:t>Other income, net</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0.5</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5"/>
                <w:szCs w:val="15"/>
                <w:color w:val="auto"/>
              </w:rPr>
            </w:pPr>
          </w:p>
        </w:tc>
      </w:tr>
      <w:tr>
        <w:trPr>
          <w:trHeight w:val="176"/>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r>
      <w:tr>
        <w:trPr>
          <w:trHeight w:val="169"/>
        </w:trPr>
        <w:tc>
          <w:tcPr>
            <w:tcW w:w="2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earnings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w w:val="79"/>
              </w:rPr>
              <w:t>%</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Fiscal 2007 Compared With Fiscal 2006</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2007 were $1,876.9 million compared to $1,836.0 million in fiscal 2006, an increase of 2.2 percent. Net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sales growth was primarily driven by:</w:t>
      </w:r>
    </w:p>
    <w:p>
      <w:pPr>
        <w:spacing w:after="0" w:line="14"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Strong international net sales that grew 9.6 percent as a result of continued demand in international markets, particularly in the golf market,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the successful introduction of new products.</w:t>
      </w:r>
    </w:p>
    <w:p>
      <w:pPr>
        <w:spacing w:after="0" w:line="23"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weaker U.S. dollar compared to other worldwide currencies in which we transact business, which accounted for approximately $24 million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our sales growth.</w:t>
      </w:r>
    </w:p>
    <w:p>
      <w:pPr>
        <w:spacing w:after="0" w:line="23"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professional segment net sales due to the successful introduction of new products and growth in the sports fields and grounds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was:</w:t>
      </w:r>
    </w:p>
    <w:p>
      <w:pPr>
        <w:spacing w:after="0" w:line="23"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decline in residential segment net sales primarily from lower shipments of snow thrower products due to the lack of snow fall in key markets</w:t>
      </w:r>
    </w:p>
    <w:p>
      <w:pPr>
        <w:spacing w:after="0" w:line="75" w:lineRule="exact"/>
        <w:rPr>
          <w:sz w:val="20"/>
          <w:szCs w:val="20"/>
          <w:color w:val="auto"/>
        </w:rPr>
      </w:pPr>
    </w:p>
    <w:p>
      <w:pPr>
        <w:ind w:left="180" w:right="200"/>
        <w:spacing w:after="0" w:line="258" w:lineRule="auto"/>
        <w:rPr>
          <w:sz w:val="20"/>
          <w:szCs w:val="20"/>
          <w:color w:val="auto"/>
        </w:rPr>
      </w:pPr>
      <w:r>
        <w:rPr>
          <w:rFonts w:ascii="Arial" w:cs="Arial" w:eastAsia="Arial" w:hAnsi="Arial"/>
          <w:sz w:val="18"/>
          <w:szCs w:val="18"/>
          <w:color w:val="auto"/>
        </w:rPr>
        <w:t>during the winter season of 2006-2007, which was partially offset by an increase of riding and walk power mower product shipments as we introduced new innovative and enhanced products that were well received by consumers.</w:t>
      </w:r>
    </w:p>
    <w:p>
      <w:pPr>
        <w:spacing w:after="0" w:line="14"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landscape contractor equipment product sales due mainly to efforts to reduce field inventory levels as part of our asset improvement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initiative, somewhat offset by the successful introduction of new products.</w:t>
      </w:r>
    </w:p>
    <w:p>
      <w:pPr>
        <w:spacing w:after="0" w:line="23"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Looking ahead, we expect our net sales annual growth rate to be higher in fiscal 2008 than in fiscal 2007, driven primarily by the successful introduction of new products and anticipated continued growth in our international businesses and zero-turning radius riding mower market.</w:t>
      </w:r>
    </w:p>
    <w:p>
      <w:pPr>
        <w:spacing w:after="0" w:line="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4673B6"/>
        </w:rPr>
        <w:t xml:space="preserve">Gross Margin. </w:t>
      </w:r>
      <w:r>
        <w:rPr>
          <w:rFonts w:ascii="Arial" w:cs="Arial" w:eastAsia="Arial" w:hAnsi="Arial"/>
          <w:sz w:val="18"/>
          <w:szCs w:val="18"/>
          <w:color w:val="000000"/>
        </w:rPr>
        <w:t>Gross margin represents gross profit (net sales less cost of sales) as a percentage of net sales. See Note 1 of the notes to our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consolidated financial statements, section entitled Cost of Sales, for a description of expenses included in cost of sales. Gross margin increased by 1.1 percentage points to 36.1 percent in fiscal 2007 from 35.0 percent in fiscal 2006. This increase was mainly the result of the following factors:</w:t>
      </w:r>
    </w:p>
    <w:p>
      <w:pPr>
        <w:spacing w:after="0" w:line="16"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of higher-margin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reduction efforts, including benefits from past and continuing profit improvement initiatives.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weaker U.S. dollar compared to most other worldwide currencies in which we transact business.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charge for customs duties last fiscal year that negatively impacted gross margins in fiscal 2006.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Continued rising commodity costs.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manufacturing costs from lower plant utilization as we cut production in an effort to lower inventory levels.</w:t>
      </w:r>
    </w:p>
    <w:p>
      <w:pPr>
        <w:spacing w:after="0" w:line="63" w:lineRule="exact"/>
        <w:rPr>
          <w:sz w:val="20"/>
          <w:szCs w:val="20"/>
          <w:color w:val="auto"/>
        </w:rPr>
      </w:pPr>
    </w:p>
    <w:p>
      <w:pPr>
        <w:ind w:right="480" w:firstLine="180"/>
        <w:spacing w:after="0" w:line="271" w:lineRule="auto"/>
        <w:rPr>
          <w:sz w:val="20"/>
          <w:szCs w:val="20"/>
          <w:color w:val="auto"/>
        </w:rPr>
      </w:pPr>
      <w:r>
        <w:rPr>
          <w:rFonts w:ascii="Arial" w:cs="Arial" w:eastAsia="Arial" w:hAnsi="Arial"/>
          <w:sz w:val="18"/>
          <w:szCs w:val="18"/>
          <w:color w:val="auto"/>
        </w:rPr>
        <w:t>Looking ahead, we expect gross margin for fiscal 2008 compared to fiscal 2007 to be flat or to slightly improve. We anticipate that price increases and benefits from our ongoing profit improvement initiatives, driven by our emphasis on Lean manufacturing, will in part offset anticipated higher costs of commodities.</w:t>
      </w:r>
    </w:p>
    <w:p>
      <w:pPr>
        <w:spacing w:after="0" w:line="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4673B6"/>
        </w:rPr>
        <w:t xml:space="preserve">Selling, General, and Administrative (SG&amp;A) Expense. </w:t>
      </w:r>
      <w:r>
        <w:rPr>
          <w:rFonts w:ascii="Arial" w:cs="Arial" w:eastAsia="Arial" w:hAnsi="Arial"/>
          <w:sz w:val="18"/>
          <w:szCs w:val="18"/>
          <w:color w:val="000000"/>
        </w:rPr>
        <w:t>SG&amp;A expense increased $14.3 million or 3.2 percent from fiscal 2006. See Note 1</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of the notes to our consolidated financial statements, section entitled Selling, General, and Administrative Expense, for a description of expenses included in SG&amp;A expense. SG&amp;A expense rate represents SG&amp;A expenses as a percentage of net sales. SG&amp;A expense rate increased slightly to 24.2 percent in fiscal 2007 compared to 24.0 percent in fiscal 2006. The increase in SG&amp;A expense rate was due to the rate of increase of our overall SG&amp;A costs that outpaced our sales growth rate of 2.2 percent as well as the following other factors:</w:t>
      </w:r>
    </w:p>
    <w:p>
      <w:pPr>
        <w:spacing w:after="0" w:line="14"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Fiscal 2007 self-insurance costs were up because we did not have the same reduction of insurance costs from favorable claims experience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in fiscal 2006.</w:t>
      </w:r>
    </w:p>
    <w:p>
      <w:pPr>
        <w:spacing w:after="0" w:line="23"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increases in investments for engineering.</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incentive compensation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3" w:lineRule="exact"/>
        <w:rPr>
          <w:sz w:val="20"/>
          <w:szCs w:val="20"/>
          <w:color w:val="auto"/>
        </w:rPr>
      </w:pPr>
    </w:p>
    <w:p>
      <w:pPr>
        <w:ind w:left="180" w:right="200" w:hanging="172"/>
        <w:spacing w:after="0" w:line="324" w:lineRule="auto"/>
        <w:tabs>
          <w:tab w:leader="none" w:pos="1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warranty expense due to a reduction of special warranty provisions for major product modifications in fiscal 2007, compared to fiscal 2006 in which we incurred special warranty provisions for major product modifications and a product recall.</w:t>
      </w:r>
    </w:p>
    <w:p>
      <w:pPr>
        <w:sectPr>
          <w:pgSz w:w="11900" w:h="16838" w:orient="portrait"/>
          <w:cols w:equalWidth="0" w:num="1">
            <w:col w:w="11400"/>
          </w:cols>
          <w:pgMar w:left="240" w:top="152" w:right="259" w:bottom="0" w:gutter="0" w:footer="0" w:header="0"/>
        </w:sectPr>
      </w:pPr>
    </w:p>
    <w:bookmarkStart w:id="21" w:name="page22"/>
    <w:bookmarkEnd w:id="21"/>
    <w:p>
      <w:pPr>
        <w:ind w:right="60" w:firstLine="180"/>
        <w:spacing w:after="0" w:line="277" w:lineRule="auto"/>
        <w:rPr>
          <w:sz w:val="20"/>
          <w:szCs w:val="20"/>
          <w:color w:val="auto"/>
        </w:rPr>
      </w:pPr>
      <w:r>
        <w:rPr>
          <w:rFonts w:ascii="Arial" w:cs="Arial" w:eastAsia="Arial" w:hAnsi="Arial"/>
          <w:sz w:val="18"/>
          <w:szCs w:val="18"/>
          <w:color w:val="auto"/>
        </w:rPr>
        <w:t>Looking ahead, SG&amp;A expense is expected to increase, and our SG&amp;A expense rate is expected to remain the same or increase slightly in fiscal 2008 compared to fiscal 2007, as we expect to continue to increase our investments in engineering, marketing, and information systems.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2007 increased by 10.0 percent compared to fiscal 2006 due to higher average levels of debt and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slightly higher average interest rates.</w:t>
      </w:r>
    </w:p>
    <w:p>
      <w:pPr>
        <w:spacing w:after="0" w:line="45"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consists mainly of interest income, financing revenue, litigation settlements and recoveries, currency</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exchange rate gains and losses, and equity losses from investments. Other income, net for fiscal 2007 increased $1.5 million compared to fiscal 2006. This increase was due mainly to the following factors:</w:t>
      </w:r>
    </w:p>
    <w:p>
      <w:pPr>
        <w:spacing w:after="0" w:line="15"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interest income.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losses on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3"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litigation settlement recoveries compared to those we received in fiscal 2006.</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decline in financing revenue.</w:t>
      </w:r>
    </w:p>
    <w:p>
      <w:pPr>
        <w:spacing w:after="0" w:line="14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2007 was 33.2 percent compared to 33.0 in fiscal 2006. The increase in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effective tax rate was due to the unfavorable timing of the phase-out/phase-in provisions of the United States export exclusion compared to the domestic manufacturing deduction, somewhat offset by an increase in benefits related to the domestic research credit in fiscal 2007 compared to fiscal 2006 as a result of the retroactive extension of this credit by the Tax Relief and Health Care Act of 2006.</w:t>
      </w:r>
    </w:p>
    <w:p>
      <w:pPr>
        <w:spacing w:after="0" w:line="2" w:lineRule="exact"/>
        <w:rPr>
          <w:sz w:val="20"/>
          <w:szCs w:val="20"/>
          <w:color w:val="auto"/>
        </w:rPr>
      </w:pPr>
    </w:p>
    <w:p>
      <w:pPr>
        <w:jc w:val="both"/>
        <w:ind w:right="680" w:firstLine="180"/>
        <w:spacing w:after="0" w:line="271" w:lineRule="auto"/>
        <w:rPr>
          <w:sz w:val="20"/>
          <w:szCs w:val="20"/>
          <w:color w:val="auto"/>
        </w:rPr>
      </w:pPr>
      <w:r>
        <w:rPr>
          <w:rFonts w:ascii="Arial" w:cs="Arial" w:eastAsia="Arial" w:hAnsi="Arial"/>
          <w:sz w:val="18"/>
          <w:szCs w:val="18"/>
          <w:color w:val="auto"/>
        </w:rPr>
        <w:t>Looking ahead, the tax rate for fiscal 2008 is expected to be approximately 34.3 percent. This increase is the result of the retroactive extension of the domestic research credit that allowed a residual amount of our domestic research credit generated in fiscal 2006 to be recognized in fiscal 2007, which benefited our fiscal 2007 tax rate.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Fiscal 2006 Compared With Fiscal 2005</w:t>
      </w:r>
    </w:p>
    <w:p>
      <w:pPr>
        <w:spacing w:after="0" w:line="126"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2006 were $1,836.0 million compared to $1,779.4 million in fiscal 2005, an increase of 3.2 percent.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Factoring out the effect of the additional sales from Hayter Limited (Hayter), which we acquired in February 2005, net sales increased 2.8 percent in fiscal 2006 compared to fiscal 2005. Net sales growth was primarily driven by:</w:t>
      </w:r>
    </w:p>
    <w:p>
      <w:pPr>
        <w:spacing w:after="0" w:line="15"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Strong international net sales that grew 12.6 percent as a result of the acquisition of Hayter, as well as increased worldwide demand and new</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 introduced within the past two years.</w:t>
      </w:r>
    </w:p>
    <w:p>
      <w:pPr>
        <w:spacing w:after="0" w:line="23"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 price increases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sales in most of the professional segment markets due to the success of introducing new products, strong retail demand,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growth in the worldwide golf 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was:</w:t>
      </w:r>
    </w:p>
    <w:p>
      <w:pPr>
        <w:spacing w:after="0" w:line="23"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decline in domestic residential segment net sales for most product lines primarily as a result of a slow down in consumer spending for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outdoor power equipment in the U.S. during the spring/summer season in 2006 and unfavorable weather conditions.</w:t>
      </w:r>
    </w:p>
    <w:p>
      <w:pPr>
        <w:spacing w:after="0" w:line="23"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currency exchange rates that reduced our net sales by approximately $6.5 million.</w:t>
      </w:r>
    </w:p>
    <w:p>
      <w:pPr>
        <w:spacing w:after="0" w:line="14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4673B6"/>
        </w:rPr>
        <w:t xml:space="preserve">Gross Margin. </w:t>
      </w:r>
      <w:r>
        <w:rPr>
          <w:rFonts w:ascii="Arial" w:cs="Arial" w:eastAsia="Arial" w:hAnsi="Arial"/>
          <w:sz w:val="18"/>
          <w:szCs w:val="18"/>
          <w:color w:val="000000"/>
        </w:rPr>
        <w:t>Gross margin increased by 0.4 percentage points to 35.0 percent in fiscal 2006 from 34.6 percent in fiscal 2005. This increase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was mainly the result of the following factors:</w:t>
      </w:r>
    </w:p>
    <w:p>
      <w:pPr>
        <w:spacing w:after="0" w:line="14"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higher proportionate share of professional segment sales that carry higher average gross margins than residential segment sales.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 reduction efforts, including benefits from past and continuing profit improvement initiatives.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excess and obsolete parts inventory expense.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Hayter acquisition, which negatively impacted gross margins in fiscal 2005, due to the purchase accounting effect of recording the fair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value of the inventory acquired as the inventory was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rising commodity costs, as well as higher freight costs due to higher fuel costs and an increase in demand for transportation.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gross margins for a new line of riding products in the residential segment introduced in fiscal 2006.</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charge for customs duties.</w:t>
      </w:r>
    </w:p>
    <w:p>
      <w:pPr>
        <w:spacing w:after="0" w:line="149"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4673B6"/>
        </w:rPr>
        <w:t xml:space="preserve">Selling, General, and Administrative (SG&amp;A) Expense. </w:t>
      </w:r>
      <w:r>
        <w:rPr>
          <w:rFonts w:ascii="Arial" w:cs="Arial" w:eastAsia="Arial" w:hAnsi="Arial"/>
          <w:sz w:val="18"/>
          <w:szCs w:val="18"/>
          <w:color w:val="000000"/>
        </w:rPr>
        <w:t>SG&amp;A expense increased $7.8 million or 1.8 percent from fiscal 2005. SG&amp;A</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expense rate decreased to 24.0 percent in fiscal 2006 compared to 24.3 percent in fiscal 2005. The decrease in SG&amp;A expense rate was due primarily to the following factors:</w:t>
      </w:r>
    </w:p>
    <w:p>
      <w:pPr>
        <w:spacing w:after="0" w:line="1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reduction in self-insurance costs due to favorable claims experience.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Lower incentive compensation expense due mainly to less favorable financial results for our long-term incentive plans.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Leveraging the fixed portion of SG&amp;A costs over higher sales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decreases were:</w:t>
      </w:r>
    </w:p>
    <w:p>
      <w:pPr>
        <w:spacing w:after="0" w:line="23"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investments in engineering, marketing, service, and information systems.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warranty expense due mainly to special provisions for major product modifications and a product recall.</w:t>
      </w:r>
    </w:p>
    <w:p>
      <w:pPr>
        <w:spacing w:after="0" w:line="149"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2006 slightly decreased by 0.3 percent compared to fiscal 2005 due to lower average levels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short-term debt, which was somewhat offset by higher average interest rates.</w:t>
      </w:r>
    </w:p>
    <w:p>
      <w:pPr>
        <w:sectPr>
          <w:pgSz w:w="11900" w:h="16838" w:orient="portrait"/>
          <w:cols w:equalWidth="0" w:num="1">
            <w:col w:w="11400"/>
          </w:cols>
          <w:pgMar w:left="240" w:top="152" w:right="259" w:bottom="225" w:gutter="0" w:footer="0" w:header="0"/>
        </w:sectPr>
      </w:pPr>
    </w:p>
    <w:bookmarkStart w:id="22" w:name="page23"/>
    <w:bookmarkEnd w:id="22"/>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for fiscal 2006 increased $2.3 million compared to fiscal 2005. This increase was due mainly to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following factors:</w:t>
      </w:r>
    </w:p>
    <w:p>
      <w:pPr>
        <w:spacing w:after="0" w:line="14"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Currency exchange rate gains in fiscal 2006 compared to currency exchange rate losses in fiscal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litigation settlement recoveries.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loss on the sale of a business in fiscal 2005.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2006 remained unchanged at 33.0 percent compared to fiscal 2005.</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PERFORMANCE BY BUSINESS SEGMENT</w:t>
      </w:r>
    </w:p>
    <w:p>
      <w:pPr>
        <w:spacing w:after="0" w:line="4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As more fully described in Note 11 of the notes to consolidated financial statements, we operate in two reportable business segments: professional and residential. A third reportable segment called “other” consists of company-owned distributor operations in the United States, corporate activities, and financing functions. Operating earnings for each of our two business segments is defined as earnings from operations plus other income, net. Operating loss for the “other” segment includes earnings (loss) from domestic wholly owned distribution company operations, corporate activities, including corporate financing activities, other income, and interest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Professional</w:t>
      </w:r>
    </w:p>
    <w:p>
      <w:pPr>
        <w:spacing w:after="0" w:line="4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Professional segment net sales represented 68 percent, 67 percent, and 64 percent of consolidated net sales for fiscal 2007, 2006, and 2005, respectively. The following table shows the professional segment net sales, operating earnings, and operating earnings as a percent of net sales.</w:t>
      </w:r>
    </w:p>
    <w:p>
      <w:pPr>
        <w:spacing w:after="0" w:line="171"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2006</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1,270.5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1,224.8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254.2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professional segment in fiscal 2007 were up 3.7 percent compared to fiscal 2006 primarily as a result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the following factors:</w:t>
      </w:r>
    </w:p>
    <w:p>
      <w:pPr>
        <w:spacing w:after="0" w:line="14"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international net sales as a result of continued strong demand and growth in international markets, particularly in the golf market, as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well as a weaker U.S. dollar compared to the other worldwide currencies in which we transact business.</w:t>
      </w:r>
    </w:p>
    <w:p>
      <w:pPr>
        <w:spacing w:after="0" w:line="23"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Strong worldwide demand and growth in the sports fields and grounds markets that resulted in higher equipment product sales.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new products introduced within the past two years.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sales from the acquisition of Rain Master.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shipments of landscape contractor equipment due mainly to efforts to reduce field inventory levels, which were lower as of the end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fiscal 2007 compared to the end of fiscal 2006, moderated by the successful introduction of new products.</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Worldwide net sales for the professional segment in fiscal 2006 were up 6.9 percent compared to fiscal 2005. Worldwide shipments of most product lines increased due to the successful introduction of new products and price increases introduced on some products. In addition, strong worldwide demand in the golf and sports fields and grounds markets resulted in higher equipment and irrigation product sales. International professional segment net sales were up significantly due to strong demand in the golf market and the acquisition of Hayter.</w:t>
      </w:r>
    </w:p>
    <w:p>
      <w:pPr>
        <w:spacing w:after="0" w:line="1" w:lineRule="exact"/>
        <w:rPr>
          <w:sz w:val="20"/>
          <w:szCs w:val="20"/>
          <w:color w:val="auto"/>
        </w:rPr>
      </w:pPr>
    </w:p>
    <w:p>
      <w:pPr>
        <w:ind w:right="340" w:firstLine="180"/>
        <w:spacing w:after="0" w:line="271" w:lineRule="auto"/>
        <w:rPr>
          <w:sz w:val="20"/>
          <w:szCs w:val="20"/>
          <w:color w:val="auto"/>
        </w:rPr>
      </w:pPr>
      <w:r>
        <w:rPr>
          <w:rFonts w:ascii="Arial" w:cs="Arial" w:eastAsia="Arial" w:hAnsi="Arial"/>
          <w:sz w:val="18"/>
          <w:szCs w:val="18"/>
          <w:color w:val="auto"/>
        </w:rPr>
        <w:t>Looking ahead, net sales for the professional segment are expected to increase in fiscal 2008 compared to fiscal 2007 as we expect new products to be well received and to increase our market share, and we anticipate continued growth in international markets as well as the incremental impact of additional sales from the acquisition of Rain Master.</w:t>
      </w:r>
    </w:p>
    <w:p>
      <w:pPr>
        <w:spacing w:after="0" w:line="7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professional segment in fiscal 2007 increased 11.6 percent compared to fiscal 2006.</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Expressed as a percentage of net sales, professional segment operating margins increased to 20.0 percent compared to 18.6 percent in fiscal 2006. The following factors impacted professional segment operating earnings:</w:t>
      </w:r>
    </w:p>
    <w:p>
      <w:pPr>
        <w:spacing w:after="0" w:line="15" w:lineRule="exact"/>
        <w:rPr>
          <w:sz w:val="20"/>
          <w:szCs w:val="20"/>
          <w:color w:val="auto"/>
        </w:rPr>
      </w:pPr>
    </w:p>
    <w:p>
      <w:pPr>
        <w:ind w:left="160" w:hanging="152"/>
        <w:spacing w:after="0"/>
        <w:tabs>
          <w:tab w:leader="none" w:pos="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gross margins in fiscal 2007 compared to fiscal 2006 due to increased sales of higher margin products, price increases on some</w:t>
      </w:r>
    </w:p>
    <w:p>
      <w:pPr>
        <w:spacing w:after="0" w:line="63" w:lineRule="exact"/>
        <w:rPr>
          <w:sz w:val="20"/>
          <w:szCs w:val="20"/>
          <w:color w:val="auto"/>
        </w:rPr>
      </w:pPr>
    </w:p>
    <w:p>
      <w:pPr>
        <w:ind w:left="180" w:right="20"/>
        <w:spacing w:after="0" w:line="261" w:lineRule="auto"/>
        <w:rPr>
          <w:sz w:val="20"/>
          <w:szCs w:val="20"/>
          <w:color w:val="auto"/>
        </w:rPr>
      </w:pPr>
      <w:r>
        <w:rPr>
          <w:rFonts w:ascii="Arial" w:cs="Arial" w:eastAsia="Arial" w:hAnsi="Arial"/>
          <w:sz w:val="18"/>
          <w:szCs w:val="18"/>
          <w:color w:val="auto"/>
        </w:rPr>
        <w:t>products, continued cost reduction efforts, including benefits from past and continuing profit improvement initiatives, and a weaker U.S. dollar compared to most other worldwide currencies in which we transact business. However, higher manufacturing costs from lower plant utilization somewhat tempered the increase in gross margins and operating earnings.</w:t>
      </w:r>
    </w:p>
    <w:p>
      <w:pPr>
        <w:spacing w:after="0" w:line="13" w:lineRule="exact"/>
        <w:rPr>
          <w:sz w:val="20"/>
          <w:szCs w:val="20"/>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SG&amp;A expense rate was higher in fiscal 2007 compared to 2006 due to increased investments in engineering and marketing, somewhat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offset by a decline in warranty expense.</w:t>
      </w:r>
    </w:p>
    <w:p>
      <w:pPr>
        <w:spacing w:after="0" w:line="23" w:lineRule="exact"/>
        <w:rPr>
          <w:sz w:val="20"/>
          <w:szCs w:val="20"/>
          <w:color w:val="auto"/>
        </w:rPr>
      </w:pPr>
    </w:p>
    <w:p>
      <w:pPr>
        <w:ind w:right="40" w:firstLine="180"/>
        <w:spacing w:after="0" w:line="269" w:lineRule="auto"/>
        <w:rPr>
          <w:sz w:val="20"/>
          <w:szCs w:val="20"/>
          <w:color w:val="auto"/>
        </w:rPr>
      </w:pPr>
      <w:r>
        <w:rPr>
          <w:rFonts w:ascii="Arial" w:cs="Arial" w:eastAsia="Arial" w:hAnsi="Arial"/>
          <w:sz w:val="18"/>
          <w:szCs w:val="18"/>
          <w:color w:val="auto"/>
        </w:rPr>
        <w:t>Operating earnings for the professional segment in fiscal 2006 increased 9.8 percent compared to fiscal 2005. Expressed as a percentage of net sales, professional segment operating margins increased to 18.6 percent in fiscal 2006 compared to 18.1 percent in fiscal 2005. The operating profit improvement was due mainly to higher gross margins as a result of cost reduction efforts from profit improvement initiatives, price increases on some products, and increased sales of higher margin products, somewhat offset by higher commodity costs and freight expense. Higher SG&amp;A</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expense rate somewhat hampered the increase in operating earnings due to higher warranty expense and increased investments for marketing, engineering, and service.</w:t>
      </w:r>
    </w:p>
    <w:p>
      <w:pPr>
        <w:sectPr>
          <w:pgSz w:w="11900" w:h="16915" w:orient="portrait"/>
          <w:cols w:equalWidth="0" w:num="1">
            <w:col w:w="11420"/>
          </w:cols>
          <w:pgMar w:left="240" w:top="152" w:right="239" w:bottom="0" w:gutter="0" w:footer="0" w:header="0"/>
        </w:sectPr>
      </w:pPr>
    </w:p>
    <w:bookmarkStart w:id="23" w:name="page24"/>
    <w:bookmarkEnd w:id="23"/>
    <w:p>
      <w:pPr>
        <w:spacing w:after="0" w:line="90" w:lineRule="exact"/>
        <w:rPr>
          <w:sz w:val="20"/>
          <w:szCs w:val="20"/>
          <w:color w:val="auto"/>
        </w:rPr>
      </w:pPr>
    </w:p>
    <w:p>
      <w:pPr>
        <w:ind w:right="180" w:firstLine="180"/>
        <w:spacing w:after="0" w:line="277" w:lineRule="auto"/>
        <w:rPr>
          <w:sz w:val="20"/>
          <w:szCs w:val="20"/>
          <w:color w:val="auto"/>
        </w:rPr>
      </w:pPr>
      <w:r>
        <w:rPr>
          <w:rFonts w:ascii="Arial" w:cs="Arial" w:eastAsia="Arial" w:hAnsi="Arial"/>
          <w:sz w:val="18"/>
          <w:szCs w:val="18"/>
          <w:color w:val="auto"/>
        </w:rPr>
        <w:t>Looking ahead, professional segment operating earnings are anticipated to improve in fiscal 2008 compared to fiscal 2007 due to expected sales growth, expected improvement in gross margins, and leveraging fixed SG&amp;A expense over anticipated higher sales volumes.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Residential</w:t>
      </w:r>
    </w:p>
    <w:p>
      <w:pPr>
        <w:spacing w:after="0" w:line="4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Residential segment net sales represented 30 percent, 31 percent, and 33 percent of consolidated net sales for fiscal 2007, 2006, and 2005, respectively. The following table shows the residential segment net sales, operating earnings, and operating earnings as a percent of net sales.</w:t>
      </w:r>
    </w:p>
    <w:p>
      <w:pPr>
        <w:spacing w:after="0" w:line="141"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563.5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(0.6)%</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residential segment in fiscal 2007 were slightly down by 0.6 percent compared to fiscal 2006 primarily</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as a result of the following factors:</w:t>
      </w:r>
    </w:p>
    <w:p>
      <w:pPr>
        <w:spacing w:after="0" w:line="14"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reduction in shipments of snow thrower products as a result of the lower levels of snow fall during the 2006-2007 winter season in key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markets.</w:t>
      </w:r>
    </w:p>
    <w:p>
      <w:pPr>
        <w:spacing w:after="0" w:line="23"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electric trimmer product shipments due to lost placement at a key retailer.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3"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Strong worldwide demand of riding products as we introduced our new generation zero-turning radius riding mowers.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shipments of walk power mowers due to the successful introduction of new and enhanced models.</w:t>
      </w:r>
    </w:p>
    <w:p>
      <w:pPr>
        <w:spacing w:after="0" w:line="6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Worldwide net sales for the residential segment in fiscal 2006 were down 2.9 percent compared to fiscal 2005. This decline was due primarily to lower sales of walk power mowers and electric trimmers as a result of weakened domestic economic conditions and lower consumer spending for outdoor power equipment during the spring/summer season in 2006. Snow thrower product sales in the domestic market also decreased as a result of lower levels of snow fall in the U.S. during the 2005-2006 winter season. In addition, retail irrigation product sales sold through the home center distribution channel were down due to unfavorable weather conditions in key domestic markets and lost placement of certain models at a key retailer. However, shipments of riding products increased as we introduced new models and expanded product placement at a key retailer. International residential segment sales also increased due to new product introductions, higher snow thrower product shipments due to heavy snow falls in Europe during the 2005-2006 winter season, and strong sales of Pope products in Australia.</w:t>
      </w:r>
    </w:p>
    <w:p>
      <w:pPr>
        <w:spacing w:after="0" w:line="1" w:lineRule="exact"/>
        <w:rPr>
          <w:sz w:val="20"/>
          <w:szCs w:val="20"/>
          <w:color w:val="auto"/>
        </w:rPr>
      </w:pPr>
    </w:p>
    <w:p>
      <w:pPr>
        <w:ind w:right="720" w:firstLine="180"/>
        <w:spacing w:after="0" w:line="277" w:lineRule="auto"/>
        <w:rPr>
          <w:sz w:val="20"/>
          <w:szCs w:val="20"/>
          <w:color w:val="auto"/>
        </w:rPr>
      </w:pPr>
      <w:r>
        <w:rPr>
          <w:rFonts w:ascii="Arial" w:cs="Arial" w:eastAsia="Arial" w:hAnsi="Arial"/>
          <w:sz w:val="18"/>
          <w:szCs w:val="18"/>
          <w:color w:val="auto"/>
        </w:rPr>
        <w:t>Looking ahead, residential segment net sales are expected to increase in fiscal 2008 compared to fiscal 2007 primarily as a result of anticipated continued growth in the zero-turning radius riding mower market.</w:t>
      </w:r>
    </w:p>
    <w:p>
      <w:pPr>
        <w:spacing w:after="0" w:line="6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residential segment in fiscal 2007 increased 22.7 percent compared to fiscal 2006. Expressed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as a percentage of net sales, residential segment operating margins rose to 7.4 percent compared to 6.0 percent in fiscal 2006. The following factors impacted residential segment operating earnings:</w:t>
      </w:r>
    </w:p>
    <w:p>
      <w:pPr>
        <w:spacing w:after="0" w:line="15"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Higher gross margins as a result of improved margins on new products and a weaker U.S. dollar compared to most other worldwide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currencies in which we transact business. In addition, last year gross margins were hampered by a charge for customs duties.</w:t>
      </w:r>
    </w:p>
    <w:p>
      <w:pPr>
        <w:spacing w:after="0" w:line="23"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Lower SG&amp;A expense rate due primarily to a decline in warranty expense and lower spending for marketing.</w:t>
      </w:r>
    </w:p>
    <w:p>
      <w:pPr>
        <w:spacing w:after="0" w:line="63"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Operating earnings for the residential segment in fiscal 2006 decreased 32.0 percent compared to fiscal 2005. Expressed as a percentage of net sales, residential segment operating margins declined to 6.0 percent compared to 8.6 percent in fiscal 2005 mainly as a result of lower gross margins due to higher costs for commodities combined with minimal price increases due to competitive conditions, lower margins for riding products introduced in fiscal 2006, higher freight expense, and a charge for customs duties. SG&amp;A expense rate increased as a result of lower sales volumes and an increase in warranty expense for a product recall.</w:t>
      </w:r>
    </w:p>
    <w:p>
      <w:pPr>
        <w:spacing w:after="0" w:line="1" w:lineRule="exact"/>
        <w:rPr>
          <w:sz w:val="20"/>
          <w:szCs w:val="20"/>
          <w:color w:val="auto"/>
        </w:rPr>
      </w:pPr>
    </w:p>
    <w:p>
      <w:pPr>
        <w:ind w:right="340" w:firstLine="180"/>
        <w:spacing w:after="0" w:line="277" w:lineRule="auto"/>
        <w:rPr>
          <w:sz w:val="20"/>
          <w:szCs w:val="20"/>
          <w:color w:val="auto"/>
        </w:rPr>
      </w:pPr>
      <w:r>
        <w:rPr>
          <w:rFonts w:ascii="Arial" w:cs="Arial" w:eastAsia="Arial" w:hAnsi="Arial"/>
          <w:sz w:val="18"/>
          <w:szCs w:val="18"/>
          <w:color w:val="auto"/>
        </w:rPr>
        <w:t>Looking ahead, residential segment operating earnings in fiscal 2008 are expected to improve compared to fiscal 2007 due to anticipated increased sales volumes and an anticipated improvement in gross margins.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w:t>
      </w:r>
    </w:p>
    <w:p>
      <w:pPr>
        <w:spacing w:after="0" w:line="223"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9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$ 42.9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(82.8)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Net sales for the other segment includes sales from our wholly owned domestic distribution companies less sales from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professional and residential segments to those distribution companies. In addition, elimination of the professional and residential segments’ floor plan interest costs from the Toro Credit Company are also included in this segment. The other segment net sales in fiscal 2007 decreased 3.9 percent compared to fiscal 2006 due mainly to lower sales at a company-owned distributor.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180"/>
        <w:spacing w:after="0" w:line="271" w:lineRule="auto"/>
        <w:rPr>
          <w:sz w:val="20"/>
          <w:szCs w:val="20"/>
          <w:color w:val="auto"/>
        </w:rPr>
      </w:pPr>
      <w:r>
        <w:rPr>
          <w:rFonts w:ascii="Arial" w:cs="Arial" w:eastAsia="Arial" w:hAnsi="Arial"/>
          <w:sz w:val="18"/>
          <w:szCs w:val="18"/>
          <w:color w:val="auto"/>
        </w:rPr>
        <w:t>The other segment net sales in fiscal 2006 decreased 12.1 percent compared to fiscal 2005 due to lower sales at our company-owned distributors as a result of the change in the method of product distribution (to shipping our Exmark product directly to dealers) that impacted the territory served by our Midwestern distributorship.</w:t>
      </w:r>
    </w:p>
    <w:p>
      <w:pPr>
        <w:spacing w:after="0" w:line="74"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b w:val="1"/>
          <w:bCs w:val="1"/>
          <w:i w:val="1"/>
          <w:iCs w:val="1"/>
          <w:color w:val="4673B6"/>
        </w:rPr>
        <w:t xml:space="preserve">Operating Loss. </w:t>
      </w:r>
      <w:r>
        <w:rPr>
          <w:rFonts w:ascii="Arial" w:cs="Arial" w:eastAsia="Arial" w:hAnsi="Arial"/>
          <w:sz w:val="18"/>
          <w:szCs w:val="18"/>
          <w:color w:val="000000"/>
        </w:rPr>
        <w:t>Operating loss for the other segment in fiscal 2007 increased by 19.9 percent compared to fiscal 2006. This loss increase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was primarily the result of last fiscal year’s reduction in self-insurance costs from favorable claims experience in fiscal 2006, increased incentive compensation expense, lower financing revenue, and an increase in interest expense.</w:t>
      </w:r>
    </w:p>
    <w:p>
      <w:pPr>
        <w:spacing w:after="0" w:line="2" w:lineRule="exact"/>
        <w:rPr>
          <w:sz w:val="20"/>
          <w:szCs w:val="20"/>
          <w:color w:val="auto"/>
        </w:rPr>
      </w:pPr>
    </w:p>
    <w:p>
      <w:pPr>
        <w:ind w:right="40" w:firstLine="180"/>
        <w:spacing w:after="0" w:line="277" w:lineRule="auto"/>
        <w:rPr>
          <w:sz w:val="20"/>
          <w:szCs w:val="20"/>
          <w:color w:val="auto"/>
        </w:rPr>
      </w:pPr>
      <w:r>
        <w:rPr>
          <w:rFonts w:ascii="Arial" w:cs="Arial" w:eastAsia="Arial" w:hAnsi="Arial"/>
          <w:sz w:val="18"/>
          <w:szCs w:val="18"/>
          <w:color w:val="auto"/>
        </w:rPr>
        <w:t>Operating loss for the other segment in fiscal 2006 decreased by 20.9 percent compared to fiscal 2005. This loss decrease was primarily the result of lower incentive compensation expense, a reduction in self-insurance costs, and currency exchange rate gains in fiscal 2006 compared</w:t>
      </w:r>
    </w:p>
    <w:p>
      <w:pPr>
        <w:sectPr>
          <w:pgSz w:w="11900" w:h="16929" w:orient="portrait"/>
          <w:cols w:equalWidth="0" w:num="1">
            <w:col w:w="11420"/>
          </w:cols>
          <w:pgMar w:left="240" w:top="152" w:right="239" w:bottom="0" w:gutter="0" w:footer="0" w:header="0"/>
        </w:sectPr>
      </w:pPr>
    </w:p>
    <w:bookmarkStart w:id="24" w:name="page25"/>
    <w:bookmarkEnd w:id="24"/>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to currency exchange rate losses in fiscal 2005.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Working Capital</w:t>
      </w:r>
    </w:p>
    <w:p>
      <w:pPr>
        <w:spacing w:after="0" w:line="4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Our financial condition remains strong, and we are placing additional emphasis on asset management with our GrowLean initiative, with a focus on: (i) ensuring strong profitability of our products and services all the way through the retail sale; (ii) minimizing the amount of working capital in the supply chain; and (iii) maintaining or improving order replenishment and service levels to end users.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3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  57.0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376.9</w:t>
            </w:r>
          </w:p>
        </w:tc>
        <w:tc>
          <w:tcPr>
            <w:tcW w:w="580" w:type="dxa"/>
            <w:vAlign w:val="bottom"/>
          </w:tcPr>
          <w:p>
            <w:pPr>
              <w:jc w:val="right"/>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275.3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100.4</w:t>
            </w:r>
          </w:p>
        </w:tc>
        <w:tc>
          <w:tcPr>
            <w:tcW w:w="580" w:type="dxa"/>
            <w:vAlign w:val="bottom"/>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Arial" w:cs="Arial" w:eastAsia="Arial" w:hAnsi="Arial"/>
                <w:sz w:val="14"/>
                <w:szCs w:val="14"/>
                <w:b w:val="1"/>
                <w:bCs w:val="1"/>
                <w:color w:val="auto"/>
              </w:rPr>
              <w:t>Average inventory turnover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4.35x</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4.52x</w:t>
            </w: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Average receivables, net increased slightly in fiscal 2007 compared to fiscal 2006 due to higher sales volumes; however, average days outstanding for receivables decreased to 73 days in fiscal 2007 compared to 75 days in fiscal 2006. Average net inventories increased by 4.3 percent in fiscal 2007 compared to fiscal 2006, and average inventory turnover declined by 3.8 percent in fiscal 2007 compared to fiscal 2006 due to lower than planned sales volumes in the first half of fiscal 2007, which resulted in production cuts in the second half of fiscal 2007 in an effort to reduce inventory levels.</w:t>
      </w:r>
    </w:p>
    <w:p>
      <w:pPr>
        <w:spacing w:after="0" w:line="1" w:lineRule="exact"/>
        <w:rPr>
          <w:sz w:val="20"/>
          <w:szCs w:val="20"/>
          <w:color w:val="auto"/>
        </w:rPr>
      </w:pPr>
    </w:p>
    <w:p>
      <w:pPr>
        <w:ind w:right="120" w:firstLine="180"/>
        <w:spacing w:after="0" w:line="270" w:lineRule="auto"/>
        <w:rPr>
          <w:sz w:val="20"/>
          <w:szCs w:val="20"/>
          <w:color w:val="auto"/>
        </w:rPr>
      </w:pPr>
      <w:r>
        <w:rPr>
          <w:rFonts w:ascii="Arial" w:cs="Arial" w:eastAsia="Arial" w:hAnsi="Arial"/>
          <w:sz w:val="18"/>
          <w:szCs w:val="18"/>
          <w:color w:val="auto"/>
        </w:rPr>
        <w:t>We expect that average receivables, net in fiscal 2008 to increase compared to fiscal 2007 due to higher planned sales volumes, while average inventories, net are expected to slightly decline in fiscal 2008 compared to fiscal 2007. We anticipate both average days outstanding for receivables and average inventory turnover to improve in fiscal 2008 compared to fiscal 2007 as we plan to continue our efforts to improve asset utilization as part of our GrowLean initiative.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Expenditures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 Long-Term Assets</w:t>
      </w:r>
    </w:p>
    <w:p>
      <w:pPr>
        <w:spacing w:after="0" w:line="1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Fiscal 2007 capital expenditures of $42.2 million were 5.7 percent higher compared to fiscal 2006. This increase was primarily attributable to production equipment and tooling expenditures for new products. Capital expenditures for fiscal 2008 are anticipated to be approximately $3 to $8 million higher than fiscal 2007 as we plan to continue to invest in tooling for new products and manufacturing equipment.</w:t>
      </w:r>
    </w:p>
    <w:p>
      <w:pPr>
        <w:spacing w:after="0" w:line="1"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Long-term assets as of October 31, 2007 were $285.9 million compared to $264.9 million as of October 31, 2006, an increase of 7.9 percent. This increase was due mainly to the acquisition of Rain Master, which resulted in the addition of $4.3 million of goodwill and $9.5 million of net intangible assets. See Note 2 of the notes to our consolidated financial statements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Structure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8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   0.4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229.2</w:t>
            </w:r>
          </w:p>
        </w:tc>
        <w:tc>
          <w:tcPr>
            <w:tcW w:w="560" w:type="dxa"/>
            <w:vAlign w:val="bottom"/>
          </w:tcPr>
          <w:p>
            <w:pPr>
              <w:jc w:val="right"/>
              <w:spacing w:after="0"/>
              <w:rPr>
                <w:sz w:val="20"/>
                <w:szCs w:val="20"/>
                <w:color w:val="auto"/>
              </w:rPr>
            </w:pPr>
            <w:r>
              <w:rPr>
                <w:rFonts w:ascii="Arial" w:cs="Arial" w:eastAsia="Arial" w:hAnsi="Arial"/>
                <w:sz w:val="14"/>
                <w:szCs w:val="14"/>
                <w:color w:val="auto"/>
              </w:rPr>
              <w:t>175.0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370.4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180"/>
        <w:spacing w:after="0" w:line="271" w:lineRule="auto"/>
        <w:rPr>
          <w:sz w:val="20"/>
          <w:szCs w:val="20"/>
          <w:color w:val="auto"/>
        </w:rPr>
      </w:pPr>
      <w:r>
        <w:rPr>
          <w:rFonts w:ascii="Arial" w:cs="Arial" w:eastAsia="Arial" w:hAnsi="Arial"/>
          <w:sz w:val="18"/>
          <w:szCs w:val="18"/>
          <w:color w:val="auto"/>
        </w:rPr>
        <w:t>Our debt-to-capitalization ratio was higher in fiscal 2007 compared to fiscal 2006 due mainly to a decrease in stockholders’ equity as a result of a higher average price paid per share for common stock repurchases in fiscal 2007 compared to fiscal 2006 as well as an increase in long-term debt discussed below.</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Liquidity and Capital Resources</w:t>
      </w:r>
    </w:p>
    <w:p>
      <w:pPr>
        <w:spacing w:after="0" w:line="40" w:lineRule="exact"/>
        <w:rPr>
          <w:sz w:val="20"/>
          <w:szCs w:val="20"/>
          <w:color w:val="auto"/>
        </w:rPr>
      </w:pPr>
    </w:p>
    <w:p>
      <w:pPr>
        <w:jc w:val="both"/>
        <w:ind w:right="240"/>
        <w:spacing w:after="0" w:line="270"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anticipated operating requirements. We believe that the combination of funds available through existing financing arrangements and forecasted cash flows will be sufficient to provide the necessary capital resources for our anticipated working capital needs, capital expenditures, investments, acquisitions, debt repayments, quarterly cash dividend payments, and stock repurchases for at least the next twelve months.</w:t>
      </w:r>
    </w:p>
    <w:p>
      <w:pPr>
        <w:spacing w:after="0" w:line="1" w:lineRule="exact"/>
        <w:rPr>
          <w:sz w:val="20"/>
          <w:szCs w:val="20"/>
          <w:color w:val="auto"/>
        </w:rPr>
      </w:pPr>
    </w:p>
    <w:p>
      <w:pPr>
        <w:ind w:right="40" w:firstLine="180"/>
        <w:spacing w:after="0" w:line="267" w:lineRule="auto"/>
        <w:rPr>
          <w:sz w:val="20"/>
          <w:szCs w:val="20"/>
          <w:color w:val="auto"/>
        </w:rPr>
      </w:pPr>
      <w:r>
        <w:rPr>
          <w:rFonts w:ascii="Arial" w:cs="Arial" w:eastAsia="Arial" w:hAnsi="Arial"/>
          <w:sz w:val="18"/>
          <w:szCs w:val="18"/>
          <w:color w:val="auto"/>
        </w:rPr>
        <w:t>On April 26, 2007, we issued $125.0 million in aggregate principal amount of 6.625% senior notes due May 1, 2037. The senior notes were priced at 98.513% of par value, and the resulting discount of $1.9 million associated with the issuance of these senior notes is being amortized over the term of the notes using the effective interest rate method. The underwriting fee and direct debt issue costs totaling $1.5 million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our other unsecured and unsubordinated indebtedness from time to time outstanding. The indentures under which the senior notes were issued contain customary covenants and event of default provisions. We have the right to redeem some or all of the senior notes at any time at the greater of the full principal amount of the senior notes being</w:t>
      </w:r>
    </w:p>
    <w:p>
      <w:pPr>
        <w:sectPr>
          <w:pgSz w:w="11900" w:h="16875" w:orient="portrait"/>
          <w:cols w:equalWidth="0" w:num="1">
            <w:col w:w="11380"/>
          </w:cols>
          <w:pgMar w:left="240" w:top="152" w:right="279" w:bottom="0" w:gutter="0" w:footer="0" w:header="0"/>
        </w:sectPr>
      </w:pPr>
    </w:p>
    <w:bookmarkStart w:id="25" w:name="page26"/>
    <w:bookmarkEnd w:id="25"/>
    <w:p>
      <w:pPr>
        <w:spacing w:after="0" w:line="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redeemed, or the present value of the remaining scheduled payments of principal and interest discounted to the redemption date on a semi-annual basis at the treasury rate plus 30 basis points, plus, in both cases, accrued and unpaid interest. In the event of the occurrence of both</w:t>
      </w:r>
    </w:p>
    <w:p>
      <w:pPr>
        <w:ind w:firstLine="8"/>
        <w:spacing w:after="0" w:line="269" w:lineRule="auto"/>
        <w:tabs>
          <w:tab w:leader="none" w:pos="2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of control of the company and (ii) a downgrade of the notes below an investment grade rating by both Moody’s Investors Service, Inc. and Standard &amp; Poor’s Ratings Services within a specified period, we would be required to make an offer to purchase the senior notes at a price equal to 101% of the principal amount of the senior notes, plus accrued and unpaid interest to the date of repurchase. We used the proceeds from the issuance of the senior notes to repay $75.0 million outstanding principal amount of 7.125% notes that were due on June 15, 2007 as well as for general corporate purposes.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Dividends</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Each quarter in fiscal 2007, our Board of Directors declared a cash dividend of $0.12 per share, which was a 33 percent increase over our cash dividend of $0.09 per share paid each quarter in fiscal 2006. Our Board of Directors recently increased our first quarter of fiscal 2008 quarterly cash dividend by 25 percent to $0.15 per share from the quarterly cash dividend paid in the first quarter of fiscal 2007.</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Flow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00" w:type="dxa"/>
            <w:vAlign w:val="bottom"/>
            <w:tcBorders>
              <w:top w:val="single" w:sz="8" w:color="auto"/>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Cash Provided by (Used in)</w:t>
            </w:r>
          </w:p>
        </w:tc>
        <w:tc>
          <w:tcPr>
            <w:tcW w:w="80" w:type="dxa"/>
            <w:vAlign w:val="bottom"/>
          </w:tcPr>
          <w:p>
            <w:pPr>
              <w:spacing w:after="0"/>
              <w:rPr>
                <w:sz w:val="17"/>
                <w:szCs w:val="17"/>
                <w:color w:val="auto"/>
              </w:rPr>
            </w:pPr>
          </w:p>
        </w:tc>
      </w:tr>
      <w:tr>
        <w:trPr>
          <w:trHeight w:val="183"/>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5"/>
                <w:szCs w:val="15"/>
                <w:color w:val="auto"/>
              </w:rPr>
            </w:pPr>
          </w:p>
        </w:tc>
      </w:tr>
      <w:tr>
        <w:trPr>
          <w:trHeight w:val="183"/>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80" w:type="dxa"/>
            <w:vAlign w:val="bottom"/>
            <w:shd w:val="clear" w:color="auto" w:fill="CCEEFF"/>
          </w:tcPr>
          <w:p>
            <w:pPr>
              <w:spacing w:after="0"/>
              <w:rPr>
                <w:sz w:val="15"/>
                <w:szCs w:val="15"/>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(50.3)</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(38.1)</w:t>
            </w:r>
          </w:p>
        </w:tc>
        <w:tc>
          <w:tcPr>
            <w:tcW w:w="1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(68.4)</w:t>
            </w: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(154.4)</w:t>
            </w:r>
          </w:p>
        </w:tc>
      </w:tr>
      <w:tr>
        <w:trPr>
          <w:trHeight w:val="189"/>
        </w:trPr>
        <w:tc>
          <w:tcPr>
            <w:tcW w:w="2540" w:type="dxa"/>
            <w:vAlign w:val="bottom"/>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1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c>
          <w:tcPr>
            <w:tcW w:w="1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r>
      <w:tr>
        <w:trPr>
          <w:trHeight w:val="20"/>
        </w:trPr>
        <w:tc>
          <w:tcPr>
            <w:tcW w:w="2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3"/>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(used)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(49.4)</w:t>
            </w:r>
          </w:p>
        </w:tc>
      </w:tr>
      <w:tr>
        <w:trPr>
          <w:trHeight w:val="183"/>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fiscal year end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6"/>
                <w:szCs w:val="16"/>
                <w:color w:val="auto"/>
              </w:rPr>
            </w:pPr>
          </w:p>
        </w:tc>
      </w:tr>
    </w:tbl>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4673B6"/>
        </w:rPr>
        <w:t xml:space="preserve">Cash Flows Provided by Operating Activities. </w:t>
      </w:r>
      <w:r>
        <w:rPr>
          <w:rFonts w:ascii="Arial" w:cs="Arial" w:eastAsia="Arial" w:hAnsi="Arial"/>
          <w:sz w:val="18"/>
          <w:szCs w:val="18"/>
          <w:color w:val="000000"/>
        </w:rPr>
        <w:t>Our primary source of funds is cash generated from operations. In fiscal 2007, cash provided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by operating activities decreased by 3.5 percent from fiscal 2006. This decrease was due primarily to a decline in accrued liabilities, mainly from a reduction of deferred compensation liability when we elected to fund a majority of our deferred compensation plans. Somewhat moderating the decline in cash provided by operating activities was higher net earnings and a larger reduction in accounts receivable in fiscal 2007 compared to fiscal 2006.</w:t>
      </w:r>
    </w:p>
    <w:p>
      <w:pPr>
        <w:spacing w:after="0" w:line="5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4673B6"/>
        </w:rPr>
        <w:t xml:space="preserve">Cash Flows Used in Investing Activities. </w:t>
      </w:r>
      <w:r>
        <w:rPr>
          <w:rFonts w:ascii="Arial" w:cs="Arial" w:eastAsia="Arial" w:hAnsi="Arial"/>
          <w:sz w:val="18"/>
          <w:szCs w:val="18"/>
          <w:color w:val="000000"/>
        </w:rPr>
        <w:t>Capital expenditures and acquisitions are our primary uses of capital resources. These investments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have enabled our sales growth in diverse and new markets, helped us to meet product demand, and increased our manufacturing efficiencies. Cash used in investing activities increased 32.1 percent in fiscal 2007 compared to fiscal 2006 due mainly to cash utilized for acquisitions and an increase in purchases of property, plant, and equipment in fiscal 2007 compared to fiscal 2006.</w:t>
      </w:r>
    </w:p>
    <w:p>
      <w:pPr>
        <w:spacing w:after="0" w:line="6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4673B6"/>
        </w:rPr>
        <w:t xml:space="preserve">Cash Flows Used in Financing Activities. </w:t>
      </w:r>
      <w:r>
        <w:rPr>
          <w:rFonts w:ascii="Arial" w:cs="Arial" w:eastAsia="Arial" w:hAnsi="Arial"/>
          <w:sz w:val="18"/>
          <w:szCs w:val="18"/>
          <w:color w:val="000000"/>
        </w:rPr>
        <w:t>Cash used in financing activities was lower by 6.8 percent in fiscal 2007 compared to fiscal 2006.</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This decline was primarily attributable to proceeds we received from the issuance of 30-year senior notes previously discussed. This decline was somewhat offset by increased repayments of long-term debt, higher cash dividends paid on Toro common stock, and an increase in funds used for repurchases of our common stock in fiscal 2007 compared to fiscal 2006.</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Credit Lines and Other Capital Resources</w:t>
      </w:r>
    </w:p>
    <w:p>
      <w:pPr>
        <w:spacing w:after="0" w:line="40"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January and April. Seasonal cash requirements are financed from operations and with short-term financing arrangements, including a $175.0 million unsecured senior five-year revolving credit facility, which expires in January 2012. Interest expense on this credit line is determined based on a LIBOR rate plus a basis point spread defined in the credit agreement. In addition, our non-U.S. operations maintain unsecured short-term lines of credit of approximately $16 million. These facilities bear interest at various rates depending on the rates in their respective countries of operation. We also have a letter of credit subfacility as part of our credit agreement. Average short-term debt was $48.9 million in fiscal 2007 compared to $43.4 million in fiscal 2006, an increase of $5.5 million or 12.9 percent. This increase was primarily attributable to cash used for funding a majority of our deferred compensation plans in fiscal 2007 and additional working capital requirements as a result of higher average receivables and inventory levels, mainly during the first half of fiscal 2007 compared to the first half of fiscal 2006. As of October 31, 2007, we had $190.7 million of unutilized availability under our credit agreements.</w:t>
      </w:r>
    </w:p>
    <w:p>
      <w:pPr>
        <w:spacing w:after="0" w:line="2" w:lineRule="exact"/>
        <w:rPr>
          <w:sz w:val="20"/>
          <w:szCs w:val="20"/>
          <w:color w:val="auto"/>
        </w:rPr>
      </w:pPr>
    </w:p>
    <w:p>
      <w:pPr>
        <w:ind w:right="20" w:firstLine="180"/>
        <w:spacing w:after="0" w:line="284" w:lineRule="auto"/>
        <w:rPr>
          <w:sz w:val="20"/>
          <w:szCs w:val="20"/>
          <w:color w:val="auto"/>
        </w:rPr>
      </w:pPr>
      <w:r>
        <w:rPr>
          <w:rFonts w:ascii="Arial" w:cs="Arial" w:eastAsia="Arial" w:hAnsi="Arial"/>
          <w:sz w:val="17"/>
          <w:szCs w:val="17"/>
          <w:color w:val="auto"/>
        </w:rPr>
        <w:t>Significant financial covenants in our credit agreement are interest coverage and debt-to-capitalization ratios. We were in compliance with all covenants related to our credit agreement as of October 31, 2007, and expect to be in compliance with all covenants during fiscal 2008. Our credit agreement requires compliance with all of the covenants defined in the agreement. If we were out of compliance with any debt covenant required by our credit agreement following the applicable period, the banks could terminate their commitments unless we could negotiate a covenant waiver from the banks. In addition, our long-term public notes and debentures could become due and payable if we were unable to obtain a covenant waiver or refinance our short-term debt under our credit agreement. If our credit rating falls below investment grade and/or if our average short-term debt to earnings before interest, taxes, depreciation, and amortization (EBITDA) ratio falls below a certain level, the interest rate we currently pay on our outstanding short-term debt under the credit agreement would increase. However, the credit commitment could not be cancelled by the banks based solely on a ratings downgrade. Our debt rating for long-term unsecured senior, non-credit enhanced debt has been unchanged during fiscal 2007 by Standard and Poor’s Ratings Group at BBB- and by Moody’s Investors Service at Baa3.</w:t>
      </w:r>
    </w:p>
    <w:p>
      <w:pPr>
        <w:sectPr>
          <w:pgSz w:w="11900" w:h="16845" w:orient="portrait"/>
          <w:cols w:equalWidth="0" w:num="1">
            <w:col w:w="11400"/>
          </w:cols>
          <w:pgMar w:left="240" w:top="152" w:right="259" w:bottom="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Share Repurchase Plan</w:t>
      </w:r>
    </w:p>
    <w:p>
      <w:pPr>
        <w:sectPr>
          <w:pgSz w:w="11900" w:h="16845" w:orient="portrait"/>
          <w:cols w:equalWidth="0" w:num="1">
            <w:col w:w="11400"/>
          </w:cols>
          <w:pgMar w:left="240" w:top="152" w:right="259" w:bottom="0" w:gutter="0" w:footer="0" w:header="0"/>
          <w:type w:val="continuous"/>
        </w:sectPr>
      </w:pPr>
    </w:p>
    <w:bookmarkStart w:id="26" w:name="page27"/>
    <w:bookmarkEnd w:id="26"/>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During fiscal 2007, we continued our emphasis on repurchasing shares of our common stock as a means of utilizing excess cash and reducing our shares outstanding. In addition, our repurchase programs provided shares for use in connection with our equity compensation programs. In May 2007, our Board of Directors authorized the repurchase of up to an additional 3,000,000 shares of our common stock in open-market or privately negotiated transactions. This repurchase authorization has no expiration date but may be terminated by our Board of Directors at any time. As of October 31, 2007, 1,134,175 shares remained available for repurchase under our Board authorization.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175"/>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 except per</w:t>
            </w: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share data)</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Shares of common stock</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9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purchased</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3,342,729</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3,369,285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3,922,805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980" w:type="dxa"/>
            <w:vAlign w:val="bottom"/>
          </w:tcPr>
          <w:p>
            <w:pPr>
              <w:spacing w:after="0"/>
              <w:rPr>
                <w:sz w:val="20"/>
                <w:szCs w:val="20"/>
                <w:color w:val="auto"/>
              </w:rPr>
            </w:pPr>
            <w:r>
              <w:rPr>
                <w:rFonts w:ascii="Arial" w:cs="Arial" w:eastAsia="Arial" w:hAnsi="Arial"/>
                <w:sz w:val="14"/>
                <w:szCs w:val="14"/>
                <w:b w:val="1"/>
                <w:bCs w:val="1"/>
                <w:color w:val="auto"/>
              </w:rPr>
              <w:t>Cost to repurchase common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980" w:type="dxa"/>
            <w:vAlign w:val="bottom"/>
          </w:tcPr>
          <w:p>
            <w:pPr>
              <w:ind w:left="1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OFF-BALANCE SHEET ARRANGEMENTS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CONTRACTUAL OBLIGATIONS</w:t>
      </w:r>
    </w:p>
    <w:p>
      <w:pPr>
        <w:spacing w:after="0" w:line="1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do not customarily enter into off-balance sheet arrangements, except for off-balance sheet arrangements related to our customer financing activities, inventory purchase commitments, deferred compensation arrangements, and operating lease commitments disclosed in the contractual obligations table below. Moreover, it is not our normal policy to issue guarantees to third parties.</w:t>
      </w:r>
    </w:p>
    <w:p>
      <w:pPr>
        <w:spacing w:after="0" w:line="20"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4673B6"/>
        </w:rPr>
        <w:t xml:space="preserve">Wholesale Financing. </w:t>
      </w:r>
      <w:r>
        <w:rPr>
          <w:rFonts w:ascii="Arial" w:cs="Arial" w:eastAsia="Arial" w:hAnsi="Arial"/>
          <w:sz w:val="18"/>
          <w:szCs w:val="18"/>
          <w:color w:val="000000"/>
        </w:rPr>
        <w:t>Toro Credit Company (TCC), a wholly owned financing subsidiary, provides financing for our North American Toro</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distributors and approximately 180 of our domestic dealers for select products that we manufacture. Independent North American Toro and Exmark distributors and dealers that do not finance through TCC generally finance their inventories with third party financing companies. All outstanding receivables of TCC are reflected on our consolidated balance sheets.</w:t>
      </w:r>
    </w:p>
    <w:p>
      <w:pPr>
        <w:spacing w:after="0" w:line="2" w:lineRule="exact"/>
        <w:rPr>
          <w:sz w:val="20"/>
          <w:szCs w:val="20"/>
          <w:color w:val="auto"/>
        </w:rPr>
      </w:pPr>
    </w:p>
    <w:p>
      <w:pPr>
        <w:ind w:right="80" w:firstLine="180"/>
        <w:spacing w:after="0" w:line="267" w:lineRule="auto"/>
        <w:rPr>
          <w:sz w:val="20"/>
          <w:szCs w:val="20"/>
          <w:color w:val="auto"/>
        </w:rPr>
      </w:pPr>
      <w:r>
        <w:rPr>
          <w:rFonts w:ascii="Arial" w:cs="Arial" w:eastAsia="Arial" w:hAnsi="Arial"/>
          <w:sz w:val="18"/>
          <w:szCs w:val="18"/>
          <w:color w:val="auto"/>
        </w:rPr>
        <w:t>TCC and third party financing companies purchase selected receivables from us and our distributors and dealers for extended periods that assist our distributors and dealers in carrying representative inventories of products. Down payments are not required and, depending on the finance program for each product line, finance charges are incurred by us, shared between us and the distributor and/or the dealer, or paid by the distributor or dealer. We retain a security interest in the distributors’ and dealers’ inventories, and those inventories are monitored regularly. Under the sales terms to distributors and dealers, finance charges are applied to outstanding balances from the earlier of the date when product is sold to a customer, or the expiration of company-supported finance terms granted at the time of sale, until payment is received by TCC or the third party finance company. Rates are generally fixed or based on the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180"/>
        <w:spacing w:after="0" w:line="267" w:lineRule="auto"/>
        <w:rPr>
          <w:sz w:val="20"/>
          <w:szCs w:val="20"/>
          <w:color w:val="auto"/>
        </w:rPr>
      </w:pPr>
      <w:r>
        <w:rPr>
          <w:rFonts w:ascii="Arial" w:cs="Arial" w:eastAsia="Arial" w:hAnsi="Arial"/>
          <w:sz w:val="18"/>
          <w:szCs w:val="18"/>
          <w:color w:val="auto"/>
        </w:rPr>
        <w:t>Third party financing companies purchased $164.6 million of receivables from us during fiscal 2007, of which $57.7 million was outstanding as of October 31, 2007. Our maximum exposure for credit recourse with a third party financing company related to receivables under these financing arrangements was $0.6 million as of October 31, 2007. We also enter into limited inventory repurchase agreements with third party financing companies, which includes receivables sold by us to third party financing companies, as well as receivables sold by our distributors to the third party financing companies. As of October 31, 2007, we were contingently liable to repurchase up to $5.8 million of inventory related to receivables under these financing arrangements. We have repurchased immaterial amounts of inventory from third party financing companies over the past three years. However, a decline in retail sales could cause this situation to change and thereby require us to repurchase financed product.</w:t>
      </w:r>
    </w:p>
    <w:p>
      <w:pPr>
        <w:spacing w:after="0" w:line="4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4673B6"/>
        </w:rPr>
        <w:t xml:space="preserve">End-User Financing.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fields and grounds equipment customers in North America, Europe, and Australia. The purpose of these agreements is to increase sales by giving buyers of our products alternative financing options when purchasing our products. During fiscal 2007, we entered into an amended agreement that eliminated our contingent liability for any residual value risk on the underlying equipment financed under this program. In addition, under the terms of the amended agreement, we are only contingently liable for a portion of the credit collection risk for leases entered into prior to the effective date of the amended agreement. Our maximum exposure for credit collection as of October 31, 2007 was $7.2 million. We have established a reserve for our estimated exposure related to this credit collection risk.</w:t>
      </w:r>
    </w:p>
    <w:p>
      <w:pPr>
        <w:spacing w:after="0" w:line="5" w:lineRule="exact"/>
        <w:rPr>
          <w:sz w:val="20"/>
          <w:szCs w:val="20"/>
          <w:color w:val="auto"/>
        </w:rPr>
      </w:pPr>
    </w:p>
    <w:p>
      <w:pPr>
        <w:ind w:right="240" w:firstLine="180"/>
        <w:spacing w:after="0" w:line="266" w:lineRule="auto"/>
        <w:rPr>
          <w:sz w:val="20"/>
          <w:szCs w:val="20"/>
          <w:color w:val="auto"/>
        </w:rPr>
      </w:pPr>
      <w:r>
        <w:rPr>
          <w:rFonts w:ascii="Arial" w:cs="Arial" w:eastAsia="Arial" w:hAnsi="Arial"/>
          <w:sz w:val="18"/>
          <w:szCs w:val="18"/>
          <w:color w:val="auto"/>
        </w:rPr>
        <w:t>We also have an agreement to sell certain accounts receivable and notes to a third party. The total amount of receivables and notes outstanding under this agreement may not exceed $10.0 million at any time. During fiscal 2007, the company sold $1.1 million of receivables and notes under the terms of this agreement.</w:t>
      </w:r>
    </w:p>
    <w:p>
      <w:pPr>
        <w:spacing w:after="0" w:line="1" w:lineRule="exact"/>
        <w:rPr>
          <w:sz w:val="20"/>
          <w:szCs w:val="20"/>
          <w:color w:val="auto"/>
        </w:rPr>
      </w:pPr>
    </w:p>
    <w:p>
      <w:pPr>
        <w:jc w:val="both"/>
        <w:ind w:right="80" w:firstLine="180"/>
        <w:spacing w:after="0" w:line="266" w:lineRule="auto"/>
        <w:rPr>
          <w:sz w:val="20"/>
          <w:szCs w:val="20"/>
          <w:color w:val="auto"/>
        </w:rPr>
      </w:pPr>
      <w:r>
        <w:rPr>
          <w:rFonts w:ascii="Arial" w:cs="Arial" w:eastAsia="Arial" w:hAnsi="Arial"/>
          <w:sz w:val="18"/>
          <w:szCs w:val="18"/>
          <w:color w:val="auto"/>
        </w:rPr>
        <w:t>In the normal course of business, we have arrangements with other financial institutions to provide various forms of financing options to end-user customers. From time to time, our company-owned distributorships also guarantee the residual value at the end of leases with third-party financing companies for product sold to customers. The amount of this potential contingent liability as of October 31, 2007 was $4.4 million. None of these other arrangements requires any additional material financial involvement by us.</w:t>
      </w:r>
    </w:p>
    <w:p>
      <w:pPr>
        <w:spacing w:after="0" w:line="1" w:lineRule="exact"/>
        <w:rPr>
          <w:sz w:val="20"/>
          <w:szCs w:val="20"/>
          <w:color w:val="auto"/>
        </w:rPr>
      </w:pPr>
    </w:p>
    <w:p>
      <w:pPr>
        <w:ind w:right="120" w:firstLine="180"/>
        <w:spacing w:after="0" w:line="271" w:lineRule="auto"/>
        <w:rPr>
          <w:sz w:val="20"/>
          <w:szCs w:val="20"/>
          <w:color w:val="auto"/>
        </w:rPr>
      </w:pPr>
      <w:r>
        <w:rPr>
          <w:rFonts w:ascii="Arial" w:cs="Arial" w:eastAsia="Arial" w:hAnsi="Arial"/>
          <w:sz w:val="18"/>
          <w:szCs w:val="18"/>
          <w:color w:val="auto"/>
        </w:rPr>
        <w:t>Termination of our end-user financing arrangements, or any material change to the terms in the financing arrangements, availability of credit for our customers, including any delay in securing replacement credit sources, or significant financed product repurchase requirements could have a material impact on our future operating results or financial condition; however, we do not believe those events are likely to occur.</w:t>
      </w:r>
    </w:p>
    <w:p>
      <w:pPr>
        <w:spacing w:after="0" w:line="2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4673B6"/>
        </w:rPr>
        <w:t xml:space="preserve">Distributor Financing. </w:t>
      </w:r>
      <w:r>
        <w:rPr>
          <w:rFonts w:ascii="Arial" w:cs="Arial" w:eastAsia="Arial" w:hAnsi="Arial"/>
          <w:sz w:val="18"/>
          <w:szCs w:val="18"/>
          <w:color w:val="000000"/>
        </w:rPr>
        <w:t>From time to time, we enter into long-term loan agreements with some distributors. These transactions are used for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expansion of the distributors’ businesses, acquisitions, refinancing working capital agreements, or facilitation of ownership changes. As of October 31, 2007 and 2006, we had outstanding notes receivable of $2.3 million and $2.8 million, respectively, from two distribution companies. The amounts are included in other current and long-term assets on our consolidated balance sheets. The decrease of $0.5 million was the result of repayments on these loans.</w:t>
      </w:r>
    </w:p>
    <w:p>
      <w:pPr>
        <w:spacing w:after="0" w:line="16"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b w:val="1"/>
          <w:bCs w:val="1"/>
          <w:i w:val="1"/>
          <w:iCs w:val="1"/>
          <w:color w:val="4673B6"/>
        </w:rPr>
        <w:t xml:space="preserve">Purchase Commitments. </w:t>
      </w:r>
      <w:r>
        <w:rPr>
          <w:rFonts w:ascii="Arial" w:cs="Arial" w:eastAsia="Arial" w:hAnsi="Arial"/>
          <w:sz w:val="18"/>
          <w:szCs w:val="18"/>
          <w:color w:val="000000"/>
        </w:rPr>
        <w:t>We have purchase commitments with some suppliers for materials and supplies as part of the normal course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business.</w:t>
      </w:r>
    </w:p>
    <w:p>
      <w:pPr>
        <w:sectPr>
          <w:pgSz w:w="11900" w:h="16897" w:orient="portrait"/>
          <w:cols w:equalWidth="0" w:num="1">
            <w:col w:w="11420"/>
          </w:cols>
          <w:pgMar w:left="240" w:top="152"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4673B6"/>
        </w:rPr>
        <w:t xml:space="preserve">Contractual Obligations. </w:t>
      </w:r>
      <w:r>
        <w:rPr>
          <w:rFonts w:ascii="Arial" w:cs="Arial" w:eastAsia="Arial" w:hAnsi="Arial"/>
          <w:sz w:val="18"/>
          <w:szCs w:val="18"/>
          <w:color w:val="000000"/>
        </w:rPr>
        <w:t>The following table summarizes our contractual obligations as of October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132080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2" w:lineRule="exact"/>
        <w:rPr>
          <w:sz w:val="20"/>
          <w:szCs w:val="20"/>
          <w:color w:val="auto"/>
        </w:rPr>
      </w:pPr>
    </w:p>
    <w:tbl>
      <w:tblPr>
        <w:tblLayout w:type="fixed"/>
        <w:tblInd w:w="3360" w:type="dxa"/>
        <w:tblCellMar>
          <w:top w:w="0" w:type="dxa"/>
          <w:left w:w="0" w:type="dxa"/>
          <w:bottom w:w="0" w:type="dxa"/>
          <w:right w:w="0" w:type="dxa"/>
        </w:tblCellMar>
      </w:tblPr>
      <w:tr>
        <w:trPr>
          <w:trHeight w:val="152"/>
        </w:trPr>
        <w:tc>
          <w:tcPr>
            <w:tcW w:w="1500" w:type="dxa"/>
            <w:vAlign w:val="bottom"/>
          </w:tcPr>
          <w:p>
            <w:pPr>
              <w:spacing w:after="0"/>
              <w:rPr>
                <w:sz w:val="20"/>
                <w:szCs w:val="20"/>
                <w:color w:val="auto"/>
              </w:rPr>
            </w:pPr>
            <w:r>
              <w:rPr>
                <w:rFonts w:ascii="Arial" w:cs="Arial" w:eastAsia="Arial" w:hAnsi="Arial"/>
                <w:sz w:val="13"/>
                <w:szCs w:val="13"/>
                <w:color w:val="auto"/>
              </w:rPr>
              <w:t>(Dollars in</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9"/>
        </w:trPr>
        <w:tc>
          <w:tcPr>
            <w:tcW w:w="1500" w:type="dxa"/>
            <w:vAlign w:val="bottom"/>
          </w:tcPr>
          <w:p>
            <w:pPr>
              <w:spacing w:after="0"/>
              <w:rPr>
                <w:sz w:val="20"/>
                <w:szCs w:val="20"/>
                <w:color w:val="auto"/>
              </w:rPr>
            </w:pPr>
            <w:r>
              <w:rPr>
                <w:rFonts w:ascii="Arial" w:cs="Arial" w:eastAsia="Arial" w:hAnsi="Arial"/>
                <w:sz w:val="13"/>
                <w:szCs w:val="13"/>
                <w:color w:val="auto"/>
              </w:rPr>
              <w:t>thousands)</w:t>
            </w: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right"/>
              <w:ind w:right="177"/>
              <w:spacing w:after="0"/>
              <w:rPr>
                <w:sz w:val="20"/>
                <w:szCs w:val="20"/>
                <w:color w:val="auto"/>
              </w:rPr>
            </w:pPr>
            <w:r>
              <w:rPr>
                <w:rFonts w:ascii="Arial" w:cs="Arial" w:eastAsia="Arial" w:hAnsi="Arial"/>
                <w:sz w:val="13"/>
                <w:szCs w:val="13"/>
                <w:color w:val="auto"/>
              </w:rPr>
              <w:t>Payments Due By Period</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73"/>
        </w:trPr>
        <w:tc>
          <w:tcPr>
            <w:tcW w:w="1500" w:type="dxa"/>
            <w:vAlign w:val="bottom"/>
          </w:tcPr>
          <w:p>
            <w:pPr>
              <w:spacing w:after="0"/>
              <w:rPr>
                <w:sz w:val="20"/>
                <w:szCs w:val="20"/>
                <w:color w:val="auto"/>
              </w:rPr>
            </w:pPr>
            <w:r>
              <w:rPr>
                <w:rFonts w:ascii="Arial" w:cs="Arial" w:eastAsia="Arial" w:hAnsi="Arial"/>
                <w:sz w:val="13"/>
                <w:szCs w:val="13"/>
                <w:color w:val="auto"/>
              </w:rPr>
              <w:t>Contractual</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Less Than</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2"/>
              </w:rPr>
              <w:t>More than</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500" w:type="dxa"/>
            <w:vAlign w:val="bottom"/>
          </w:tcPr>
          <w:p>
            <w:pPr>
              <w:spacing w:after="0"/>
              <w:rPr>
                <w:sz w:val="20"/>
                <w:szCs w:val="20"/>
                <w:color w:val="auto"/>
              </w:rPr>
            </w:pPr>
            <w:r>
              <w:rPr>
                <w:rFonts w:ascii="Arial" w:cs="Arial" w:eastAsia="Arial" w:hAnsi="Arial"/>
                <w:sz w:val="13"/>
                <w:szCs w:val="13"/>
                <w:color w:val="auto"/>
              </w:rPr>
              <w:t>Obligation</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 Year</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Years</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Years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 Years</w:t>
            </w:r>
          </w:p>
        </w:tc>
        <w:tc>
          <w:tcPr>
            <w:tcW w:w="14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Total</w:t>
            </w:r>
          </w:p>
        </w:tc>
      </w:tr>
      <w:tr>
        <w:trPr>
          <w:trHeight w:val="203"/>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Long-term debt</w:t>
            </w:r>
            <w:r>
              <w:rPr>
                <w:rFonts w:ascii="Arial" w:cs="Arial" w:eastAsia="Arial" w:hAnsi="Arial"/>
                <w:sz w:val="17"/>
                <w:szCs w:val="17"/>
                <w:b w:val="1"/>
                <w:bCs w:val="1"/>
                <w:color w:val="auto"/>
                <w:vertAlign w:val="superscript"/>
              </w:rPr>
              <w:t>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1,611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225,000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231,037</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3"/>
                <w:szCs w:val="13"/>
                <w:b w:val="1"/>
                <w:bCs w:val="1"/>
                <w:color w:val="auto"/>
              </w:rPr>
              <w:t>Short-term debt</w:t>
            </w:r>
            <w:r>
              <w:rPr>
                <w:rFonts w:ascii="Arial" w:cs="Arial" w:eastAsia="Arial" w:hAnsi="Arial"/>
                <w:sz w:val="17"/>
                <w:szCs w:val="17"/>
                <w:b w:val="1"/>
                <w:bCs w:val="1"/>
                <w:color w:val="auto"/>
                <w:vertAlign w:val="superscript"/>
              </w:rPr>
              <w:t>1</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372</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372</w:t>
            </w:r>
          </w:p>
        </w:tc>
        <w:tc>
          <w:tcPr>
            <w:tcW w:w="40" w:type="dxa"/>
            <w:vAlign w:val="bottom"/>
          </w:tcPr>
          <w:p>
            <w:pPr>
              <w:spacing w:after="0"/>
              <w:rPr>
                <w:sz w:val="17"/>
                <w:szCs w:val="17"/>
                <w:color w:val="auto"/>
              </w:rPr>
            </w:pPr>
          </w:p>
        </w:tc>
      </w:tr>
      <w:tr>
        <w:trPr>
          <w:trHeight w:val="189"/>
        </w:trPr>
        <w:tc>
          <w:tcPr>
            <w:tcW w:w="1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payments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16,354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32,438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32,169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324,742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405,703</w:t>
            </w:r>
          </w:p>
        </w:tc>
        <w:tc>
          <w:tcPr>
            <w:tcW w:w="40" w:type="dxa"/>
            <w:vAlign w:val="bottom"/>
            <w:shd w:val="clear" w:color="auto" w:fill="CCEEFF"/>
          </w:tcPr>
          <w:p>
            <w:pPr>
              <w:spacing w:after="0"/>
              <w:rPr>
                <w:sz w:val="16"/>
                <w:szCs w:val="16"/>
                <w:color w:val="auto"/>
              </w:rPr>
            </w:pPr>
          </w:p>
        </w:tc>
      </w:tr>
      <w:tr>
        <w:trPr>
          <w:trHeight w:val="173"/>
        </w:trPr>
        <w:tc>
          <w:tcPr>
            <w:tcW w:w="1500" w:type="dxa"/>
            <w:vAlign w:val="bottom"/>
          </w:tcPr>
          <w:p>
            <w:pPr>
              <w:spacing w:after="0"/>
              <w:rPr>
                <w:sz w:val="20"/>
                <w:szCs w:val="20"/>
                <w:color w:val="auto"/>
              </w:rPr>
            </w:pPr>
            <w:r>
              <w:rPr>
                <w:rFonts w:ascii="Arial" w:cs="Arial" w:eastAsia="Arial" w:hAnsi="Arial"/>
                <w:sz w:val="13"/>
                <w:szCs w:val="13"/>
                <w:b w:val="1"/>
                <w:bCs w:val="1"/>
                <w:color w:val="auto"/>
              </w:rPr>
              <w:t>Deferred compensation</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9"/>
        </w:trPr>
        <w:tc>
          <w:tcPr>
            <w:tcW w:w="1500" w:type="dxa"/>
            <w:vAlign w:val="bottom"/>
          </w:tcPr>
          <w:p>
            <w:pPr>
              <w:ind w:left="180"/>
              <w:spacing w:after="0"/>
              <w:rPr>
                <w:sz w:val="20"/>
                <w:szCs w:val="20"/>
                <w:color w:val="auto"/>
              </w:rPr>
            </w:pPr>
            <w:r>
              <w:rPr>
                <w:rFonts w:ascii="Arial" w:cs="Arial" w:eastAsia="Arial" w:hAnsi="Arial"/>
                <w:sz w:val="13"/>
                <w:szCs w:val="13"/>
                <w:b w:val="1"/>
                <w:bCs w:val="1"/>
                <w:color w:val="auto"/>
              </w:rPr>
              <w:t>arrangements</w:t>
            </w:r>
            <w:r>
              <w:rPr>
                <w:rFonts w:ascii="Arial" w:cs="Arial" w:eastAsia="Arial" w:hAnsi="Arial"/>
                <w:sz w:val="17"/>
                <w:szCs w:val="17"/>
                <w:b w:val="1"/>
                <w:bCs w:val="1"/>
                <w:color w:val="auto"/>
                <w:vertAlign w:val="superscript"/>
              </w:rPr>
              <w:t>2</w:t>
            </w: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513</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1,774</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1,441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2,730</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6,458</w:t>
            </w:r>
          </w:p>
        </w:tc>
        <w:tc>
          <w:tcPr>
            <w:tcW w:w="40" w:type="dxa"/>
            <w:vAlign w:val="bottom"/>
          </w:tcPr>
          <w:p>
            <w:pPr>
              <w:spacing w:after="0"/>
              <w:rPr>
                <w:sz w:val="19"/>
                <w:szCs w:val="19"/>
                <w:color w:val="auto"/>
              </w:rPr>
            </w:pPr>
          </w:p>
        </w:tc>
      </w:tr>
      <w:tr>
        <w:trPr>
          <w:trHeight w:val="189"/>
        </w:trPr>
        <w:tc>
          <w:tcPr>
            <w:tcW w:w="1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Purchase obligations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2,877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2,877</w:t>
            </w:r>
          </w:p>
        </w:tc>
        <w:tc>
          <w:tcPr>
            <w:tcW w:w="40" w:type="dxa"/>
            <w:vAlign w:val="bottom"/>
            <w:shd w:val="clear" w:color="auto" w:fill="CCEEFF"/>
          </w:tcPr>
          <w:p>
            <w:pPr>
              <w:spacing w:after="0"/>
              <w:rPr>
                <w:sz w:val="16"/>
                <w:szCs w:val="16"/>
                <w:color w:val="auto"/>
              </w:rPr>
            </w:pPr>
          </w:p>
        </w:tc>
      </w:tr>
      <w:tr>
        <w:trPr>
          <w:trHeight w:val="203"/>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Operating leases</w:t>
            </w:r>
            <w:r>
              <w:rPr>
                <w:rFonts w:ascii="Arial" w:cs="Arial" w:eastAsia="Arial" w:hAnsi="Arial"/>
                <w:sz w:val="17"/>
                <w:szCs w:val="17"/>
                <w:b w:val="1"/>
                <w:bCs w:val="1"/>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13,706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11,613</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2,362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27,763</w:t>
            </w:r>
          </w:p>
        </w:tc>
        <w:tc>
          <w:tcPr>
            <w:tcW w:w="40" w:type="dxa"/>
            <w:vAlign w:val="bottom"/>
            <w:tcBorders>
              <w:bottom w:val="single" w:sz="8" w:color="CCEEFF"/>
            </w:tcBorders>
          </w:tcPr>
          <w:p>
            <w:pPr>
              <w:spacing w:after="0"/>
              <w:rPr>
                <w:sz w:val="17"/>
                <w:szCs w:val="17"/>
                <w:color w:val="auto"/>
              </w:rPr>
            </w:pPr>
          </w:p>
        </w:tc>
      </w:tr>
      <w:tr>
        <w:trPr>
          <w:trHeight w:val="176"/>
        </w:trPr>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35,433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49,748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36,475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552,554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674,210</w:t>
            </w:r>
          </w:p>
        </w:tc>
        <w:tc>
          <w:tcPr>
            <w:tcW w:w="40" w:type="dxa"/>
            <w:vAlign w:val="bottom"/>
            <w:shd w:val="clear" w:color="auto" w:fill="CCEEFF"/>
          </w:tcPr>
          <w:p>
            <w:pPr>
              <w:spacing w:after="0"/>
              <w:rPr>
                <w:sz w:val="15"/>
                <w:szCs w:val="15"/>
                <w:color w:val="auto"/>
              </w:rPr>
            </w:pPr>
          </w:p>
        </w:tc>
      </w:tr>
    </w:tbl>
    <w:p>
      <w:pPr>
        <w:ind w:left="120" w:hanging="112"/>
        <w:spacing w:after="0" w:line="220" w:lineRule="auto"/>
        <w:tabs>
          <w:tab w:leader="none" w:pos="1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Principal payments</w:t>
      </w:r>
    </w:p>
    <w:p>
      <w:pPr>
        <w:spacing w:after="0" w:line="23" w:lineRule="exact"/>
        <w:rPr>
          <w:sz w:val="20"/>
          <w:szCs w:val="20"/>
          <w:color w:val="auto"/>
        </w:rPr>
      </w:pPr>
    </w:p>
    <w:p>
      <w:pPr>
        <w:ind w:left="120" w:hanging="112"/>
        <w:spacing w:after="0"/>
        <w:tabs>
          <w:tab w:leader="none" w:pos="1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 our</w:t>
      </w:r>
    </w:p>
    <w:p>
      <w:pPr>
        <w:spacing w:after="0" w:line="57" w:lineRule="exact"/>
        <w:rPr>
          <w:sz w:val="20"/>
          <w:szCs w:val="20"/>
          <w:color w:val="auto"/>
        </w:rPr>
      </w:pPr>
    </w:p>
    <w:p>
      <w:pPr>
        <w:ind w:left="100"/>
        <w:spacing w:after="0" w:line="279" w:lineRule="auto"/>
        <w:rPr>
          <w:sz w:val="20"/>
          <w:szCs w:val="20"/>
          <w:color w:val="auto"/>
        </w:rPr>
      </w:pPr>
      <w:r>
        <w:rPr>
          <w:rFonts w:ascii="Arial" w:cs="Arial" w:eastAsia="Arial" w:hAnsi="Arial"/>
          <w:sz w:val="14"/>
          <w:szCs w:val="14"/>
          <w:color w:val="auto"/>
        </w:rPr>
        <w:t>deferred compensation plans. Our estimated distributions in the contractual obligations table are based upon a number of assumptions including termination dates and participant elections. Deferred compensation balances earn interest based on rates of return on funds established by the Compensation and Human Resources Committee of the Board of Directors, and are payable at the election of the participants.</w:t>
      </w:r>
    </w:p>
    <w:p>
      <w:pPr>
        <w:ind w:left="120" w:hanging="112"/>
        <w:spacing w:after="0" w:line="206" w:lineRule="auto"/>
        <w:tabs>
          <w:tab w:leader="none" w:pos="1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do not include payments to landlords covering real estate taxes and common area maintenance.</w:t>
      </w:r>
    </w:p>
    <w:p>
      <w:pPr>
        <w:spacing w:after="0" w:line="133"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As of October 31, 2007, we also had $11.7 million in outstanding letters of credit issued during the normal course of business, as required by some vendor contracts.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Market Risk</w:t>
      </w:r>
    </w:p>
    <w:p>
      <w:pPr>
        <w:spacing w:after="0" w:line="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Risk,” and Note 13 of the notes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Inflation</w:t>
      </w:r>
    </w:p>
    <w:p>
      <w:pPr>
        <w:spacing w:after="0" w:line="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subject to the effects of inflation and changing prices. As previously mentioned, we experienced rising prices for steel; fuel; petroleum-based resins; steel-, lead-, and copper-based component parts; and other commodities during fiscal 2007, which hampered our gross margin growth rate in fiscal 2007 compared to fiscal 2006. In fiscal 2008, we expect average prices paid for commodities to increase compared to fiscal 2007. We plan to attempt to mitigate the impact of these anticipated increases in commodity costs and other inflationary pressures by engaging in proactive vendor negotiations and internal cost reduction efforts, reviewing alternative sourcing options, and introducing moderate price increases on some products.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Acquisitions</w:t>
      </w:r>
    </w:p>
    <w:p>
      <w:pPr>
        <w:spacing w:after="0" w:line="4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In fiscal 2007, we completed the acquisition of Rain Master. Rain Master manufactures irrigation central controllers and other products for the commercial landscape market, with annual sales of approximately $10 million.</w:t>
      </w:r>
    </w:p>
    <w:p>
      <w:pPr>
        <w:ind w:right="280" w:firstLine="180"/>
        <w:spacing w:after="0" w:line="266" w:lineRule="auto"/>
        <w:rPr>
          <w:sz w:val="20"/>
          <w:szCs w:val="20"/>
          <w:color w:val="auto"/>
        </w:rPr>
      </w:pPr>
      <w:r>
        <w:rPr>
          <w:rFonts w:ascii="Arial" w:cs="Arial" w:eastAsia="Arial" w:hAnsi="Arial"/>
          <w:sz w:val="18"/>
          <w:szCs w:val="18"/>
          <w:color w:val="auto"/>
        </w:rPr>
        <w:t>In fiscal 2007, we also completed the purchase of certain assets and assumed certain liabilities of Allen Hover Mower. Allen Hover Mower sells walk power mowers worldwide that are specifically designed to perform well on steep inclines for the golf course and grounds maintenance market, with annual sales of approximately $2 million.</w:t>
      </w:r>
    </w:p>
    <w:p>
      <w:pPr>
        <w:spacing w:after="0" w:line="1" w:lineRule="exact"/>
        <w:rPr>
          <w:sz w:val="20"/>
          <w:szCs w:val="20"/>
          <w:color w:val="auto"/>
        </w:rPr>
      </w:pPr>
    </w:p>
    <w:p>
      <w:pPr>
        <w:ind w:right="160" w:firstLine="180"/>
        <w:spacing w:after="0" w:line="271" w:lineRule="auto"/>
        <w:rPr>
          <w:sz w:val="20"/>
          <w:szCs w:val="20"/>
          <w:color w:val="auto"/>
        </w:rPr>
      </w:pPr>
      <w:r>
        <w:rPr>
          <w:rFonts w:ascii="Arial" w:cs="Arial" w:eastAsia="Arial" w:hAnsi="Arial"/>
          <w:sz w:val="18"/>
          <w:szCs w:val="18"/>
          <w:color w:val="auto"/>
        </w:rPr>
        <w:t>In fiscal 2005, we completed the acquisition of certain assets and assumed certain liabilities of Hayter. Hayter designs, manufactures, and markets residential and professional turf maintenance equipment primarily for the United Kingdom market, with annual sales of approximately $50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CRITICAL ACCOUNTING POLICIES AND ESTIMATES</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 w:lineRule="exact"/>
        <w:rPr>
          <w:sz w:val="20"/>
          <w:szCs w:val="20"/>
          <w:color w:val="auto"/>
        </w:rPr>
      </w:pPr>
    </w:p>
    <w:p>
      <w:pPr>
        <w:ind w:right="80" w:firstLine="180"/>
        <w:spacing w:after="0" w:line="268" w:lineRule="auto"/>
        <w:rPr>
          <w:sz w:val="20"/>
          <w:szCs w:val="20"/>
          <w:color w:val="auto"/>
        </w:rPr>
      </w:pPr>
      <w:r>
        <w:rPr>
          <w:rFonts w:ascii="Arial" w:cs="Arial" w:eastAsia="Arial" w:hAnsi="Arial"/>
          <w:sz w:val="18"/>
          <w:szCs w:val="18"/>
          <w:color w:val="auto"/>
        </w:rPr>
        <w:t>Our significant accounting policies are described in Note 1 of the notes to our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7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b w:val="1"/>
          <w:bCs w:val="1"/>
          <w:i w:val="1"/>
          <w:iCs w:val="1"/>
          <w:color w:val="4673B6"/>
        </w:rPr>
        <w:t xml:space="preserve">Warranty Reserve. </w:t>
      </w:r>
      <w:r>
        <w:rPr>
          <w:rFonts w:ascii="Arial" w:cs="Arial" w:eastAsia="Arial" w:hAnsi="Arial"/>
          <w:sz w:val="17"/>
          <w:szCs w:val="17"/>
          <w:color w:val="000000"/>
        </w:rPr>
        <w:t>Warranty coverage on our products ranges from a period of six months to seven years, and covers parts, labor, and other</w:t>
      </w:r>
      <w:r>
        <w:rPr>
          <w:rFonts w:ascii="Arial" w:cs="Arial" w:eastAsia="Arial" w:hAnsi="Arial"/>
          <w:sz w:val="17"/>
          <w:szCs w:val="17"/>
          <w:b w:val="1"/>
          <w:bCs w:val="1"/>
          <w:i w:val="1"/>
          <w:iCs w:val="1"/>
          <w:color w:val="4673B6"/>
        </w:rPr>
        <w:t xml:space="preserve"> </w:t>
      </w:r>
      <w:r>
        <w:rPr>
          <w:rFonts w:ascii="Arial" w:cs="Arial" w:eastAsia="Arial" w:hAnsi="Arial"/>
          <w:sz w:val="17"/>
          <w:szCs w:val="17"/>
          <w:color w:val="000000"/>
        </w:rPr>
        <w:t>expenses for non-maintenance repairs. Warranty coverage generally does not cover operator abuse and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w:t>
      </w:r>
    </w:p>
    <w:p>
      <w:pPr>
        <w:sectPr>
          <w:pgSz w:w="11900" w:h="16838" w:orient="portrait"/>
          <w:cols w:equalWidth="0" w:num="1">
            <w:col w:w="11400"/>
          </w:cols>
          <w:pgMar w:left="240" w:top="130" w:right="259" w:bottom="0" w:gutter="0" w:footer="0" w:header="0"/>
        </w:sectPr>
      </w:pPr>
    </w:p>
    <w:bookmarkStart w:id="28" w:name="page29"/>
    <w:bookmarkEnd w:id="28"/>
    <w:p>
      <w:pPr>
        <w:ind w:right="80"/>
        <w:spacing w:after="0" w:line="268" w:lineRule="auto"/>
        <w:rPr>
          <w:sz w:val="20"/>
          <w:szCs w:val="20"/>
          <w:color w:val="auto"/>
        </w:rPr>
      </w:pPr>
      <w:r>
        <w:rPr>
          <w:rFonts w:ascii="Arial" w:cs="Arial" w:eastAsia="Arial" w:hAnsi="Arial"/>
          <w:sz w:val="18"/>
          <w:szCs w:val="18"/>
          <w:color w:val="auto"/>
        </w:rPr>
        <w:t>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4673B6"/>
        </w:rPr>
        <w:t xml:space="preserve">Sales Promotions and Incentives. </w:t>
      </w:r>
      <w:r>
        <w:rPr>
          <w:rFonts w:ascii="Arial" w:cs="Arial" w:eastAsia="Arial" w:hAnsi="Arial"/>
          <w:sz w:val="18"/>
          <w:szCs w:val="18"/>
          <w:color w:val="000000"/>
        </w:rPr>
        <w:t>At the time of sale to a customer, we record an estimate for sales promotion and incentive costs, which are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4673B6"/>
        </w:rPr>
        <w:t xml:space="preserve">Inventory Valuation. </w:t>
      </w:r>
      <w:r>
        <w:rPr>
          <w:rFonts w:ascii="Arial" w:cs="Arial" w:eastAsia="Arial" w:hAnsi="Arial"/>
          <w:sz w:val="18"/>
          <w:szCs w:val="18"/>
          <w:color w:val="000000"/>
        </w:rPr>
        <w:t>We value our inventories at the lower of the cost of inventory or net realizable value, with cost determined by either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last-in, first-out (LIFO)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3" w:lineRule="exact"/>
        <w:rPr>
          <w:sz w:val="20"/>
          <w:szCs w:val="20"/>
          <w:color w:val="auto"/>
        </w:rPr>
      </w:pPr>
    </w:p>
    <w:p>
      <w:pPr>
        <w:ind w:firstLine="180"/>
        <w:spacing w:after="0" w:line="270"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73"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4673B6"/>
        </w:rPr>
        <w:t xml:space="preserve">Accounts and Notes Receivable Valuation. </w:t>
      </w:r>
      <w:r>
        <w:rPr>
          <w:rFonts w:ascii="Arial" w:cs="Arial" w:eastAsia="Arial" w:hAnsi="Arial"/>
          <w:sz w:val="18"/>
          <w:szCs w:val="18"/>
          <w:color w:val="000000"/>
        </w:rPr>
        <w:t>We value accounts and notes receivable, net of an allowance for doubtful accounts. Each fiscal</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 to be Adopted</w:t>
      </w:r>
    </w:p>
    <w:p>
      <w:pPr>
        <w:spacing w:after="0" w:line="4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In December 2007, the Financial Accounting Standards Board (FASB) issued Statement of Financial Accounting Standards (SFAS) No. 141 (Revised 2007), “Business Combinations.” SFAS No. 141R applies to all business combinations and requires most identifiable assets, liabilities, noncontrolling interests, and goodwill acquired to be recorded at “full fair value.” We will adopt the provisions of SFAS No. 141R to any business combination occurring on or after November 1, 2009, as required.</w:t>
      </w:r>
    </w:p>
    <w:p>
      <w:pPr>
        <w:spacing w:after="0" w:line="1" w:lineRule="exact"/>
        <w:rPr>
          <w:sz w:val="20"/>
          <w:szCs w:val="20"/>
          <w:color w:val="auto"/>
        </w:rPr>
      </w:pPr>
    </w:p>
    <w:p>
      <w:pPr>
        <w:jc w:val="both"/>
        <w:ind w:right="100" w:firstLine="180"/>
        <w:spacing w:after="0" w:line="28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will adopt the provisions of SFAS No. 157 for financial assets and liabilities and nonfinancial assets and liabilities measured at fair value on a recurring basis during the first quarter of fiscal 2009, as required.</w:t>
      </w:r>
    </w:p>
    <w:p>
      <w:pPr>
        <w:spacing w:after="0" w:line="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this new pronouncement will have a material impact on our consolidated financial condition or results of operations.</w:t>
      </w:r>
    </w:p>
    <w:p>
      <w:pPr>
        <w:spacing w:after="0" w:line="1"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In August 2006, the FASB issued Staff Position No. AUG AIR-1, “Accounting for Planned Major Maintenance Activities.” This Staff Position prohibits the use of the accrue-in-advance method of accounting for planned major maintenance activities in annual and interim financial reporting periods. We adopted the provisions of this Staff Position as of November 1, 2007, as required, and the adoption of this Staff Position will not have a material impact on our fiscal 2008 consolidated results of operations or financial condition.</w:t>
      </w:r>
    </w:p>
    <w:p>
      <w:pPr>
        <w:spacing w:after="0" w:line="1"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In July 2006, the FASB issued Interpretation No. 48, “Accounting for Uncertainty in Income Taxes” (FIN No. 48). This interpretation clarifies the accounting for uncertainty in income taxes recognized in an entity’s financial statements in accordance</w:t>
      </w:r>
    </w:p>
    <w:p>
      <w:pPr>
        <w:sectPr>
          <w:pgSz w:w="11900" w:h="16838" w:orient="portrait"/>
          <w:cols w:equalWidth="0" w:num="1">
            <w:col w:w="11400"/>
          </w:cols>
          <w:pgMar w:left="240" w:top="15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52" w:right="259" w:bottom="0" w:gutter="0" w:footer="0" w:header="0"/>
          <w:type w:val="continuous"/>
        </w:sectPr>
      </w:pPr>
    </w:p>
    <w:bookmarkStart w:id="29" w:name="page30"/>
    <w:bookmarkEnd w:id="2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both"/>
        <w:ind w:right="280"/>
        <w:spacing w:after="0" w:line="266" w:lineRule="auto"/>
        <w:rPr>
          <w:sz w:val="20"/>
          <w:szCs w:val="20"/>
          <w:color w:val="auto"/>
        </w:rPr>
      </w:pPr>
      <w:r>
        <w:rPr>
          <w:rFonts w:ascii="Arial" w:cs="Arial" w:eastAsia="Arial" w:hAnsi="Arial"/>
          <w:sz w:val="18"/>
          <w:szCs w:val="18"/>
          <w:color w:val="auto"/>
        </w:rPr>
        <w:t>with SFAS No. 109, “Accounting for Income Taxes.” It prescribes a recognition threshold and measurement attributes for financial statement disclosure of tax positions taken or expected to be taken on a tax return. We adopted the provisions of this interpretation as of November 1, 2007, as required, and the adoption of this Interpretation will not have a material impact to our fiscal 2008 consolidated financial condition or results of operations.</w:t>
      </w:r>
    </w:p>
    <w:p>
      <w:pPr>
        <w:spacing w:after="0" w:line="1"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2007 is expected to have a material impact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7A. QUANTITATIVE AND QUALITATIVE DISCLOSURES ABOUT MARKET RISK</w:t>
      </w:r>
    </w:p>
    <w:p>
      <w:pPr>
        <w:spacing w:after="0" w:line="26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3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4673B6"/>
        </w:rPr>
        <w:t xml:space="preserve">Foreign Currency Exchange Rate Risk. </w:t>
      </w:r>
      <w:r>
        <w:rPr>
          <w:rFonts w:ascii="Arial" w:cs="Arial" w:eastAsia="Arial" w:hAnsi="Arial"/>
          <w:sz w:val="18"/>
          <w:szCs w:val="18"/>
          <w:color w:val="000000"/>
        </w:rPr>
        <w:t>In the normal course of business, we actively manage the exposure of our foreign currency market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risk 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our results from operations outside the United States, while a weaker dollar generally has a positive effect. Our primary currency exchange rate exposure is with the Euro, the Australian dollar, the Canadian dollar, the British pound, the Mexican peso, and the Japanese yen against the U.S. dollar.</w:t>
      </w:r>
    </w:p>
    <w:p>
      <w:pPr>
        <w:spacing w:after="0" w:line="7"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2007, 2006, and 2005, the amount of losses treated as a reduction of net sales for contracts to hedge sales were $2.2 million, $0.4 million, and $3.0 million, respectively. The gains treated as a reduction to cost of sales for contracts to hedge inventory purchases were $1.0 million for fiscal 2007, $0.1 million for fiscal 2006, and $1.3 million for fiscal 2005.</w:t>
      </w:r>
    </w:p>
    <w:p>
      <w:pPr>
        <w:spacing w:after="0" w:line="2" w:lineRule="exact"/>
        <w:rPr>
          <w:sz w:val="20"/>
          <w:szCs w:val="20"/>
          <w:color w:val="auto"/>
        </w:rPr>
      </w:pPr>
    </w:p>
    <w:p>
      <w:pPr>
        <w:ind w:right="80" w:firstLine="180"/>
        <w:spacing w:after="0" w:line="269" w:lineRule="auto"/>
        <w:rPr>
          <w:sz w:val="20"/>
          <w:szCs w:val="20"/>
          <w:color w:val="auto"/>
        </w:rPr>
      </w:pPr>
      <w:r>
        <w:rPr>
          <w:rFonts w:ascii="Arial" w:cs="Arial" w:eastAsia="Arial" w:hAnsi="Arial"/>
          <w:sz w:val="18"/>
          <w:szCs w:val="18"/>
          <w:color w:val="auto"/>
        </w:rPr>
        <w:t>The following foreign currency exchange contracts held by us have maturity dates in fiscal 2008. All items are non-trading and stated in U.S. dollars. Some derivative instruments we enter into do not meet the hedging criteria of SFAS No. 133, “Accounting for Derivative Instruments and Hedging Activities;”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2007 were as follows:</w:t>
      </w:r>
    </w:p>
    <w:p>
      <w:pPr>
        <w:spacing w:after="0" w:line="131" w:lineRule="exact"/>
        <w:rPr>
          <w:sz w:val="20"/>
          <w:szCs w:val="20"/>
          <w:color w:val="auto"/>
        </w:rPr>
      </w:pPr>
    </w:p>
    <w:tbl>
      <w:tblPr>
        <w:tblLayout w:type="fixed"/>
        <w:tblInd w:w="3380" w:type="dxa"/>
        <w:tblCellMar>
          <w:top w:w="0" w:type="dxa"/>
          <w:left w:w="0" w:type="dxa"/>
          <w:bottom w:w="0" w:type="dxa"/>
          <w:right w:w="0" w:type="dxa"/>
        </w:tblCellMar>
      </w:tblPr>
      <w:tr>
        <w:trPr>
          <w:trHeight w:val="175"/>
        </w:trPr>
        <w:tc>
          <w:tcPr>
            <w:tcW w:w="15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Value in</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Fair Value</w:t>
            </w:r>
          </w:p>
        </w:tc>
        <w:tc>
          <w:tcPr>
            <w:tcW w:w="80" w:type="dxa"/>
            <w:vAlign w:val="bottom"/>
          </w:tcPr>
          <w:p>
            <w:pPr>
              <w:spacing w:after="0"/>
              <w:rPr>
                <w:sz w:val="15"/>
                <w:szCs w:val="15"/>
                <w:color w:val="auto"/>
              </w:rPr>
            </w:pP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Dollars in thousands</w:t>
            </w:r>
          </w:p>
        </w:tc>
        <w:tc>
          <w:tcPr>
            <w:tcW w:w="800" w:type="dxa"/>
            <w:vAlign w:val="bottom"/>
          </w:tcPr>
          <w:p>
            <w:pPr>
              <w:jc w:val="right"/>
              <w:spacing w:after="0"/>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AOCL</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Impact</w:t>
            </w: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(except average</w:t>
            </w:r>
          </w:p>
        </w:tc>
        <w:tc>
          <w:tcPr>
            <w:tcW w:w="80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Notional</w:t>
            </w: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(Loss)</w:t>
            </w: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contracted rate)</w:t>
            </w:r>
          </w:p>
        </w:tc>
        <w:tc>
          <w:tcPr>
            <w:tcW w:w="800" w:type="dxa"/>
            <w:vAlign w:val="bottom"/>
          </w:tcPr>
          <w:p>
            <w:pPr>
              <w:jc w:val="right"/>
              <w:spacing w:after="0"/>
              <w:rPr>
                <w:sz w:val="20"/>
                <w:szCs w:val="20"/>
                <w:color w:val="auto"/>
              </w:rPr>
            </w:pPr>
            <w:r>
              <w:rPr>
                <w:rFonts w:ascii="Arial" w:cs="Arial" w:eastAsia="Arial" w:hAnsi="Arial"/>
                <w:sz w:val="14"/>
                <w:szCs w:val="14"/>
                <w:color w:val="auto"/>
              </w:rPr>
              <w:t>Rate</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Gain</w:t>
            </w:r>
          </w:p>
        </w:tc>
      </w:tr>
      <w:tr>
        <w:trPr>
          <w:trHeight w:val="139"/>
        </w:trPr>
        <w:tc>
          <w:tcPr>
            <w:tcW w:w="15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Buy U.S. $/Sell</w:t>
            </w: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79"/>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Canadian dollar</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0.9899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w:t>
            </w:r>
          </w:p>
        </w:tc>
        <w:tc>
          <w:tcPr>
            <w:tcW w:w="80" w:type="dxa"/>
            <w:vAlign w:val="bottom"/>
            <w:shd w:val="clear" w:color="auto" w:fill="CCEEFF"/>
          </w:tcPr>
          <w:p>
            <w:pPr>
              <w:spacing w:after="0"/>
              <w:rPr>
                <w:sz w:val="15"/>
                <w:szCs w:val="15"/>
                <w:color w:val="auto"/>
              </w:rPr>
            </w:pPr>
          </w:p>
        </w:tc>
      </w:tr>
      <w:tr>
        <w:trPr>
          <w:trHeight w:val="145"/>
        </w:trPr>
        <w:tc>
          <w:tcPr>
            <w:tcW w:w="1540" w:type="dxa"/>
            <w:vAlign w:val="bottom"/>
          </w:tcPr>
          <w:p>
            <w:pPr>
              <w:spacing w:after="0" w:line="145" w:lineRule="exact"/>
              <w:rPr>
                <w:sz w:val="20"/>
                <w:szCs w:val="20"/>
                <w:color w:val="auto"/>
              </w:rPr>
            </w:pPr>
            <w:r>
              <w:rPr>
                <w:rFonts w:ascii="Arial" w:cs="Arial" w:eastAsia="Arial" w:hAnsi="Arial"/>
                <w:sz w:val="14"/>
                <w:szCs w:val="14"/>
                <w:b w:val="1"/>
                <w:bCs w:val="1"/>
                <w:color w:val="auto"/>
              </w:rPr>
              <w:t>Buy U.S. $/Sell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540" w:type="dxa"/>
            <w:vAlign w:val="bottom"/>
          </w:tcPr>
          <w:p>
            <w:pPr>
              <w:ind w:left="180"/>
              <w:spacing w:after="0"/>
              <w:rPr>
                <w:sz w:val="20"/>
                <w:szCs w:val="20"/>
                <w:color w:val="auto"/>
              </w:rPr>
            </w:pPr>
            <w:r>
              <w:rPr>
                <w:rFonts w:ascii="Arial" w:cs="Arial" w:eastAsia="Arial" w:hAnsi="Arial"/>
                <w:sz w:val="14"/>
                <w:szCs w:val="14"/>
                <w:b w:val="1"/>
                <w:bCs w:val="1"/>
                <w:color w:val="auto"/>
              </w:rPr>
              <w:t>Australian dollar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0.8722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9"/>
              </w:rPr>
              <w:t>57,973.3</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(2,222.2)</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(2,667.2)</w:t>
            </w:r>
          </w:p>
        </w:tc>
      </w:tr>
      <w:tr>
        <w:trPr>
          <w:trHeight w:val="163"/>
        </w:trPr>
        <w:tc>
          <w:tcPr>
            <w:tcW w:w="1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1.3961</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94,516.7</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(3,438.5)</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(1,344.7)</w:t>
            </w:r>
          </w:p>
        </w:tc>
      </w:tr>
      <w:tr>
        <w:trPr>
          <w:trHeight w:val="145"/>
        </w:trPr>
        <w:tc>
          <w:tcPr>
            <w:tcW w:w="1540" w:type="dxa"/>
            <w:vAlign w:val="bottom"/>
          </w:tcPr>
          <w:p>
            <w:pPr>
              <w:spacing w:after="0" w:line="145" w:lineRule="exact"/>
              <w:rPr>
                <w:sz w:val="20"/>
                <w:szCs w:val="20"/>
                <w:color w:val="auto"/>
              </w:rPr>
            </w:pPr>
            <w:r>
              <w:rPr>
                <w:rFonts w:ascii="Arial" w:cs="Arial" w:eastAsia="Arial" w:hAnsi="Arial"/>
                <w:sz w:val="14"/>
                <w:szCs w:val="14"/>
                <w:b w:val="1"/>
                <w:bCs w:val="1"/>
                <w:color w:val="auto"/>
              </w:rPr>
              <w:t>Buy U.S. $/Sell British</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540" w:type="dxa"/>
            <w:vAlign w:val="bottom"/>
          </w:tcPr>
          <w:p>
            <w:pPr>
              <w:ind w:left="180"/>
              <w:spacing w:after="0"/>
              <w:rPr>
                <w:sz w:val="20"/>
                <w:szCs w:val="20"/>
                <w:color w:val="auto"/>
              </w:rPr>
            </w:pPr>
            <w:r>
              <w:rPr>
                <w:rFonts w:ascii="Arial" w:cs="Arial" w:eastAsia="Arial" w:hAnsi="Arial"/>
                <w:sz w:val="14"/>
                <w:szCs w:val="14"/>
                <w:b w:val="1"/>
                <w:bCs w:val="1"/>
                <w:color w:val="auto"/>
              </w:rPr>
              <w:t>pound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2.0598</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3,707.6</w:t>
            </w:r>
          </w:p>
        </w:tc>
        <w:tc>
          <w:tcPr>
            <w:tcW w:w="1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(31.1)</w:t>
            </w:r>
          </w:p>
        </w:tc>
      </w:tr>
      <w:tr>
        <w:trPr>
          <w:trHeight w:val="146"/>
        </w:trPr>
        <w:tc>
          <w:tcPr>
            <w:tcW w:w="154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Buy Australian</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9"/>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dollar/Sell U.S.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0.9311</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r>
      <w:tr>
        <w:trPr>
          <w:trHeight w:val="145"/>
        </w:trPr>
        <w:tc>
          <w:tcPr>
            <w:tcW w:w="1540" w:type="dxa"/>
            <w:vAlign w:val="bottom"/>
          </w:tcPr>
          <w:p>
            <w:pPr>
              <w:spacing w:after="0" w:line="145" w:lineRule="exact"/>
              <w:rPr>
                <w:sz w:val="20"/>
                <w:szCs w:val="20"/>
                <w:color w:val="auto"/>
              </w:rPr>
            </w:pPr>
            <w:r>
              <w:rPr>
                <w:rFonts w:ascii="Arial" w:cs="Arial" w:eastAsia="Arial" w:hAnsi="Arial"/>
                <w:sz w:val="14"/>
                <w:szCs w:val="14"/>
                <w:b w:val="1"/>
                <w:bCs w:val="1"/>
                <w:color w:val="auto"/>
              </w:rPr>
              <w:t>Buy Euro/Sell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540" w:type="dxa"/>
            <w:vAlign w:val="bottom"/>
          </w:tcPr>
          <w:p>
            <w:pPr>
              <w:ind w:left="180"/>
              <w:spacing w:after="0"/>
              <w:rPr>
                <w:sz w:val="20"/>
                <w:szCs w:val="20"/>
                <w:color w:val="auto"/>
              </w:rPr>
            </w:pPr>
            <w:r>
              <w:rPr>
                <w:rFonts w:ascii="Arial" w:cs="Arial" w:eastAsia="Arial" w:hAnsi="Arial"/>
                <w:sz w:val="14"/>
                <w:szCs w:val="14"/>
                <w:b w:val="1"/>
                <w:bCs w:val="1"/>
                <w:color w:val="auto"/>
              </w:rPr>
              <w:t>Australian dollar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0.6163</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79.1</w:t>
            </w:r>
          </w:p>
        </w:tc>
        <w:tc>
          <w:tcPr>
            <w:tcW w:w="1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(3.4)</w:t>
            </w:r>
          </w:p>
        </w:tc>
      </w:tr>
      <w:tr>
        <w:trPr>
          <w:trHeight w:val="146"/>
        </w:trPr>
        <w:tc>
          <w:tcPr>
            <w:tcW w:w="154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Buy British pound/Sell</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9"/>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U.S.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2.0898</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(0.6)</w:t>
            </w:r>
          </w:p>
        </w:tc>
      </w:tr>
      <w:tr>
        <w:trPr>
          <w:trHeight w:val="145"/>
        </w:trPr>
        <w:tc>
          <w:tcPr>
            <w:tcW w:w="1540" w:type="dxa"/>
            <w:vAlign w:val="bottom"/>
          </w:tcPr>
          <w:p>
            <w:pPr>
              <w:spacing w:after="0" w:line="145" w:lineRule="exact"/>
              <w:rPr>
                <w:sz w:val="20"/>
                <w:szCs w:val="20"/>
                <w:color w:val="auto"/>
              </w:rPr>
            </w:pPr>
            <w:r>
              <w:rPr>
                <w:rFonts w:ascii="Arial" w:cs="Arial" w:eastAsia="Arial" w:hAnsi="Arial"/>
                <w:sz w:val="14"/>
                <w:szCs w:val="14"/>
                <w:b w:val="1"/>
                <w:bCs w:val="1"/>
                <w:color w:val="auto"/>
              </w:rPr>
              <w:t>Buy Japanese yen/Sell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540" w:type="dxa"/>
            <w:vAlign w:val="bottom"/>
          </w:tcPr>
          <w:p>
            <w:pPr>
              <w:ind w:left="180"/>
              <w:spacing w:after="0"/>
              <w:rPr>
                <w:sz w:val="20"/>
                <w:szCs w:val="20"/>
                <w:color w:val="auto"/>
              </w:rPr>
            </w:pPr>
            <w:r>
              <w:rPr>
                <w:rFonts w:ascii="Arial" w:cs="Arial" w:eastAsia="Arial" w:hAnsi="Arial"/>
                <w:sz w:val="14"/>
                <w:szCs w:val="14"/>
                <w:b w:val="1"/>
                <w:bCs w:val="1"/>
                <w:color w:val="auto"/>
              </w:rPr>
              <w:t>U.S.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114.6200</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87.2</w:t>
            </w:r>
          </w:p>
        </w:tc>
        <w:tc>
          <w:tcPr>
            <w:tcW w:w="1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(0.6)</w:t>
            </w:r>
          </w:p>
        </w:tc>
      </w:tr>
      <w:tr>
        <w:trPr>
          <w:trHeight w:val="146"/>
        </w:trPr>
        <w:tc>
          <w:tcPr>
            <w:tcW w:w="154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Buy Mexican peso/Sell</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8"/>
        </w:trPr>
        <w:tc>
          <w:tcPr>
            <w:tcW w:w="1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U.S.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11.0828</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9,654.6</w:t>
            </w: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239.1</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1,008.3</w:t>
            </w:r>
          </w:p>
        </w:tc>
        <w:tc>
          <w:tcPr>
            <w:tcW w:w="8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right="140" w:firstLine="180"/>
        <w:spacing w:after="0" w:line="271"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33" w:lineRule="exact"/>
        <w:rPr>
          <w:sz w:val="20"/>
          <w:szCs w:val="20"/>
          <w:color w:val="auto"/>
        </w:rPr>
      </w:pPr>
    </w:p>
    <w:p>
      <w:pPr>
        <w:jc w:val="both"/>
        <w:ind w:right="160"/>
        <w:spacing w:after="0" w:line="278" w:lineRule="auto"/>
        <w:rPr>
          <w:sz w:val="20"/>
          <w:szCs w:val="20"/>
          <w:color w:val="auto"/>
        </w:rPr>
      </w:pPr>
      <w:r>
        <w:rPr>
          <w:rFonts w:ascii="Arial" w:cs="Arial" w:eastAsia="Arial" w:hAnsi="Arial"/>
          <w:sz w:val="18"/>
          <w:szCs w:val="18"/>
          <w:b w:val="1"/>
          <w:bCs w:val="1"/>
          <w:i w:val="1"/>
          <w:iCs w:val="1"/>
          <w:color w:val="4673B6"/>
        </w:rPr>
        <w:t xml:space="preserve">Interest Rate Risk. </w:t>
      </w:r>
      <w:r>
        <w:rPr>
          <w:rFonts w:ascii="Arial" w:cs="Arial" w:eastAsia="Arial" w:hAnsi="Arial"/>
          <w:sz w:val="18"/>
          <w:szCs w:val="18"/>
          <w:color w:val="000000"/>
        </w:rPr>
        <w:t>Our market risk on interest rates relates primarily to LIBOR-based short-term debt from commercial banks as well as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potential 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As of October 31, 2007, our financial liabilities with exposure to changes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interest rates consisted mainly of $0.4 million of short-term debt outstanding. Assuming a hypothetical increase of one percent (100 basis points) in short-term interest rates, with all other variables remaining constant, including the average balance of short-term debt outstanding</w:t>
      </w:r>
    </w:p>
    <w:p>
      <w:pPr>
        <w:sectPr>
          <w:pgSz w:w="11900" w:h="16915" w:orient="portrait"/>
          <w:cols w:equalWidth="0" w:num="1">
            <w:col w:w="11400"/>
          </w:cols>
          <w:pgMar w:left="240" w:top="895" w:right="259" w:bottom="0" w:gutter="0" w:footer="0" w:header="0"/>
        </w:sectPr>
      </w:pPr>
    </w:p>
    <w:bookmarkStart w:id="30" w:name="page31"/>
    <w:bookmarkEnd w:id="30"/>
    <w:p>
      <w:pPr>
        <w:ind w:right="140"/>
        <w:spacing w:after="0" w:line="266" w:lineRule="auto"/>
        <w:rPr>
          <w:sz w:val="20"/>
          <w:szCs w:val="20"/>
          <w:color w:val="auto"/>
        </w:rPr>
      </w:pPr>
      <w:r>
        <w:rPr>
          <w:rFonts w:ascii="Arial" w:cs="Arial" w:eastAsia="Arial" w:hAnsi="Arial"/>
          <w:sz w:val="18"/>
          <w:szCs w:val="18"/>
          <w:color w:val="auto"/>
        </w:rPr>
        <w:t>during fiscal 2007, interest expense would have increased $0.5 million in fiscal 2007. Included in long-term debt is $229.2 million of fixed-rate debt that is not subject to variable interest rate fluctuations. As a result, we have no earnings or cash flow exposure due to market risks on our long-term debt obligations. As of October 31, 2007, the estimated fair value of long-term debt with fixed interest rates was $241.6 million compared to its carrying value of $229.2 million. The fair value is estimated by discounting the projected cash flows using the rate that similar amounts of debt could currently be borrowed.</w:t>
      </w:r>
    </w:p>
    <w:p>
      <w:pPr>
        <w:spacing w:after="0" w:line="1" w:lineRule="exact"/>
        <w:rPr>
          <w:sz w:val="20"/>
          <w:szCs w:val="20"/>
          <w:color w:val="auto"/>
        </w:rPr>
      </w:pPr>
    </w:p>
    <w:p>
      <w:pPr>
        <w:ind w:right="200" w:firstLine="180"/>
        <w:spacing w:after="0" w:line="279" w:lineRule="auto"/>
        <w:rPr>
          <w:sz w:val="20"/>
          <w:szCs w:val="20"/>
          <w:color w:val="auto"/>
        </w:rPr>
      </w:pPr>
      <w:r>
        <w:rPr>
          <w:rFonts w:ascii="Arial" w:cs="Arial" w:eastAsia="Arial" w:hAnsi="Arial"/>
          <w:sz w:val="18"/>
          <w:szCs w:val="18"/>
          <w:color w:val="auto"/>
        </w:rPr>
        <w:t xml:space="preserve">During the second quarter of fiscal 2007, we entered into three treasury lock agreements </w:t>
      </w:r>
      <w:r>
        <w:rPr>
          <w:rFonts w:ascii="Arial" w:cs="Arial" w:eastAsia="Arial" w:hAnsi="Arial"/>
          <w:sz w:val="17"/>
          <w:szCs w:val="17"/>
          <w:color w:val="auto"/>
        </w:rPr>
        <w:t>based on a 30-year U.S. Treasury security with a</w:t>
      </w:r>
      <w:r>
        <w:rPr>
          <w:rFonts w:ascii="Arial" w:cs="Arial" w:eastAsia="Arial" w:hAnsi="Arial"/>
          <w:sz w:val="18"/>
          <w:szCs w:val="18"/>
          <w:color w:val="auto"/>
        </w:rPr>
        <w:t xml:space="preserve"> </w:t>
      </w:r>
      <w:r>
        <w:rPr>
          <w:rFonts w:ascii="Arial" w:cs="Arial" w:eastAsia="Arial" w:hAnsi="Arial"/>
          <w:sz w:val="17"/>
          <w:szCs w:val="17"/>
          <w:color w:val="auto"/>
        </w:rPr>
        <w:t>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is recorded in accumulated other comprehensive loss, and will be amortized to interest expense over the 30-year term of the senior notes.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4673B6"/>
        </w:rPr>
        <w:t xml:space="preserve">Commodity Risk. </w:t>
      </w:r>
      <w:r>
        <w:rPr>
          <w:rFonts w:ascii="Arial" w:cs="Arial" w:eastAsia="Arial" w:hAnsi="Arial"/>
          <w:sz w:val="18"/>
          <w:szCs w:val="18"/>
          <w:color w:val="000000"/>
        </w:rPr>
        <w:t>We are subject to market risk from fluctuating market prices of certain purchased commodity raw materials including steel,</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aluminum, fuel, petroleum-based resin, and linerboard. In addition, we are a purchaser of components and parts containing various commodities, including steel, aluminum, copper, lead, rubber, and others which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 of this report in the section entitled “Inflation.”</w:t>
      </w:r>
    </w:p>
    <w:p>
      <w:pPr>
        <w:spacing w:after="0" w:line="7" w:lineRule="exact"/>
        <w:rPr>
          <w:sz w:val="20"/>
          <w:szCs w:val="20"/>
          <w:color w:val="auto"/>
        </w:rPr>
      </w:pPr>
    </w:p>
    <w:p>
      <w:pPr>
        <w:jc w:val="both"/>
        <w:ind w:right="100" w:firstLine="180"/>
        <w:spacing w:after="0" w:line="270" w:lineRule="auto"/>
        <w:rPr>
          <w:sz w:val="20"/>
          <w:szCs w:val="20"/>
          <w:color w:val="auto"/>
        </w:rPr>
      </w:pPr>
      <w:r>
        <w:rPr>
          <w:rFonts w:ascii="Arial" w:cs="Arial" w:eastAsia="Arial" w:hAnsi="Arial"/>
          <w:sz w:val="18"/>
          <w:szCs w:val="18"/>
          <w:color w:val="auto"/>
        </w:rPr>
        <w:t>We enter into fixed-price contracts for future purchases of natural gas in the normal course of operations as a means to manage natural gas price risks. These contracts meet the definition of “normal purchases or normal sales” and therefore, are not considered derivative instruments for accounting purposes. Our manufacturing facilities enter into these fixed-price contracts for approximately 70 to 85 percent of their monthly anticipated usage.</w:t>
      </w:r>
    </w:p>
    <w:p>
      <w:pPr>
        <w:spacing w:after="0" w:line="73" w:lineRule="exact"/>
        <w:rPr>
          <w:sz w:val="20"/>
          <w:szCs w:val="20"/>
          <w:color w:val="auto"/>
        </w:rPr>
      </w:pPr>
    </w:p>
    <w:p>
      <w:pPr>
        <w:jc w:val="both"/>
        <w:ind w:right="40"/>
        <w:spacing w:after="0" w:line="284" w:lineRule="auto"/>
        <w:rPr>
          <w:sz w:val="20"/>
          <w:szCs w:val="20"/>
          <w:color w:val="auto"/>
        </w:rPr>
      </w:pPr>
      <w:r>
        <w:rPr>
          <w:rFonts w:ascii="Arial" w:cs="Arial" w:eastAsia="Arial" w:hAnsi="Arial"/>
          <w:sz w:val="18"/>
          <w:szCs w:val="18"/>
          <w:b w:val="1"/>
          <w:bCs w:val="1"/>
          <w:i w:val="1"/>
          <w:iCs w:val="1"/>
          <w:color w:val="4673B6"/>
        </w:rPr>
        <w:t xml:space="preserve">Equity Price Risk. </w:t>
      </w:r>
      <w:r>
        <w:rPr>
          <w:rFonts w:ascii="Arial" w:cs="Arial" w:eastAsia="Arial" w:hAnsi="Arial"/>
          <w:sz w:val="18"/>
          <w:szCs w:val="18"/>
          <w:color w:val="000000"/>
        </w:rPr>
        <w:t>The trading price volatility of Toro common stock impacts compensation expense related to our stock-based compensation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plans. Further information is presented in Note 9 of the notes to our consolidated financial statements regarding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Management’s Report on Internal Control over Financial Reporting</w:t>
      </w:r>
    </w:p>
    <w:p>
      <w:pPr>
        <w:spacing w:after="0" w:line="25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Chief Executive Officer and Chief Financial Officer, evaluated the effectiveness of the Company’s internal control over financial reporting as of October 31, 2007.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i w:val="1"/>
          <w:iCs w:val="1"/>
          <w:color w:val="auto"/>
        </w:rPr>
        <w:t>– Integrated Framework</w:t>
      </w:r>
      <w:r>
        <w:rPr>
          <w:rFonts w:ascii="Arial" w:cs="Arial" w:eastAsia="Arial" w:hAnsi="Arial"/>
          <w:sz w:val="18"/>
          <w:szCs w:val="18"/>
          <w:color w:val="auto"/>
        </w:rPr>
        <w:t>. Based on this assessment, management concluded that the Company’s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October 31, 2007.</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41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416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52" w:right="239" w:bottom="505"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report.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as of October 31, 2007 and 2006, and the related consolidated statements of earnings, stockholders’ equity and comprehensive income, and cash flows for each of the years in the three-year period ended October 31, 2007. In connection with our audits of the consolidated financial statements, we also have audited the financial statement schedule listed in Item 15(a) 2. We also have audited The Toro Company’s internal control over financial reporting as of October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Toro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jc w:val="both"/>
        <w:ind w:right="120" w:firstLine="180"/>
        <w:spacing w:after="0" w:line="26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as of October 31, 2007 and 2006, and the results of its operations and its cash flows for each of the years in the three-year period ended October 31, 2007,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 It is also our opinion, The Toro Company maintained, in all material respects, effective internal control over financial reporting as of October 31, 2007,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w:t>
      </w:r>
    </w:p>
    <w:p>
      <w:pPr>
        <w:spacing w:after="0" w:line="1"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adopted the provisions of Statement of Financial Accounting Standards No. 158, “Employers’ Accounting for Defined Benefit Pension and Other Postretirement Plans,” as of October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15760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2007</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CONSOLIDATED STATEMENTS OF EARNINGS</w:t>
      </w:r>
    </w:p>
    <w:p>
      <w:pPr>
        <w:spacing w:after="0" w:line="344"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2007</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color w:val="auto"/>
              </w:rPr>
              <w:t>2006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80" w:type="dxa"/>
            <w:vAlign w:val="bottom"/>
            <w:tcBorders>
              <w:bottom w:val="single" w:sz="8" w:color="CCEEFF"/>
            </w:tcBorders>
          </w:tcPr>
          <w:p>
            <w:pPr>
              <w:spacing w:after="0"/>
              <w:rPr>
                <w:sz w:val="17"/>
                <w:szCs w:val="17"/>
                <w:color w:val="auto"/>
              </w:rPr>
            </w:pPr>
          </w:p>
        </w:tc>
      </w:tr>
      <w:tr>
        <w:trPr>
          <w:trHeight w:val="223"/>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$ 1,876,904</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$ 1,835,991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$ 1,779,387</w:t>
            </w:r>
          </w:p>
        </w:tc>
        <w:tc>
          <w:tcPr>
            <w:tcW w:w="80" w:type="dxa"/>
            <w:vAlign w:val="bottom"/>
            <w:shd w:val="clear" w:color="auto" w:fill="CCEEFF"/>
          </w:tcPr>
          <w:p>
            <w:pPr>
              <w:spacing w:after="0"/>
              <w:rPr>
                <w:sz w:val="19"/>
                <w:szCs w:val="19"/>
                <w:color w:val="auto"/>
              </w:rPr>
            </w:pPr>
          </w:p>
        </w:tc>
      </w:tr>
      <w:tr>
        <w:trPr>
          <w:trHeight w:val="230"/>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1,198,529</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1,192,675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1,164,021</w:t>
            </w:r>
          </w:p>
        </w:tc>
        <w:tc>
          <w:tcPr>
            <w:tcW w:w="80" w:type="dxa"/>
            <w:vAlign w:val="bottom"/>
            <w:tcBorders>
              <w:bottom w:val="single" w:sz="8" w:color="CCEEFF"/>
            </w:tcBorders>
          </w:tcPr>
          <w:p>
            <w:pPr>
              <w:spacing w:after="0"/>
              <w:rPr>
                <w:sz w:val="19"/>
                <w:szCs w:val="19"/>
                <w:color w:val="auto"/>
              </w:rPr>
            </w:pPr>
          </w:p>
        </w:tc>
      </w:tr>
      <w:tr>
        <w:trPr>
          <w:trHeight w:val="223"/>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678,375</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643,316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615,366</w:t>
            </w:r>
          </w:p>
        </w:tc>
        <w:tc>
          <w:tcPr>
            <w:tcW w:w="80" w:type="dxa"/>
            <w:vAlign w:val="bottom"/>
            <w:shd w:val="clear" w:color="auto" w:fill="CCEEFF"/>
          </w:tcPr>
          <w:p>
            <w:pPr>
              <w:spacing w:after="0"/>
              <w:rPr>
                <w:sz w:val="19"/>
                <w:szCs w:val="19"/>
                <w:color w:val="auto"/>
              </w:rPr>
            </w:pPr>
          </w:p>
        </w:tc>
      </w:tr>
      <w:tr>
        <w:trPr>
          <w:trHeight w:val="230"/>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454,726</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440,440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432,640</w:t>
            </w:r>
          </w:p>
        </w:tc>
        <w:tc>
          <w:tcPr>
            <w:tcW w:w="80" w:type="dxa"/>
            <w:vAlign w:val="bottom"/>
            <w:tcBorders>
              <w:bottom w:val="single" w:sz="8" w:color="CCEEFF"/>
            </w:tcBorders>
          </w:tcPr>
          <w:p>
            <w:pPr>
              <w:spacing w:after="0"/>
              <w:rPr>
                <w:sz w:val="19"/>
                <w:szCs w:val="19"/>
                <w:color w:val="auto"/>
              </w:rPr>
            </w:pPr>
          </w:p>
        </w:tc>
      </w:tr>
      <w:tr>
        <w:trPr>
          <w:trHeight w:val="223"/>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Earnings from operations</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223,649</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182,726</w:t>
            </w:r>
          </w:p>
        </w:tc>
        <w:tc>
          <w:tcPr>
            <w:tcW w:w="8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00"/>
          </w:cols>
          <w:pgMar w:left="240" w:top="152" w:right="259" w:bottom="0" w:gutter="0" w:footer="0" w:header="0"/>
        </w:sectPr>
      </w:pPr>
    </w:p>
    <w:p>
      <w:pPr>
        <w:ind w:left="940"/>
        <w:spacing w:after="0"/>
        <w:tabs>
          <w:tab w:leader="none" w:pos="7400" w:val="left"/>
          <w:tab w:leader="none" w:pos="8580" w:val="left"/>
          <w:tab w:leader="none" w:pos="9760" w:val="left"/>
        </w:tabs>
        <w:rPr>
          <w:sz w:val="20"/>
          <w:szCs w:val="20"/>
          <w:color w:val="auto"/>
        </w:rPr>
      </w:pPr>
      <w:r>
        <w:rPr>
          <w:rFonts w:ascii="Arial" w:cs="Arial" w:eastAsia="Arial" w:hAnsi="Arial"/>
          <w:sz w:val="18"/>
          <w:szCs w:val="18"/>
          <w:b w:val="1"/>
          <w:bCs w:val="1"/>
          <w:color w:val="auto"/>
        </w:rPr>
        <w:t>Interest expense</w:t>
      </w:r>
      <w:r>
        <w:rPr>
          <w:sz w:val="20"/>
          <w:szCs w:val="20"/>
          <w:color w:val="auto"/>
        </w:rPr>
        <w:tab/>
      </w:r>
      <w:r>
        <w:rPr>
          <w:rFonts w:ascii="Arial" w:cs="Arial" w:eastAsia="Arial" w:hAnsi="Arial"/>
          <w:sz w:val="18"/>
          <w:szCs w:val="18"/>
          <w:b w:val="1"/>
          <w:bCs w:val="1"/>
          <w:color w:val="auto"/>
        </w:rPr>
        <w:t>(19,445)</w:t>
      </w:r>
      <w:r>
        <w:rPr>
          <w:sz w:val="20"/>
          <w:szCs w:val="20"/>
          <w:color w:val="auto"/>
        </w:rPr>
        <w:tab/>
      </w:r>
      <w:r>
        <w:rPr>
          <w:rFonts w:ascii="Arial" w:cs="Arial" w:eastAsia="Arial" w:hAnsi="Arial"/>
          <w:sz w:val="18"/>
          <w:szCs w:val="18"/>
          <w:color w:val="auto"/>
        </w:rPr>
        <w:t>(17,672)</w:t>
      </w:r>
      <w:r>
        <w:rPr>
          <w:sz w:val="20"/>
          <w:szCs w:val="20"/>
          <w:color w:val="auto"/>
        </w:rPr>
        <w:tab/>
      </w:r>
      <w:r>
        <w:rPr>
          <w:rFonts w:ascii="Arial" w:cs="Arial" w:eastAsia="Arial" w:hAnsi="Arial"/>
          <w:sz w:val="18"/>
          <w:szCs w:val="18"/>
          <w:color w:val="auto"/>
        </w:rPr>
        <w:t>(17,733)</w:t>
      </w:r>
    </w:p>
    <w:p>
      <w:pPr>
        <w:sectPr>
          <w:pgSz w:w="11900" w:h="16838" w:orient="portrait"/>
          <w:cols w:equalWidth="0" w:num="1">
            <w:col w:w="11400"/>
          </w:cols>
          <w:pgMar w:left="240" w:top="152" w:right="259" w:bottom="0" w:gutter="0" w:footer="0" w:header="0"/>
          <w:type w:val="continuous"/>
        </w:sectPr>
      </w:pPr>
    </w:p>
    <w:bookmarkStart w:id="32" w:name="page33"/>
    <w:bookmarkEnd w:id="32"/>
    <w:tbl>
      <w:tblPr>
        <w:tblLayout w:type="fixed"/>
        <w:tblInd w:w="940" w:type="dxa"/>
        <w:tblCellMar>
          <w:top w:w="0" w:type="dxa"/>
          <w:left w:w="0" w:type="dxa"/>
          <w:bottom w:w="0" w:type="dxa"/>
          <w:right w:w="0" w:type="dxa"/>
        </w:tblCellMar>
      </w:tblPr>
      <w:tr>
        <w:trPr>
          <w:trHeight w:val="230"/>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9,023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7,550</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Earnings before income taxes</w:t>
            </w:r>
          </w:p>
        </w:tc>
        <w:tc>
          <w:tcPr>
            <w:tcW w:w="9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213,227</w:t>
            </w:r>
          </w:p>
        </w:tc>
        <w:tc>
          <w:tcPr>
            <w:tcW w:w="3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192,754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70,791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63,609</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 earnings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142,436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129,145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net earnings per share of common 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40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b w:val="1"/>
                <w:bCs w:val="1"/>
                <w:color w:val="auto"/>
              </w:rPr>
              <w:t>outstanding –</w:t>
            </w:r>
          </w:p>
        </w:tc>
        <w:tc>
          <w:tcPr>
            <w:tcW w:w="9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40,682</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9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42,887</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line="180"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80"/>
              <w:spacing w:after="0" w:line="189" w:lineRule="exact"/>
              <w:rPr>
                <w:sz w:val="20"/>
                <w:szCs w:val="20"/>
                <w:color w:val="auto"/>
              </w:rPr>
            </w:pPr>
            <w:r>
              <w:rPr>
                <w:rFonts w:ascii="Arial" w:cs="Arial" w:eastAsia="Arial" w:hAnsi="Arial"/>
                <w:sz w:val="18"/>
                <w:szCs w:val="18"/>
                <w:b w:val="1"/>
                <w:bCs w:val="1"/>
                <w:color w:val="auto"/>
              </w:rPr>
              <w:t>outstanding –</w:t>
            </w:r>
          </w:p>
        </w:tc>
        <w:tc>
          <w:tcPr>
            <w:tcW w:w="94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41,864</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44,344</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Arial" w:cs="Arial" w:eastAsia="Arial" w:hAnsi="Arial"/>
          <w:sz w:val="25"/>
          <w:szCs w:val="25"/>
          <w:b w:val="1"/>
          <w:bCs w:val="1"/>
          <w:color w:val="4673B6"/>
        </w:rPr>
        <w:t>CONSOLIDATED BALANCE SHEETS</w:t>
      </w:r>
    </w:p>
    <w:p>
      <w:pPr>
        <w:spacing w:after="0" w:line="33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7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data) October 31</w:t>
            </w: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2007</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Borders>
              <w:bottom w:val="single" w:sz="8" w:color="CCEEFF"/>
            </w:tcBorders>
          </w:tcPr>
          <w:p>
            <w:pPr>
              <w:spacing w:after="0"/>
              <w:rPr>
                <w:sz w:val="17"/>
                <w:szCs w:val="17"/>
                <w:color w:val="auto"/>
              </w:rPr>
            </w:pP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40"/>
              <w:spacing w:after="0"/>
              <w:rPr>
                <w:sz w:val="20"/>
                <w:szCs w:val="20"/>
                <w:color w:val="auto"/>
              </w:rPr>
            </w:pPr>
            <w:r>
              <w:rPr>
                <w:rFonts w:ascii="Arial" w:cs="Arial" w:eastAsia="Arial" w:hAnsi="Arial"/>
                <w:sz w:val="18"/>
                <w:szCs w:val="18"/>
                <w:b w:val="1"/>
                <w:bCs w:val="1"/>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62,047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55,523</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Receivables, net: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Customers (net of $3,647 and $2,339 as of October 31, 2007 and 2006,</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respectively, for allowance for doubtful accounts)</w:t>
            </w:r>
          </w:p>
        </w:tc>
        <w:tc>
          <w:tcPr>
            <w:tcW w:w="4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273,527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284,082</w:t>
            </w:r>
          </w:p>
        </w:tc>
        <w:tc>
          <w:tcPr>
            <w:tcW w:w="80" w:type="dxa"/>
            <w:vAlign w:val="bottom"/>
          </w:tcPr>
          <w:p>
            <w:pPr>
              <w:spacing w:after="0"/>
              <w:rPr>
                <w:sz w:val="20"/>
                <w:szCs w:val="20"/>
                <w:color w:val="auto"/>
              </w:rPr>
            </w:pPr>
          </w:p>
        </w:tc>
      </w:tr>
      <w:tr>
        <w:trPr>
          <w:trHeight w:val="257"/>
        </w:trPr>
        <w:tc>
          <w:tcPr>
            <w:tcW w:w="7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9,588</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receivables, net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283,115</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294,833</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Inventories, net</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251,275</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238,544</w:t>
            </w: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Prepaid expenses and other current assets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10,677</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9,437</w:t>
            </w:r>
          </w:p>
        </w:tc>
        <w:tc>
          <w:tcPr>
            <w:tcW w:w="80" w:type="dxa"/>
            <w:vAlign w:val="bottom"/>
          </w:tcPr>
          <w:p>
            <w:pPr>
              <w:spacing w:after="0"/>
              <w:rPr>
                <w:sz w:val="22"/>
                <w:szCs w:val="22"/>
                <w:color w:val="auto"/>
              </w:rPr>
            </w:pPr>
          </w:p>
        </w:tc>
      </w:tr>
      <w:tr>
        <w:trPr>
          <w:trHeight w:val="257"/>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57,814</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55,846</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664,928</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654,183</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170,672</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166,323</w:t>
            </w: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5,185</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9,153</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Goodwill</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86,224</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81,469</w:t>
            </w:r>
          </w:p>
        </w:tc>
        <w:tc>
          <w:tcPr>
            <w:tcW w:w="80" w:type="dxa"/>
            <w:vAlign w:val="bottom"/>
          </w:tcPr>
          <w:p>
            <w:pPr>
              <w:spacing w:after="0"/>
              <w:rPr>
                <w:sz w:val="22"/>
                <w:szCs w:val="22"/>
                <w:color w:val="auto"/>
              </w:rPr>
            </w:pPr>
          </w:p>
        </w:tc>
      </w:tr>
      <w:tr>
        <w:trPr>
          <w:trHeight w:val="257"/>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intangible assets, net</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14,675</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950,837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919,073</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Current portion of long-term debt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1,611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Short-term debt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372</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Accounts payable</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90,966</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89,673</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Accrued liabilities: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Warranty</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62,030</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65,235</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Advertising and marketing programs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53,765</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Compensation and benefit costs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61,462</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77,721</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taxes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2,089</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69,175</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51,496</w:t>
            </w:r>
          </w:p>
        </w:tc>
        <w:tc>
          <w:tcPr>
            <w:tcW w:w="80" w:type="dxa"/>
            <w:vAlign w:val="bottom"/>
            <w:tcBorders>
              <w:bottom w:val="single" w:sz="8" w:color="CCEEFF"/>
            </w:tcBorders>
          </w:tcPr>
          <w:p>
            <w:pPr>
              <w:spacing w:after="0"/>
              <w:rPr>
                <w:sz w:val="22"/>
                <w:szCs w:val="22"/>
                <w:color w:val="auto"/>
              </w:rPr>
            </w:pPr>
          </w:p>
        </w:tc>
      </w:tr>
      <w:tr>
        <w:trPr>
          <w:trHeight w:val="250"/>
        </w:trPr>
        <w:tc>
          <w:tcPr>
            <w:tcW w:w="7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341,470</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342,629</w:t>
            </w:r>
          </w:p>
        </w:tc>
        <w:tc>
          <w:tcPr>
            <w:tcW w:w="80" w:type="dxa"/>
            <w:vAlign w:val="bottom"/>
            <w:shd w:val="clear" w:color="auto" w:fill="CCEEFF"/>
          </w:tcPr>
          <w:p>
            <w:pPr>
              <w:spacing w:after="0"/>
              <w:rPr>
                <w:sz w:val="21"/>
                <w:szCs w:val="21"/>
                <w:color w:val="auto"/>
              </w:rPr>
            </w:pPr>
          </w:p>
        </w:tc>
      </w:tr>
      <w:tr>
        <w:trPr>
          <w:trHeight w:val="250"/>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Long-term debt, less current portion</w:t>
            </w:r>
          </w:p>
        </w:tc>
        <w:tc>
          <w:tcPr>
            <w:tcW w:w="4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227,598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21"/>
                <w:szCs w:val="21"/>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revenue and other long-term liabilities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11,331</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Preferred stock, par value $1.00, authorized 1,000,000 voting and 850,000 non-</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voting shares, none issued and outstanding</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Common stock, par value $1.00, authorized 100,000,000 shares, issued and</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outstanding 37,950,831 shares as of October 31, 2007 (net of 16,081,389</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treasury shares) and 40,355,714 shares as of October 31, 2006 (net of</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13,676,506 treasury shares)</w:t>
            </w:r>
          </w:p>
        </w:tc>
        <w:tc>
          <w:tcPr>
            <w:tcW w:w="4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37,951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40,356</w:t>
            </w:r>
          </w:p>
        </w:tc>
        <w:tc>
          <w:tcPr>
            <w:tcW w:w="80" w:type="dxa"/>
            <w:vAlign w:val="bottom"/>
          </w:tcPr>
          <w:p>
            <w:pPr>
              <w:spacing w:after="0"/>
              <w:rPr>
                <w:sz w:val="20"/>
                <w:szCs w:val="20"/>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Retained earnings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335,384</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358,522</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(2,897)</w:t>
            </w:r>
          </w:p>
        </w:tc>
        <w:tc>
          <w:tcPr>
            <w:tcW w:w="2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(6,849)</w:t>
            </w:r>
          </w:p>
        </w:tc>
      </w:tr>
      <w:tr>
        <w:trPr>
          <w:trHeight w:val="250"/>
        </w:trPr>
        <w:tc>
          <w:tcPr>
            <w:tcW w:w="73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370,438</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392,029</w:t>
            </w:r>
          </w:p>
        </w:tc>
        <w:tc>
          <w:tcPr>
            <w:tcW w:w="80" w:type="dxa"/>
            <w:vAlign w:val="bottom"/>
            <w:tcBorders>
              <w:top w:val="single" w:sz="8" w:color="CCEEFF"/>
            </w:tcBorders>
            <w:shd w:val="clear" w:color="auto" w:fill="CCEEFF"/>
          </w:tcPr>
          <w:p>
            <w:pPr>
              <w:spacing w:after="0"/>
              <w:rPr>
                <w:sz w:val="21"/>
                <w:szCs w:val="21"/>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950,837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919,073</w:t>
            </w:r>
          </w:p>
        </w:tc>
        <w:tc>
          <w:tcPr>
            <w:tcW w:w="80" w:type="dxa"/>
            <w:vAlign w:val="bottom"/>
          </w:tcPr>
          <w:p>
            <w:pPr>
              <w:spacing w:after="0"/>
              <w:rPr>
                <w:sz w:val="21"/>
                <w:szCs w:val="21"/>
                <w:color w:val="auto"/>
              </w:rPr>
            </w:pPr>
          </w:p>
        </w:tc>
      </w:tr>
    </w:tbl>
    <w:p>
      <w:pPr>
        <w:spacing w:after="0" w:line="194" w:lineRule="exact"/>
        <w:rPr>
          <w:sz w:val="20"/>
          <w:szCs w:val="20"/>
          <w:color w:val="auto"/>
        </w:rPr>
      </w:pPr>
    </w:p>
    <w:p>
      <w:pPr>
        <w:sectPr>
          <w:pgSz w:w="11900" w:h="16838" w:orient="portrait"/>
          <w:cols w:equalWidth="0" w:num="1">
            <w:col w:w="10480"/>
          </w:cols>
          <w:pgMar w:left="240" w:top="153" w:right="1179" w:bottom="0" w:gutter="0" w:footer="0" w:header="0"/>
        </w:sect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ectPr>
          <w:pgSz w:w="11900" w:h="16838" w:orient="portrait"/>
          <w:cols w:equalWidth="0" w:num="1">
            <w:col w:w="10480"/>
          </w:cols>
          <w:pgMar w:left="240" w:top="153" w:right="1179" w:bottom="0" w:gutter="0" w:footer="0" w:header="0"/>
          <w:type w:val="continuous"/>
        </w:sectPr>
      </w:pPr>
    </w:p>
    <w:bookmarkStart w:id="33" w:name="page34"/>
    <w:bookmarkEnd w:id="33"/>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4673B6"/>
        </w:rPr>
        <w:t>CONSOLIDATED STATEMENTS OF CASH FLOWS</w:t>
      </w:r>
    </w:p>
    <w:p>
      <w:pPr>
        <w:spacing w:after="0" w:line="344"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(Dollars in thousands) Fiscal years ended October 31</w:t>
            </w: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2007</w:t>
            </w: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6"/>
                <w:szCs w:val="16"/>
                <w:color w:val="auto"/>
              </w:rPr>
              <w:t>2006</w:t>
            </w: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Net earnings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142,436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129,145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earnings to net cash provided by</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Non-cash asset impairment</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Provision for depreciation and amortization</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42,105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42,564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Equity losses from investments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361</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Gain on disposal of property, plant, and equipment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Increase in deferred income taxes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Stock-based compensation expense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7,293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6,641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Changes in operating assets and liabilities, net of effect of</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acquisitions: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Receivables, net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9,033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Inventories,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Prepaid expenses and other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9,390</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Accounts payable, accrued expenses, and deferred revenue</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3,238</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183,574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190,271</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Purchases of property, plant, and equipment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(42,168)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Proceeds from disposal of property, plant, and equipment</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267</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affiliates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Decrease in other assets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1,494</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sale of a business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Acquisitions, net of cash acquired</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(9,881)</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(50,288)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Decrease in short-term debt, net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Issuance of long-term debt, net of costs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121,491</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Repayments of long-term debt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Excess tax benefits from stock-based awards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13,775</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13,131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exercise of stock options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13,255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10,683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Purchases of Toro common stock</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(182,843)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(146,543)</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(156,972)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Dividends paid on Toro common stock</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520"/>
              <w:spacing w:after="0"/>
              <w:rPr>
                <w:sz w:val="20"/>
                <w:szCs w:val="20"/>
                <w:color w:val="auto"/>
              </w:rPr>
            </w:pPr>
            <w:r>
              <w:rPr>
                <w:rFonts w:ascii="Arial" w:cs="Arial" w:eastAsia="Arial" w:hAnsi="Arial"/>
                <w:sz w:val="18"/>
                <w:szCs w:val="18"/>
                <w:b w:val="1"/>
                <w:bCs w:val="1"/>
                <w:color w:val="auto"/>
              </w:rPr>
              <w:t>Net cash used in financing activities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(128,791)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(138,201)</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rates on cash</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6,524</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14,121</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55,523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41,402</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90,756</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end of the fiscal year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62,047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55,523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fiscal year for:</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18,234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18,365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b w:val="1"/>
                <w:bCs w:val="1"/>
                <w:color w:val="auto"/>
              </w:rPr>
              <w:t>Income taxes</w:t>
            </w: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61,257</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56,985</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 issued in connection with stock-based compensation plans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4,971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6,176</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Long-term debt issued in connection with an acquisition</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6,000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4673B6"/>
        </w:rPr>
        <w:t>CONSOLIDATED STATEMENTS OF STOCKHOLDERS’ EQUITY</w:t>
      </w:r>
    </w:p>
    <w:p>
      <w:pPr>
        <w:jc w:val="center"/>
        <w:ind w:right="-839"/>
        <w:spacing w:after="0"/>
        <w:rPr>
          <w:sz w:val="20"/>
          <w:szCs w:val="20"/>
          <w:color w:val="auto"/>
        </w:rPr>
      </w:pPr>
      <w:r>
        <w:rPr>
          <w:rFonts w:ascii="Arial" w:cs="Arial" w:eastAsia="Arial" w:hAnsi="Arial"/>
          <w:sz w:val="25"/>
          <w:szCs w:val="25"/>
          <w:b w:val="1"/>
          <w:bCs w:val="1"/>
          <w:color w:val="4673B6"/>
        </w:rPr>
        <w:t>AND COMPREHENSIVE INCOME</w:t>
      </w:r>
    </w:p>
    <w:p>
      <w:pPr>
        <w:spacing w:after="0" w:line="299"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83"/>
              <w:spacing w:after="0"/>
              <w:rPr>
                <w:sz w:val="20"/>
                <w:szCs w:val="20"/>
                <w:color w:val="auto"/>
              </w:rPr>
            </w:pPr>
            <w:r>
              <w:rPr>
                <w:rFonts w:ascii="Arial" w:cs="Arial" w:eastAsia="Arial" w:hAnsi="Arial"/>
                <w:sz w:val="14"/>
                <w:szCs w:val="14"/>
                <w:color w:val="auto"/>
              </w:rPr>
              <w:t>Accumulated</w:t>
            </w: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4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jc w:val="right"/>
              <w:ind w:right="83"/>
              <w:spacing w:after="0"/>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Common</w:t>
            </w:r>
          </w:p>
        </w:tc>
        <w:tc>
          <w:tcPr>
            <w:tcW w:w="1020" w:type="dxa"/>
            <w:vAlign w:val="bottom"/>
          </w:tcPr>
          <w:p>
            <w:pPr>
              <w:jc w:val="right"/>
              <w:ind w:right="82"/>
              <w:spacing w:after="0"/>
              <w:rPr>
                <w:sz w:val="20"/>
                <w:szCs w:val="20"/>
                <w:color w:val="auto"/>
              </w:rPr>
            </w:pPr>
            <w:r>
              <w:rPr>
                <w:rFonts w:ascii="Arial" w:cs="Arial" w:eastAsia="Arial" w:hAnsi="Arial"/>
                <w:sz w:val="14"/>
                <w:szCs w:val="14"/>
                <w:color w:val="auto"/>
              </w:rPr>
              <w:t>Retained</w:t>
            </w:r>
          </w:p>
        </w:tc>
        <w:tc>
          <w:tcPr>
            <w:tcW w:w="1240" w:type="dxa"/>
            <w:vAlign w:val="bottom"/>
          </w:tcPr>
          <w:p>
            <w:pPr>
              <w:jc w:val="right"/>
              <w:ind w:right="83"/>
              <w:spacing w:after="0"/>
              <w:rPr>
                <w:sz w:val="20"/>
                <w:szCs w:val="20"/>
                <w:color w:val="auto"/>
              </w:rPr>
            </w:pPr>
            <w:r>
              <w:rPr>
                <w:rFonts w:ascii="Arial" w:cs="Arial" w:eastAsia="Arial" w:hAnsi="Arial"/>
                <w:sz w:val="14"/>
                <w:szCs w:val="14"/>
                <w:color w:val="auto"/>
              </w:rPr>
              <w:t>Comprehensive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Stockholders’</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Comprehensive</w:t>
            </w:r>
          </w:p>
        </w:tc>
      </w:tr>
      <w:tr>
        <w:trPr>
          <w:trHeight w:val="188"/>
        </w:trPr>
        <w:tc>
          <w:tcPr>
            <w:tcW w:w="4260" w:type="dxa"/>
            <w:vAlign w:val="bottom"/>
          </w:tcPr>
          <w:p>
            <w:pPr>
              <w:spacing w:after="0"/>
              <w:rPr>
                <w:sz w:val="20"/>
                <w:szCs w:val="20"/>
                <w:color w:val="auto"/>
              </w:rPr>
            </w:pPr>
            <w:r>
              <w:rPr>
                <w:rFonts w:ascii="Arial" w:cs="Arial" w:eastAsia="Arial" w:hAnsi="Arial"/>
                <w:sz w:val="14"/>
                <w:szCs w:val="14"/>
                <w:color w:val="auto"/>
              </w:rPr>
              <w:t>(Dollars in thousands)</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Stock</w:t>
            </w:r>
          </w:p>
        </w:tc>
        <w:tc>
          <w:tcPr>
            <w:tcW w:w="1020" w:type="dxa"/>
            <w:vAlign w:val="bottom"/>
          </w:tcPr>
          <w:p>
            <w:pPr>
              <w:jc w:val="right"/>
              <w:ind w:right="82"/>
              <w:spacing w:after="0"/>
              <w:rPr>
                <w:sz w:val="20"/>
                <w:szCs w:val="20"/>
                <w:color w:val="auto"/>
              </w:rPr>
            </w:pPr>
            <w:r>
              <w:rPr>
                <w:rFonts w:ascii="Arial" w:cs="Arial" w:eastAsia="Arial" w:hAnsi="Arial"/>
                <w:sz w:val="14"/>
                <w:szCs w:val="14"/>
                <w:color w:val="auto"/>
              </w:rPr>
              <w:t>Earnings</w:t>
            </w:r>
          </w:p>
        </w:tc>
        <w:tc>
          <w:tcPr>
            <w:tcW w:w="1240" w:type="dxa"/>
            <w:vAlign w:val="bottom"/>
          </w:tcPr>
          <w:p>
            <w:pPr>
              <w:jc w:val="right"/>
              <w:ind w:right="83"/>
              <w:spacing w:after="0"/>
              <w:rPr>
                <w:sz w:val="20"/>
                <w:szCs w:val="20"/>
                <w:color w:val="auto"/>
              </w:rPr>
            </w:pPr>
            <w:r>
              <w:rPr>
                <w:rFonts w:ascii="Arial" w:cs="Arial" w:eastAsia="Arial" w:hAnsi="Arial"/>
                <w:sz w:val="14"/>
                <w:szCs w:val="14"/>
                <w:color w:val="auto"/>
              </w:rPr>
              <w:t>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Equity</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Income</w:t>
            </w:r>
          </w:p>
        </w:tc>
      </w:tr>
      <w:tr>
        <w:trPr>
          <w:trHeight w:val="183"/>
        </w:trPr>
        <w:tc>
          <w:tcPr>
            <w:tcW w:w="42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as of October 31, 2004</w:t>
            </w:r>
          </w:p>
        </w:tc>
        <w:tc>
          <w:tcPr>
            <w:tcW w:w="880" w:type="dxa"/>
            <w:vAlign w:val="bottom"/>
            <w:tcBorders>
              <w:top w:val="single" w:sz="8" w:color="auto"/>
              <w:bottom w:val="single" w:sz="8" w:color="auto"/>
            </w:tcBorders>
            <w:shd w:val="clear" w:color="auto" w:fill="CCEEFF"/>
          </w:tcPr>
          <w:p>
            <w:pPr>
              <w:jc w:val="right"/>
              <w:ind w:right="22"/>
              <w:spacing w:after="0" w:line="183" w:lineRule="exact"/>
              <w:rPr>
                <w:sz w:val="20"/>
                <w:szCs w:val="20"/>
                <w:color w:val="auto"/>
              </w:rPr>
            </w:pPr>
            <w:r>
              <w:rPr>
                <w:rFonts w:ascii="Arial" w:cs="Arial" w:eastAsia="Arial" w:hAnsi="Arial"/>
                <w:sz w:val="16"/>
                <w:szCs w:val="16"/>
                <w:color w:val="auto"/>
              </w:rPr>
              <w:t>$ 45,036</w:t>
            </w:r>
          </w:p>
        </w:tc>
        <w:tc>
          <w:tcPr>
            <w:tcW w:w="1020" w:type="dxa"/>
            <w:vAlign w:val="bottom"/>
            <w:tcBorders>
              <w:top w:val="single" w:sz="8" w:color="auto"/>
              <w:bottom w:val="single" w:sz="8" w:color="auto"/>
            </w:tcBorders>
            <w:shd w:val="clear" w:color="auto" w:fill="CCEEFF"/>
          </w:tcPr>
          <w:p>
            <w:pPr>
              <w:jc w:val="right"/>
              <w:ind w:right="82"/>
              <w:spacing w:after="0" w:line="183" w:lineRule="exact"/>
              <w:rPr>
                <w:sz w:val="20"/>
                <w:szCs w:val="20"/>
                <w:color w:val="auto"/>
              </w:rPr>
            </w:pPr>
            <w:r>
              <w:rPr>
                <w:rFonts w:ascii="Arial" w:cs="Arial" w:eastAsia="Arial" w:hAnsi="Arial"/>
                <w:sz w:val="16"/>
                <w:szCs w:val="16"/>
                <w:color w:val="auto"/>
              </w:rPr>
              <w:t>$ 386,925</w:t>
            </w:r>
          </w:p>
        </w:tc>
        <w:tc>
          <w:tcPr>
            <w:tcW w:w="1240" w:type="dxa"/>
            <w:vAlign w:val="bottom"/>
            <w:tcBorders>
              <w:top w:val="single" w:sz="8" w:color="auto"/>
              <w:bottom w:val="single" w:sz="8" w:color="auto"/>
            </w:tcBorders>
            <w:shd w:val="clear" w:color="auto" w:fill="CCEEFF"/>
          </w:tcPr>
          <w:p>
            <w:pPr>
              <w:jc w:val="right"/>
              <w:ind w:right="3"/>
              <w:spacing w:after="0" w:line="183" w:lineRule="exact"/>
              <w:rPr>
                <w:sz w:val="20"/>
                <w:szCs w:val="20"/>
                <w:color w:val="auto"/>
              </w:rPr>
            </w:pPr>
            <w:r>
              <w:rPr>
                <w:rFonts w:ascii="Arial" w:cs="Arial" w:eastAsia="Arial" w:hAnsi="Arial"/>
                <w:sz w:val="16"/>
                <w:szCs w:val="16"/>
                <w:color w:val="auto"/>
              </w:rPr>
              <w:t>$ (11,142)</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420,819</w:t>
            </w: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6"/>
                <w:szCs w:val="16"/>
                <w:color w:val="auto"/>
              </w:rPr>
              <w:t>Cash dividends paid on common stock – $0.24 per share</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(10,755)</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(10,755)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Issuance of 784,610 shares under stock-based</w:t>
            </w:r>
          </w:p>
        </w:tc>
        <w:tc>
          <w:tcPr>
            <w:tcW w:w="8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7"/>
        </w:trPr>
        <w:tc>
          <w:tcPr>
            <w:tcW w:w="4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plans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785</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13,374</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3,151</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3,151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580"/>
          </w:cols>
          <w:pgMar w:left="240" w:top="152" w:right="1079" w:bottom="0" w:gutter="0" w:footer="0" w:header="0"/>
        </w:sectPr>
      </w:pPr>
    </w:p>
    <w:bookmarkStart w:id="34" w:name="page35"/>
    <w:bookmarkEnd w:id="3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Purchase of 3,922,805 shares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(153,050)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(156,972)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Excess tax benefits from stock options</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5,989</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Minimum pension liability adjustment, net of tax</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(2,395)</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(2,395)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(2,395)</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derivative instruments, net of tax</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80" w:type="dxa"/>
            <w:vAlign w:val="bottom"/>
            <w:shd w:val="clear" w:color="auto" w:fill="CCEEFF"/>
          </w:tcPr>
          <w:p>
            <w:pPr>
              <w:spacing w:after="0"/>
              <w:rPr>
                <w:sz w:val="19"/>
                <w:szCs w:val="19"/>
                <w:color w:val="auto"/>
              </w:rPr>
            </w:pP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earnings</w:t>
            </w:r>
          </w:p>
        </w:tc>
        <w:tc>
          <w:tcPr>
            <w:tcW w:w="8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114,082</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114,082</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114,082</w:t>
            </w:r>
          </w:p>
        </w:tc>
        <w:tc>
          <w:tcPr>
            <w:tcW w:w="8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113,643</w:t>
            </w:r>
          </w:p>
        </w:tc>
        <w:tc>
          <w:tcPr>
            <w:tcW w:w="80" w:type="dxa"/>
            <w:vAlign w:val="bottom"/>
            <w:shd w:val="clear" w:color="auto" w:fill="CCEEFF"/>
          </w:tcPr>
          <w:p>
            <w:pPr>
              <w:spacing w:after="0"/>
              <w:rPr>
                <w:sz w:val="19"/>
                <w:szCs w:val="19"/>
                <w:color w:val="auto"/>
              </w:rPr>
            </w:pPr>
          </w:p>
        </w:tc>
      </w:tr>
      <w:tr>
        <w:trPr>
          <w:trHeight w:val="223"/>
        </w:trPr>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as of October 31, 2005</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$ 41,899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359,716</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(11,581)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390,034</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paid on common stock – $0.36 per share</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(15,421)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1"/>
        </w:trPr>
        <w:tc>
          <w:tcPr>
            <w:tcW w:w="4320" w:type="dxa"/>
            <w:vAlign w:val="bottom"/>
          </w:tcPr>
          <w:p>
            <w:pPr>
              <w:spacing w:after="0"/>
              <w:rPr>
                <w:sz w:val="20"/>
                <w:szCs w:val="20"/>
                <w:color w:val="auto"/>
              </w:rPr>
            </w:pPr>
            <w:r>
              <w:rPr>
                <w:rFonts w:ascii="Arial" w:cs="Arial" w:eastAsia="Arial" w:hAnsi="Arial"/>
                <w:sz w:val="16"/>
                <w:szCs w:val="16"/>
                <w:color w:val="auto"/>
              </w:rPr>
              <w:t>Issuance of 1,826,536 shares under stock-based</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320" w:type="dxa"/>
            <w:vAlign w:val="bottom"/>
          </w:tcPr>
          <w:p>
            <w:pPr>
              <w:ind w:left="180"/>
              <w:spacing w:after="0"/>
              <w:rPr>
                <w:sz w:val="20"/>
                <w:szCs w:val="20"/>
                <w:color w:val="auto"/>
              </w:rPr>
            </w:pPr>
            <w:r>
              <w:rPr>
                <w:rFonts w:ascii="Arial" w:cs="Arial" w:eastAsia="Arial" w:hAnsi="Arial"/>
                <w:sz w:val="16"/>
                <w:szCs w:val="16"/>
                <w:color w:val="auto"/>
              </w:rPr>
              <w:t>compensation plans</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8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10,940</w:t>
            </w:r>
          </w:p>
        </w:tc>
        <w:tc>
          <w:tcPr>
            <w:tcW w:w="360" w:type="dxa"/>
            <w:vAlign w:val="bottom"/>
          </w:tcPr>
          <w:p>
            <w:pPr>
              <w:spacing w:after="0"/>
              <w:rPr>
                <w:sz w:val="16"/>
                <w:szCs w:val="16"/>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12,766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4,185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Purchase of 3,369,285 shares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(3,369)</w:t>
            </w:r>
          </w:p>
        </w:tc>
        <w:tc>
          <w:tcPr>
            <w:tcW w:w="18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(143,174)</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(146,543)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Excess tax benefits from stock options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13,131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Minimum pension liability adjustment, net of tax</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2,077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2,077</w:t>
            </w:r>
          </w:p>
        </w:tc>
        <w:tc>
          <w:tcPr>
            <w:tcW w:w="2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2,077</w:t>
            </w:r>
          </w:p>
        </w:tc>
        <w:tc>
          <w:tcPr>
            <w:tcW w:w="8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Unrealized loss on derivative instruments, net of tax</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129,145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129,145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129,145</w:t>
            </w:r>
          </w:p>
        </w:tc>
        <w:tc>
          <w:tcPr>
            <w:tcW w:w="80" w:type="dxa"/>
            <w:vAlign w:val="bottom"/>
            <w:shd w:val="clear" w:color="auto" w:fill="CCEEFF"/>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133,877</w:t>
            </w:r>
          </w:p>
        </w:tc>
        <w:tc>
          <w:tcPr>
            <w:tcW w:w="80" w:type="dxa"/>
            <w:vAlign w:val="bottom"/>
          </w:tcPr>
          <w:p>
            <w:pPr>
              <w:spacing w:after="0"/>
              <w:rPr>
                <w:sz w:val="19"/>
                <w:szCs w:val="19"/>
                <w:color w:val="auto"/>
              </w:rPr>
            </w:pPr>
          </w:p>
        </w:tc>
      </w:tr>
      <w:tr>
        <w:trPr>
          <w:trHeight w:val="223"/>
        </w:trPr>
        <w:tc>
          <w:tcPr>
            <w:tcW w:w="4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October 31, 2006</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$ 40,356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358,522</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(6,849)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392,029</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05"/>
        </w:trPr>
        <w:tc>
          <w:tcPr>
            <w:tcW w:w="4320" w:type="dxa"/>
            <w:vAlign w:val="bottom"/>
          </w:tcPr>
          <w:p>
            <w:pPr>
              <w:spacing w:after="0"/>
              <w:rPr>
                <w:sz w:val="20"/>
                <w:szCs w:val="20"/>
                <w:color w:val="auto"/>
              </w:rPr>
            </w:pPr>
            <w:r>
              <w:rPr>
                <w:rFonts w:ascii="Arial" w:cs="Arial" w:eastAsia="Arial" w:hAnsi="Arial"/>
                <w:sz w:val="16"/>
                <w:szCs w:val="16"/>
                <w:b w:val="1"/>
                <w:bCs w:val="1"/>
                <w:color w:val="auto"/>
              </w:rPr>
              <w:t>Cash dividends paid on common stock – $0.48 per</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320" w:type="dxa"/>
            <w:vAlign w:val="bottom"/>
          </w:tcPr>
          <w:p>
            <w:pPr>
              <w:ind w:left="180"/>
              <w:spacing w:after="0"/>
              <w:rPr>
                <w:sz w:val="20"/>
                <w:szCs w:val="20"/>
                <w:color w:val="auto"/>
              </w:rPr>
            </w:pPr>
            <w:r>
              <w:rPr>
                <w:rFonts w:ascii="Arial" w:cs="Arial" w:eastAsia="Arial" w:hAnsi="Arial"/>
                <w:sz w:val="16"/>
                <w:szCs w:val="16"/>
                <w:b w:val="1"/>
                <w:bCs w:val="1"/>
                <w:color w:val="auto"/>
              </w:rPr>
              <w:t>share</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(19,459)</w:t>
            </w:r>
          </w:p>
        </w:tc>
        <w:tc>
          <w:tcPr>
            <w:tcW w:w="3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(19,459)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Issuance of 937,846 shares under stock-based</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compensation plans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18,862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b w:val="1"/>
                <w:bCs w:val="1"/>
                <w:color w:val="auto"/>
              </w:rPr>
              <w:t>Contribution of stock to a deferred compensation trust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748</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 of 3,342,729 shares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(179,500)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(182,843)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b w:val="1"/>
                <w:bCs w:val="1"/>
                <w:color w:val="auto"/>
              </w:rPr>
              <w:t>Excess tax benefits from stock options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13,775</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13,775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 related to adoption of SFAS No. 158, net of</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tax</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(1,484)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b w:val="1"/>
                <w:bCs w:val="1"/>
                <w:color w:val="auto"/>
              </w:rPr>
              <w:t>Minimum pension liability adjustment, net of tax</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41</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Foreign currency translation adjustments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9,757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w:t>
            </w:r>
          </w:p>
        </w:tc>
        <w:tc>
          <w:tcPr>
            <w:tcW w:w="80" w:type="dxa"/>
            <w:vAlign w:val="bottom"/>
            <w:shd w:val="clear" w:color="auto" w:fill="CCEEFF"/>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b w:val="1"/>
                <w:bCs w:val="1"/>
                <w:color w:val="auto"/>
              </w:rPr>
              <w:t>Unrealized loss on derivative instruments, net of tax</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(4,362)</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(4,362)</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earnings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142,436</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142,436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142,436</w:t>
            </w:r>
          </w:p>
        </w:tc>
        <w:tc>
          <w:tcPr>
            <w:tcW w:w="80" w:type="dxa"/>
            <w:vAlign w:val="bottom"/>
            <w:shd w:val="clear" w:color="auto" w:fill="CCEEFF"/>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b w:val="1"/>
                <w:bCs w:val="1"/>
                <w:color w:val="auto"/>
              </w:rPr>
              <w:t>Total comprehensive income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147,872</w:t>
            </w:r>
          </w:p>
        </w:tc>
        <w:tc>
          <w:tcPr>
            <w:tcW w:w="80" w:type="dxa"/>
            <w:vAlign w:val="bottom"/>
          </w:tcPr>
          <w:p>
            <w:pPr>
              <w:spacing w:after="0"/>
              <w:rPr>
                <w:sz w:val="19"/>
                <w:szCs w:val="19"/>
                <w:color w:val="auto"/>
              </w:rPr>
            </w:pPr>
          </w:p>
        </w:tc>
      </w:tr>
      <w:tr>
        <w:trPr>
          <w:trHeight w:val="223"/>
        </w:trPr>
        <w:tc>
          <w:tcPr>
            <w:tcW w:w="4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October 31, 2007</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$ 37,951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335,384</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(2,897)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370,438</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NOTES TO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4673B6"/>
        </w:rPr>
        <w:t>(Dollars in thousands, except per share data)</w:t>
      </w:r>
    </w:p>
    <w:p>
      <w:pPr>
        <w:spacing w:after="0" w:line="200" w:lineRule="exact"/>
        <w:rPr>
          <w:sz w:val="20"/>
          <w:szCs w:val="20"/>
          <w:color w:val="auto"/>
        </w:rPr>
      </w:pPr>
    </w:p>
    <w:p>
      <w:pPr>
        <w:spacing w:after="0" w:line="31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673B6"/>
        </w:rPr>
        <w:t>SUMMARY OF SIGNIFICANT</w:t>
      </w:r>
    </w:p>
    <w:p>
      <w:pPr>
        <w:spacing w:after="0" w:line="82" w:lineRule="exact"/>
        <w:rPr>
          <w:sz w:val="20"/>
          <w:szCs w:val="20"/>
          <w:color w:val="auto"/>
        </w:rPr>
      </w:pPr>
    </w:p>
    <w:p>
      <w:pPr>
        <w:ind w:left="540" w:right="8340" w:hanging="532"/>
        <w:spacing w:after="0" w:line="180" w:lineRule="auto"/>
        <w:tabs>
          <w:tab w:leader="none" w:pos="540" w:val="left"/>
        </w:tabs>
        <w:numPr>
          <w:ilvl w:val="0"/>
          <w:numId w:val="72"/>
        </w:numPr>
        <w:rPr>
          <w:rFonts w:ascii="Arial" w:cs="Arial" w:eastAsia="Arial" w:hAnsi="Arial"/>
          <w:sz w:val="43"/>
          <w:szCs w:val="43"/>
          <w:b w:val="1"/>
          <w:bCs w:val="1"/>
          <w:color w:val="4673B6"/>
        </w:rPr>
      </w:pPr>
      <w:r>
        <w:rPr>
          <w:rFonts w:ascii="Arial" w:cs="Arial" w:eastAsia="Arial" w:hAnsi="Arial"/>
          <w:sz w:val="18"/>
          <w:szCs w:val="18"/>
          <w:b w:val="1"/>
          <w:bCs w:val="1"/>
          <w:color w:val="4673B6"/>
        </w:rPr>
        <w:t>ACCOUNTING POLICIES AND RELATED DATA</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Basis of Presentation and Consolidation</w:t>
      </w:r>
    </w:p>
    <w:p>
      <w:pPr>
        <w:spacing w:after="0" w:line="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In accordance with the cost method, these investments are recorded at cost or fair value, as appropriate. All material intercompany accounts and transactions have been eliminated from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Accounting Estimates</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Reclassifications</w:t>
      </w:r>
    </w:p>
    <w:p>
      <w:pPr>
        <w:spacing w:after="0" w:line="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 The reclassifications had no impact on results of operations as previously reported.</w:t>
      </w:r>
    </w:p>
    <w:p>
      <w:pPr>
        <w:sectPr>
          <w:pgSz w:w="11900" w:h="16838" w:orient="portrait"/>
          <w:cols w:equalWidth="0" w:num="1">
            <w:col w:w="11420"/>
          </w:cols>
          <w:pgMar w:left="240" w:top="140" w:right="239" w:bottom="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Cash and Cash Equivalents</w:t>
      </w:r>
    </w:p>
    <w:p>
      <w:pPr>
        <w:sectPr>
          <w:pgSz w:w="11900" w:h="16838" w:orient="portrait"/>
          <w:cols w:equalWidth="0" w:num="1">
            <w:col w:w="11420"/>
          </w:cols>
          <w:pgMar w:left="240" w:top="140" w:right="239" w:bottom="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Receivables</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grants credit to customers in the normal course of business. Management performs on-going credit evaluations of customers and maintains allowances for potential credit losses. Receivables are recorded at original carrying value less reserves for estimated uncollectible accounts.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Inventories</w:t>
      </w:r>
    </w:p>
    <w:p>
      <w:pPr>
        <w:spacing w:after="0" w:line="40"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The first-in, first-out (FIFO) method is used for other inventories, constituting approximately 35 percent of total inventories as of October 31, 2007 and 2006. The company establishes a reserve for excess, slow-moving, and obsolete inventory that is based on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During fiscal 2006, LIFO inventory layers were reduced. This reduction resulted in charging lower inventory costs prevailing in previous years to cost of sales, thus reducing cost of sales by $713 below the amount that would have resulted from replacing the liquidated inventory at end of year prices. During fiscal 2007, LIFO inventory layers were also reduced, which resulted in an immaterial impact to cost of sales.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as of October 31 were as follows:</w:t>
      </w: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203"/>
        </w:trPr>
        <w:tc>
          <w:tcPr>
            <w:tcW w:w="29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Borders>
              <w:bottom w:val="single" w:sz="8" w:color="CCEEFF"/>
            </w:tcBorders>
          </w:tcPr>
          <w:p>
            <w:pPr>
              <w:spacing w:after="0"/>
              <w:rPr>
                <w:sz w:val="17"/>
                <w:szCs w:val="17"/>
                <w:color w:val="auto"/>
              </w:rPr>
            </w:pPr>
          </w:p>
        </w:tc>
      </w:tr>
      <w:tr>
        <w:trPr>
          <w:trHeight w:val="183"/>
        </w:trPr>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$ 68,367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$ 67,976</w:t>
            </w:r>
          </w:p>
        </w:tc>
        <w:tc>
          <w:tcPr>
            <w:tcW w:w="60" w:type="dxa"/>
            <w:vAlign w:val="bottom"/>
            <w:shd w:val="clear" w:color="auto" w:fill="CCEEFF"/>
          </w:tcPr>
          <w:p>
            <w:pPr>
              <w:spacing w:after="0"/>
              <w:rPr>
                <w:sz w:val="15"/>
                <w:szCs w:val="15"/>
                <w:color w:val="auto"/>
              </w:rPr>
            </w:pPr>
          </w:p>
        </w:tc>
      </w:tr>
      <w:tr>
        <w:trPr>
          <w:trHeight w:val="189"/>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242,965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229,137</w:t>
            </w:r>
          </w:p>
        </w:tc>
        <w:tc>
          <w:tcPr>
            <w:tcW w:w="60" w:type="dxa"/>
            <w:vAlign w:val="bottom"/>
            <w:tcBorders>
              <w:bottom w:val="single" w:sz="8" w:color="CCEEFF"/>
            </w:tcBorders>
          </w:tcPr>
          <w:p>
            <w:pPr>
              <w:spacing w:after="0"/>
              <w:rPr>
                <w:sz w:val="16"/>
                <w:szCs w:val="16"/>
                <w:color w:val="auto"/>
              </w:rPr>
            </w:pPr>
          </w:p>
        </w:tc>
      </w:tr>
      <w:tr>
        <w:trPr>
          <w:trHeight w:val="183"/>
        </w:trPr>
        <w:tc>
          <w:tcPr>
            <w:tcW w:w="29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311,332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297,113</w:t>
            </w:r>
          </w:p>
        </w:tc>
        <w:tc>
          <w:tcPr>
            <w:tcW w:w="60" w:type="dxa"/>
            <w:vAlign w:val="bottom"/>
            <w:shd w:val="clear" w:color="auto" w:fill="CCEEFF"/>
          </w:tcPr>
          <w:p>
            <w:pPr>
              <w:spacing w:after="0"/>
              <w:rPr>
                <w:sz w:val="15"/>
                <w:szCs w:val="15"/>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4"/>
                <w:szCs w:val="14"/>
                <w:b w:val="1"/>
                <w:bCs w:val="1"/>
                <w:color w:val="auto"/>
              </w:rPr>
              <w:t>Less: LIFO reserve</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42,889</w:t>
            </w:r>
          </w:p>
        </w:tc>
        <w:tc>
          <w:tcPr>
            <w:tcW w:w="740" w:type="dxa"/>
            <w:vAlign w:val="bottom"/>
          </w:tcPr>
          <w:p>
            <w:pPr>
              <w:jc w:val="right"/>
              <w:spacing w:after="0"/>
              <w:rPr>
                <w:sz w:val="20"/>
                <w:szCs w:val="20"/>
                <w:color w:val="auto"/>
              </w:rPr>
            </w:pPr>
            <w:r>
              <w:rPr>
                <w:rFonts w:ascii="Arial" w:cs="Arial" w:eastAsia="Arial" w:hAnsi="Arial"/>
                <w:sz w:val="14"/>
                <w:szCs w:val="14"/>
                <w:color w:val="auto"/>
              </w:rPr>
              <w:t>40,860</w:t>
            </w:r>
          </w:p>
        </w:tc>
        <w:tc>
          <w:tcPr>
            <w:tcW w:w="60" w:type="dxa"/>
            <w:vAlign w:val="bottom"/>
          </w:tcPr>
          <w:p>
            <w:pPr>
              <w:spacing w:after="0"/>
              <w:rPr>
                <w:sz w:val="16"/>
                <w:szCs w:val="16"/>
                <w:color w:val="auto"/>
              </w:rPr>
            </w:pPr>
          </w:p>
        </w:tc>
      </w:tr>
      <w:tr>
        <w:trPr>
          <w:trHeight w:val="189"/>
        </w:trPr>
        <w:tc>
          <w:tcPr>
            <w:tcW w:w="294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Reserves for excess and obsolete</w:t>
            </w: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inventory</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17,168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17,709</w:t>
            </w:r>
          </w:p>
        </w:tc>
        <w:tc>
          <w:tcPr>
            <w:tcW w:w="60" w:type="dxa"/>
            <w:vAlign w:val="bottom"/>
            <w:shd w:val="clear" w:color="auto" w:fill="CCEEFF"/>
          </w:tcPr>
          <w:p>
            <w:pPr>
              <w:spacing w:after="0"/>
              <w:rPr>
                <w:sz w:val="16"/>
                <w:szCs w:val="16"/>
                <w:color w:val="auto"/>
              </w:rPr>
            </w:pPr>
          </w:p>
        </w:tc>
      </w:tr>
      <w:tr>
        <w:trPr>
          <w:trHeight w:val="183"/>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$ 251,275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$ 238,544</w:t>
            </w:r>
          </w:p>
        </w:tc>
        <w:tc>
          <w:tcPr>
            <w:tcW w:w="60" w:type="dxa"/>
            <w:vAlign w:val="bottom"/>
          </w:tcPr>
          <w:p>
            <w:pPr>
              <w:spacing w:after="0"/>
              <w:rPr>
                <w:sz w:val="15"/>
                <w:szCs w:val="15"/>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Property and Depreciation</w:t>
      </w:r>
    </w:p>
    <w:p>
      <w:pPr>
        <w:spacing w:after="0" w:line="40"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45 years, and equipment over 3 to 7 years. Tooling costs are generally depreciated over 3 to 5 years using the straight-line method. Software and web site development costs are generally amortized over 2 to 5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2007, 2006, and 2005, the company capitalized $820, $760, and $408 of interest, respectively.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189"/>
        </w:trPr>
        <w:tc>
          <w:tcPr>
            <w:tcW w:w="29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Borders>
              <w:bottom w:val="single" w:sz="8" w:color="CCEEFF"/>
            </w:tcBorders>
          </w:tcPr>
          <w:p>
            <w:pPr>
              <w:spacing w:after="0"/>
              <w:rPr>
                <w:sz w:val="16"/>
                <w:szCs w:val="16"/>
                <w:color w:val="auto"/>
              </w:rPr>
            </w:pPr>
          </w:p>
        </w:tc>
      </w:tr>
      <w:tr>
        <w:trPr>
          <w:trHeight w:val="169"/>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Land and land improvements</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$ 22,670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$ 22,256</w:t>
            </w:r>
          </w:p>
        </w:tc>
        <w:tc>
          <w:tcPr>
            <w:tcW w:w="60" w:type="dxa"/>
            <w:vAlign w:val="bottom"/>
            <w:shd w:val="clear" w:color="auto" w:fill="CCEEFF"/>
          </w:tcPr>
          <w:p>
            <w:pPr>
              <w:spacing w:after="0"/>
              <w:rPr>
                <w:sz w:val="14"/>
                <w:szCs w:val="14"/>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111,789</w:t>
            </w:r>
          </w:p>
        </w:tc>
        <w:tc>
          <w:tcPr>
            <w:tcW w:w="720" w:type="dxa"/>
            <w:vAlign w:val="bottom"/>
          </w:tcPr>
          <w:p>
            <w:pPr>
              <w:jc w:val="right"/>
              <w:spacing w:after="0"/>
              <w:rPr>
                <w:sz w:val="20"/>
                <w:szCs w:val="20"/>
                <w:color w:val="auto"/>
              </w:rPr>
            </w:pPr>
            <w:r>
              <w:rPr>
                <w:rFonts w:ascii="Arial" w:cs="Arial" w:eastAsia="Arial" w:hAnsi="Arial"/>
                <w:sz w:val="14"/>
                <w:szCs w:val="14"/>
                <w:color w:val="auto"/>
              </w:rPr>
              <w:t>107,650</w:t>
            </w:r>
          </w:p>
        </w:tc>
        <w:tc>
          <w:tcPr>
            <w:tcW w:w="60" w:type="dxa"/>
            <w:vAlign w:val="bottom"/>
          </w:tcPr>
          <w:p>
            <w:pPr>
              <w:spacing w:after="0"/>
              <w:rPr>
                <w:sz w:val="15"/>
                <w:szCs w:val="15"/>
                <w:color w:val="auto"/>
              </w:rPr>
            </w:pPr>
          </w:p>
        </w:tc>
      </w:tr>
      <w:tr>
        <w:trPr>
          <w:trHeight w:val="176"/>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394,942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362,136</w:t>
            </w:r>
          </w:p>
        </w:tc>
        <w:tc>
          <w:tcPr>
            <w:tcW w:w="60" w:type="dxa"/>
            <w:vAlign w:val="bottom"/>
            <w:shd w:val="clear" w:color="auto" w:fill="CCEEFF"/>
          </w:tcPr>
          <w:p>
            <w:pPr>
              <w:spacing w:after="0"/>
              <w:rPr>
                <w:sz w:val="15"/>
                <w:szCs w:val="15"/>
                <w:color w:val="auto"/>
              </w:rPr>
            </w:pPr>
          </w:p>
        </w:tc>
      </w:tr>
      <w:tr>
        <w:trPr>
          <w:trHeight w:val="176"/>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Computer hardware and software</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47,681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48,297</w:t>
            </w:r>
          </w:p>
        </w:tc>
        <w:tc>
          <w:tcPr>
            <w:tcW w:w="60" w:type="dxa"/>
            <w:vAlign w:val="bottom"/>
            <w:tcBorders>
              <w:bottom w:val="single" w:sz="8" w:color="CCEEFF"/>
            </w:tcBorders>
          </w:tcPr>
          <w:p>
            <w:pPr>
              <w:spacing w:after="0"/>
              <w:rPr>
                <w:sz w:val="15"/>
                <w:szCs w:val="15"/>
                <w:color w:val="auto"/>
              </w:rPr>
            </w:pPr>
          </w:p>
        </w:tc>
      </w:tr>
      <w:tr>
        <w:trPr>
          <w:trHeight w:val="169"/>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Subtotal</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577,082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540,339</w:t>
            </w:r>
          </w:p>
        </w:tc>
        <w:tc>
          <w:tcPr>
            <w:tcW w:w="60" w:type="dxa"/>
            <w:vAlign w:val="bottom"/>
            <w:shd w:val="clear" w:color="auto" w:fill="CCEEFF"/>
          </w:tcPr>
          <w:p>
            <w:pPr>
              <w:spacing w:after="0"/>
              <w:rPr>
                <w:sz w:val="14"/>
                <w:szCs w:val="14"/>
                <w:color w:val="auto"/>
              </w:rPr>
            </w:pPr>
          </w:p>
        </w:tc>
      </w:tr>
      <w:tr>
        <w:trPr>
          <w:trHeight w:val="176"/>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406,410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374,016</w:t>
            </w:r>
          </w:p>
        </w:tc>
        <w:tc>
          <w:tcPr>
            <w:tcW w:w="60" w:type="dxa"/>
            <w:vAlign w:val="bottom"/>
            <w:tcBorders>
              <w:bottom w:val="single" w:sz="8" w:color="CCEEFF"/>
            </w:tcBorders>
          </w:tcPr>
          <w:p>
            <w:pPr>
              <w:spacing w:after="0"/>
              <w:rPr>
                <w:sz w:val="15"/>
                <w:szCs w:val="15"/>
                <w:color w:val="auto"/>
              </w:rPr>
            </w:pPr>
          </w:p>
        </w:tc>
      </w:tr>
      <w:tr>
        <w:trPr>
          <w:trHeight w:val="169"/>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property, plant, and equipment, net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$ 170,672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$ 166,323</w:t>
            </w:r>
          </w:p>
        </w:tc>
        <w:tc>
          <w:tcPr>
            <w:tcW w:w="60" w:type="dxa"/>
            <w:vAlign w:val="bottom"/>
            <w:shd w:val="clear" w:color="auto" w:fill="CCEEFF"/>
          </w:tcPr>
          <w:p>
            <w:pPr>
              <w:spacing w:after="0"/>
              <w:rPr>
                <w:sz w:val="14"/>
                <w:szCs w:val="14"/>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fiscal years 2007, 2006, and 2005, the company recorded depreciation expense of $40,529, $41,219, and $41,579,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Goodwill and Other Intangible Assets</w:t>
      </w:r>
    </w:p>
    <w:p>
      <w:pPr>
        <w:spacing w:after="0" w:line="40" w:lineRule="exact"/>
        <w:rPr>
          <w:sz w:val="20"/>
          <w:szCs w:val="20"/>
          <w:color w:val="auto"/>
        </w:rPr>
      </w:pPr>
    </w:p>
    <w:p>
      <w:pPr>
        <w:jc w:val="both"/>
        <w:ind w:right="660"/>
        <w:spacing w:after="0" w:line="266" w:lineRule="auto"/>
        <w:rPr>
          <w:sz w:val="20"/>
          <w:szCs w:val="20"/>
          <w:color w:val="auto"/>
        </w:rPr>
      </w:pPr>
      <w:r>
        <w:rPr>
          <w:rFonts w:ascii="Arial" w:cs="Arial" w:eastAsia="Arial" w:hAnsi="Arial"/>
          <w:sz w:val="18"/>
          <w:szCs w:val="18"/>
          <w:color w:val="auto"/>
        </w:rPr>
        <w:t>Goodwill represents the excess of the purchase price over the fair value of net assets of businesses acquired and accounted for by the purchase method of accounting. Statement of Financial Accounting Standards (SFAS) No. 142, “Goodwill and Other Intangible Assets,” requires that goodwill and certain other tangible assets having indefinite lives no longer be amortized, but instead be tested annually for impairment or more frequently if events suggest the remaining value may not be recoverable.</w:t>
      </w:r>
    </w:p>
    <w:p>
      <w:pPr>
        <w:spacing w:after="0" w:line="1"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Other intangible assets with determinable lives consist primarily of patents, non-compete agreements, customer relationships, and developed technology that are amortized on a straight-line basis over periods ranging from two to 13 years.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Impairment of Long-Lived and Intangible Assets</w:t>
      </w:r>
    </w:p>
    <w:p>
      <w:pPr>
        <w:spacing w:after="0" w:line="40" w:lineRule="exact"/>
        <w:rPr>
          <w:sz w:val="20"/>
          <w:szCs w:val="20"/>
          <w:color w:val="auto"/>
        </w:rPr>
      </w:pPr>
    </w:p>
    <w:p>
      <w:pPr>
        <w:jc w:val="both"/>
        <w:ind w:right="400"/>
        <w:spacing w:after="0" w:line="270" w:lineRule="auto"/>
        <w:rPr>
          <w:sz w:val="20"/>
          <w:szCs w:val="20"/>
          <w:color w:val="auto"/>
        </w:rPr>
      </w:pPr>
      <w:r>
        <w:rPr>
          <w:rFonts w:ascii="Arial" w:cs="Arial" w:eastAsia="Arial" w:hAnsi="Arial"/>
          <w:sz w:val="18"/>
          <w:szCs w:val="18"/>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Based on the company’s annual analysis during fiscal 2007, 2006, and 2005, no long-lived assets, goodwill, or other intangible assets were deemed impaired.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Accrued Warranties</w:t>
      </w:r>
    </w:p>
    <w:p>
      <w:pPr>
        <w:spacing w:after="0" w:line="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provides an accrual for estimated future warranty costs at the time of sale. The amount of the liability is based upon the historical relationship of warranty claims to sales by product line and major rework campaigns. The changes in warranty reserves were as follows:</w:t>
      </w:r>
    </w:p>
    <w:p>
      <w:pPr>
        <w:spacing w:after="0" w:line="138" w:lineRule="exact"/>
        <w:rPr>
          <w:sz w:val="20"/>
          <w:szCs w:val="20"/>
          <w:color w:val="auto"/>
        </w:rPr>
      </w:pPr>
    </w:p>
    <w:tbl>
      <w:tblPr>
        <w:tblLayout w:type="fixed"/>
        <w:tblInd w:w="3460" w:type="dxa"/>
        <w:tblCellMar>
          <w:top w:w="0" w:type="dxa"/>
          <w:left w:w="0" w:type="dxa"/>
          <w:bottom w:w="0" w:type="dxa"/>
          <w:right w:w="0" w:type="dxa"/>
        </w:tblCellMar>
      </w:tblPr>
      <w:tr>
        <w:trPr>
          <w:trHeight w:val="189"/>
        </w:trPr>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Borders>
              <w:bottom w:val="single" w:sz="8" w:color="CCEEFF"/>
            </w:tcBorders>
          </w:tcPr>
          <w:p>
            <w:pPr>
              <w:spacing w:after="0"/>
              <w:rPr>
                <w:sz w:val="16"/>
                <w:szCs w:val="16"/>
                <w:color w:val="auto"/>
              </w:rPr>
            </w:pPr>
          </w:p>
        </w:tc>
      </w:tr>
      <w:tr>
        <w:trPr>
          <w:trHeight w:val="169"/>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Beginning Balance</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$ 65,235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$ 61,385</w:t>
            </w:r>
          </w:p>
        </w:tc>
        <w:tc>
          <w:tcPr>
            <w:tcW w:w="8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420"/>
          </w:cols>
          <w:pgMar w:left="240" w:top="152" w:right="239" w:bottom="0" w:gutter="0" w:footer="0" w:header="0"/>
        </w:sectPr>
      </w:pPr>
    </w:p>
    <w:tbl>
      <w:tblPr>
        <w:tblLayout w:type="fixed"/>
        <w:tblInd w:w="3460" w:type="dxa"/>
        <w:tblCellMar>
          <w:top w:w="0" w:type="dxa"/>
          <w:left w:w="0" w:type="dxa"/>
          <w:bottom w:w="0" w:type="dxa"/>
          <w:right w:w="0" w:type="dxa"/>
        </w:tblCellMar>
      </w:tblPr>
      <w:tr>
        <w:trPr>
          <w:trHeight w:val="176"/>
        </w:trPr>
        <w:tc>
          <w:tcPr>
            <w:tcW w:w="228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44,040</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41,997</w:t>
            </w:r>
          </w:p>
        </w:tc>
      </w:tr>
      <w:tr>
        <w:trPr>
          <w:trHeight w:val="176"/>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(44,416)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(41,700)</w:t>
            </w:r>
          </w:p>
        </w:tc>
      </w:tr>
    </w:tbl>
    <w:p>
      <w:pPr>
        <w:sectPr>
          <w:pgSz w:w="11900" w:h="16838" w:orient="portrait"/>
          <w:cols w:equalWidth="0" w:num="1">
            <w:col w:w="11420"/>
          </w:cols>
          <w:pgMar w:left="240" w:top="152" w:right="239" w:bottom="0" w:gutter="0" w:footer="0" w:header="0"/>
          <w:type w:val="continuous"/>
        </w:sectPr>
      </w:pPr>
    </w:p>
    <w:bookmarkStart w:id="36" w:name="page37"/>
    <w:bookmarkEnd w:id="36"/>
    <w:p>
      <w:pPr>
        <w:spacing w:after="0" w:line="1" w:lineRule="exact"/>
        <w:rPr>
          <w:sz w:val="20"/>
          <w:szCs w:val="20"/>
          <w:color w:val="auto"/>
        </w:rPr>
      </w:pPr>
    </w:p>
    <w:tbl>
      <w:tblPr>
        <w:tblLayout w:type="fixed"/>
        <w:tblInd w:w="3460" w:type="dxa"/>
        <w:tblCellMar>
          <w:top w:w="0" w:type="dxa"/>
          <w:left w:w="0" w:type="dxa"/>
          <w:bottom w:w="0" w:type="dxa"/>
          <w:right w:w="0" w:type="dxa"/>
        </w:tblCellMar>
      </w:tblPr>
      <w:tr>
        <w:trPr>
          <w:trHeight w:val="189"/>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Changes in estimates</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80" w:type="dxa"/>
            <w:vAlign w:val="bottom"/>
            <w:tcBorders>
              <w:bottom w:val="single" w:sz="8" w:color="CCEEFF"/>
            </w:tcBorders>
          </w:tcPr>
          <w:p>
            <w:pPr>
              <w:spacing w:after="0"/>
              <w:rPr>
                <w:sz w:val="16"/>
                <w:szCs w:val="16"/>
                <w:color w:val="auto"/>
              </w:rPr>
            </w:pPr>
          </w:p>
        </w:tc>
      </w:tr>
      <w:tr>
        <w:trPr>
          <w:trHeight w:val="169"/>
        </w:trPr>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Ending Balance</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$ 62,030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$ 65,235</w:t>
            </w:r>
          </w:p>
        </w:tc>
        <w:tc>
          <w:tcPr>
            <w:tcW w:w="80" w:type="dxa"/>
            <w:vAlign w:val="bottom"/>
            <w:shd w:val="clear" w:color="auto" w:fill="CCEEFF"/>
          </w:tcPr>
          <w:p>
            <w:pPr>
              <w:spacing w:after="0"/>
              <w:rPr>
                <w:sz w:val="14"/>
                <w:szCs w:val="14"/>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Insurance</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Derivatives</w:t>
      </w:r>
    </w:p>
    <w:p>
      <w:pPr>
        <w:spacing w:after="0" w:line="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Derivatives, consisting mainly of forward currency contracts, are used to hedge most foreign currency transactions, including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income, net in the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Foreign Currency Translation and Transactions</w:t>
      </w:r>
    </w:p>
    <w:p>
      <w:pPr>
        <w:spacing w:after="0" w:line="4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net in the consolidated statements of earnings.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Income Taxes</w:t>
      </w:r>
    </w:p>
    <w:p>
      <w:pPr>
        <w:spacing w:after="0" w:line="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realized principally through carryback to taxable income in prior years, future reversals of existing taxable temporary differences, and future taxable income.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Revenue Recognition</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Toro recognizes revenue when persuasive evidence of an arrangement exists, title and risk of ownership passes, the sales price is fixed or determinable, and collectibility is probable. These criteria are typically met at the time product is shipped, or in the case of certain agreements, when product is delivered. The company ships some of its products on consignment to a key retailer. Toro recognizes revenue for these consignment transactions when the product is shipped from the retailer’s distribution centers to their stores. A provision is made at the time the related revenue is recognized for estimated product returns, cost of product warranties, floor plan costs, rebates, and other sales promotional expenses. Sales, use, value-added, and other excise taxes are not recognized in revenue. Freight revenue billed to customers is also included in net sales.</w:t>
      </w:r>
    </w:p>
    <w:p>
      <w:pPr>
        <w:spacing w:after="0" w:line="1" w:lineRule="exact"/>
        <w:rPr>
          <w:sz w:val="20"/>
          <w:szCs w:val="20"/>
          <w:color w:val="auto"/>
        </w:rPr>
      </w:pPr>
    </w:p>
    <w:p>
      <w:pPr>
        <w:jc w:val="both"/>
        <w:ind w:right="40" w:firstLine="180"/>
        <w:spacing w:after="0" w:line="266" w:lineRule="auto"/>
        <w:rPr>
          <w:sz w:val="20"/>
          <w:szCs w:val="20"/>
          <w:color w:val="auto"/>
        </w:rPr>
      </w:pPr>
      <w:r>
        <w:rPr>
          <w:rFonts w:ascii="Arial" w:cs="Arial" w:eastAsia="Arial" w:hAnsi="Arial"/>
          <w:sz w:val="18"/>
          <w:szCs w:val="18"/>
          <w:color w:val="auto"/>
        </w:rPr>
        <w:t>Retail customers may obtain financing through a third-party financing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1"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Sales Promotions and Incentives</w:t>
      </w:r>
    </w:p>
    <w:p>
      <w:pPr>
        <w:spacing w:after="0" w:line="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either classified as a reduction from gross sales or as a component of selling, general, and administrative expense.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Cost of Sales</w:t>
      </w:r>
    </w:p>
    <w:p>
      <w:pPr>
        <w:spacing w:after="0" w:line="4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ectPr>
          <w:pgSz w:w="11900" w:h="16838" w:orient="portrait"/>
          <w:cols w:equalWidth="0" w:num="1">
            <w:col w:w="11420"/>
          </w:cols>
          <w:pgMar w:left="240" w:top="140" w:right="23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Selling, General, and Administrative Expense</w:t>
      </w:r>
    </w:p>
    <w:p>
      <w:pPr>
        <w:sectPr>
          <w:pgSz w:w="11900" w:h="16838" w:orient="portrait"/>
          <w:cols w:equalWidth="0" w:num="1">
            <w:col w:w="11420"/>
          </w:cols>
          <w:pgMar w:left="240" w:top="140" w:right="239" w:bottom="0" w:gutter="0" w:footer="0" w:header="0"/>
          <w:type w:val="continuous"/>
        </w:sectPr>
      </w:pPr>
    </w:p>
    <w:bookmarkStart w:id="37" w:name="page38"/>
    <w:bookmarkEnd w:id="37"/>
    <w:p>
      <w:pPr>
        <w:ind w:right="220"/>
        <w:spacing w:after="0" w:line="270"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Cost of Financing Distributor/Dealer Inventory</w:t>
      </w:r>
    </w:p>
    <w:p>
      <w:pPr>
        <w:spacing w:after="0" w:line="4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The company enters into limited inventory repurchase agreements with third party financing companies. The company has repurchased immaterial amounts of inventory from third party financing companies over the last three fiscal years. However, an adverse change in retail sales could cause this situation to change and thereby require Toro to repurchase financed product. See Note 12 for additional information regarding the company’s repurchase arrangements.</w:t>
      </w:r>
    </w:p>
    <w:p>
      <w:pPr>
        <w:spacing w:after="0" w:line="1" w:lineRule="exact"/>
        <w:rPr>
          <w:sz w:val="20"/>
          <w:szCs w:val="20"/>
          <w:color w:val="auto"/>
        </w:rPr>
      </w:pPr>
    </w:p>
    <w:p>
      <w:pPr>
        <w:ind w:right="60" w:firstLine="180"/>
        <w:spacing w:after="0" w:line="269" w:lineRule="auto"/>
        <w:rPr>
          <w:sz w:val="20"/>
          <w:szCs w:val="20"/>
          <w:color w:val="auto"/>
        </w:rPr>
      </w:pPr>
      <w:r>
        <w:rPr>
          <w:rFonts w:ascii="Arial" w:cs="Arial" w:eastAsia="Arial" w:hAnsi="Arial"/>
          <w:sz w:val="18"/>
          <w:szCs w:val="18"/>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$13,559, $13,952, and $11,866 for the fiscal years ended October 31, 2007, 2006, and 2005,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Advertising</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$39,877, $44,134, and $42,827 for the fiscal years ended October 31, 2007, 2006, and 2005,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Stock-Based Compensation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stock-based compensation awards in accordance with the provisions of SFAS No. 123 (Revised 2004),</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“Share-Based Payment.” SFAS No. 123R focuses primarily on accounting for transactions in which an entity obtains employee services through stock-based payment transactions and requires measurement of the cost of employee services received in exchange for the award of equity instruments based on the fair value of the award as of the date of grant. The company’s stock-based compensation awards include performance shares issued to key employees that are contingent on the achievement of performance goals of the company as well as non-qualified options. Compensation expense equal to the grant date fair value is recognized for these awards over the vesting period. See Note 9 for additional information regarding stock-based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Net Earnings Per Share</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Reconciliations of basic and diluted weighted-average shares of common stock are as follows:</w:t>
      </w:r>
    </w:p>
    <w:p>
      <w:pPr>
        <w:spacing w:after="0" w:line="172"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BASIC</w:t>
      </w:r>
    </w:p>
    <w:p>
      <w:pPr>
        <w:spacing w:after="0" w:line="28" w:lineRule="exact"/>
        <w:rPr>
          <w:sz w:val="20"/>
          <w:szCs w:val="20"/>
          <w:color w:val="auto"/>
        </w:rPr>
      </w:pPr>
    </w:p>
    <w:tbl>
      <w:tblPr>
        <w:tblLayout w:type="fixed"/>
        <w:tblInd w:w="3440" w:type="dxa"/>
        <w:tblCellMar>
          <w:top w:w="0" w:type="dxa"/>
          <w:left w:w="0" w:type="dxa"/>
          <w:bottom w:w="0" w:type="dxa"/>
          <w:right w:w="0" w:type="dxa"/>
        </w:tblCellMar>
      </w:tblPr>
      <w:tr>
        <w:trPr>
          <w:trHeight w:val="172"/>
        </w:trPr>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6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680" w:type="dxa"/>
            <w:vAlign w:val="bottom"/>
            <w:vMerge w:val="continue"/>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2006</w:t>
            </w:r>
          </w:p>
        </w:tc>
        <w:tc>
          <w:tcPr>
            <w:tcW w:w="560" w:type="dxa"/>
            <w:vAlign w:val="bottom"/>
          </w:tcPr>
          <w:p>
            <w:pPr>
              <w:jc w:val="right"/>
              <w:spacing w:after="0"/>
              <w:rPr>
                <w:sz w:val="20"/>
                <w:szCs w:val="20"/>
                <w:color w:val="auto"/>
              </w:rPr>
            </w:pPr>
            <w:r>
              <w:rPr>
                <w:rFonts w:ascii="Arial" w:cs="Arial" w:eastAsia="Arial" w:hAnsi="Arial"/>
                <w:sz w:val="14"/>
                <w:szCs w:val="14"/>
                <w:color w:val="auto"/>
              </w:rPr>
              <w:t>2005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Weighted-average number of shares</w:t>
            </w:r>
          </w:p>
        </w:tc>
        <w:tc>
          <w:tcPr>
            <w:tcW w:w="6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of common stock</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40,661</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42,848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Assumed issuance of contingent</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Weighted-average number of shares</w:t>
            </w: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of common stock and assumed</w:t>
            </w: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issuance of contingent shares</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40,682</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42,887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DILUTED</w:t>
            </w: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(Shares in thousands)</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2007</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years ended October 31</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line="156" w:lineRule="exact"/>
              <w:rPr>
                <w:sz w:val="20"/>
                <w:szCs w:val="20"/>
                <w:color w:val="auto"/>
              </w:rPr>
            </w:pPr>
            <w:r>
              <w:rPr>
                <w:rFonts w:ascii="Arial" w:cs="Arial" w:eastAsia="Arial" w:hAnsi="Arial"/>
                <w:sz w:val="14"/>
                <w:szCs w:val="14"/>
                <w:b w:val="1"/>
                <w:bCs w:val="1"/>
                <w:color w:val="auto"/>
              </w:rPr>
              <w:t>Weighted-average number of 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b w:val="1"/>
                <w:bCs w:val="1"/>
                <w:color w:val="auto"/>
              </w:rPr>
              <w:t>of common stock and assumed</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Pr>
          <w:p>
            <w:pPr>
              <w:ind w:left="160"/>
              <w:spacing w:after="0"/>
              <w:rPr>
                <w:sz w:val="20"/>
                <w:szCs w:val="20"/>
                <w:color w:val="auto"/>
              </w:rPr>
            </w:pPr>
            <w:r>
              <w:rPr>
                <w:rFonts w:ascii="Arial" w:cs="Arial" w:eastAsia="Arial" w:hAnsi="Arial"/>
                <w:sz w:val="14"/>
                <w:szCs w:val="14"/>
                <w:b w:val="1"/>
                <w:bCs w:val="1"/>
                <w:color w:val="auto"/>
              </w:rPr>
              <w:t>issuance of contingent shares</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40,682</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42,887</w:t>
            </w:r>
          </w:p>
        </w:tc>
        <w:tc>
          <w:tcPr>
            <w:tcW w:w="560" w:type="dxa"/>
            <w:vAlign w:val="bottom"/>
          </w:tcPr>
          <w:p>
            <w:pPr>
              <w:jc w:val="right"/>
              <w:spacing w:after="0"/>
              <w:rPr>
                <w:sz w:val="20"/>
                <w:szCs w:val="20"/>
                <w:color w:val="auto"/>
              </w:rPr>
            </w:pPr>
            <w:r>
              <w:rPr>
                <w:rFonts w:ascii="Arial" w:cs="Arial" w:eastAsia="Arial" w:hAnsi="Arial"/>
                <w:sz w:val="14"/>
                <w:szCs w:val="14"/>
                <w:color w:val="auto"/>
              </w:rPr>
              <w:t>44,714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Effect of dilutive securities</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1,182</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line="156" w:lineRule="exact"/>
              <w:rPr>
                <w:sz w:val="20"/>
                <w:szCs w:val="20"/>
                <w:color w:val="auto"/>
              </w:rPr>
            </w:pPr>
            <w:r>
              <w:rPr>
                <w:rFonts w:ascii="Arial" w:cs="Arial" w:eastAsia="Arial" w:hAnsi="Arial"/>
                <w:sz w:val="14"/>
                <w:szCs w:val="14"/>
                <w:b w:val="1"/>
                <w:bCs w:val="1"/>
                <w:color w:val="auto"/>
              </w:rPr>
              <w:t>Weighted-average number of 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b w:val="1"/>
                <w:bCs w:val="1"/>
                <w:color w:val="auto"/>
              </w:rPr>
              <w:t>of common stock, assumed</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b w:val="1"/>
                <w:bCs w:val="1"/>
                <w:color w:val="auto"/>
              </w:rPr>
              <w:t>issuance of contingent and</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b w:val="1"/>
                <w:bCs w:val="1"/>
                <w:color w:val="auto"/>
              </w:rPr>
              <w:t>restricted shares, and effect of</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dilutive securities</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41,864</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44,344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Flow Presentation</w:t>
      </w:r>
    </w:p>
    <w:p>
      <w:pPr>
        <w:spacing w:after="0" w:line="4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ectPr>
          <w:pgSz w:w="11900" w:h="16838" w:orient="portrait"/>
          <w:cols w:equalWidth="0" w:num="1">
            <w:col w:w="11400"/>
          </w:cols>
          <w:pgMar w:left="240" w:top="152" w:right="259" w:bottom="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Statement of Stockholders’ Equity and Comprehensive Income Information</w:t>
      </w:r>
    </w:p>
    <w:p>
      <w:pPr>
        <w:sectPr>
          <w:pgSz w:w="11900" w:h="16838" w:orient="portrait"/>
          <w:cols w:equalWidth="0" w:num="1">
            <w:col w:w="11400"/>
          </w:cols>
          <w:pgMar w:left="240" w:top="152" w:right="259" w:bottom="0" w:gutter="0" w:footer="0" w:header="0"/>
          <w:type w:val="continuous"/>
        </w:sectPr>
      </w:pPr>
    </w:p>
    <w:bookmarkStart w:id="38" w:name="page39"/>
    <w:bookmarkEnd w:id="38"/>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as of October 31 were as follows:</w:t>
      </w:r>
    </w:p>
    <w:p>
      <w:pPr>
        <w:spacing w:after="0" w:line="166" w:lineRule="exact"/>
        <w:rPr>
          <w:sz w:val="20"/>
          <w:szCs w:val="20"/>
          <w:color w:val="auto"/>
        </w:rPr>
      </w:pPr>
    </w:p>
    <w:tbl>
      <w:tblPr>
        <w:tblLayout w:type="fixed"/>
        <w:tblInd w:w="3440" w:type="dxa"/>
        <w:tblCellMar>
          <w:top w:w="0" w:type="dxa"/>
          <w:left w:w="0" w:type="dxa"/>
          <w:bottom w:w="0" w:type="dxa"/>
          <w:right w:w="0" w:type="dxa"/>
        </w:tblCellMar>
      </w:tblPr>
      <w:tr>
        <w:trPr>
          <w:trHeight w:val="189"/>
        </w:trPr>
        <w:tc>
          <w:tcPr>
            <w:tcW w:w="25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6"/>
                <w:szCs w:val="16"/>
                <w:color w:val="auto"/>
              </w:rPr>
            </w:pPr>
          </w:p>
        </w:tc>
      </w:tr>
      <w:tr>
        <w:trPr>
          <w:trHeight w:val="156"/>
        </w:trPr>
        <w:tc>
          <w:tcPr>
            <w:tcW w:w="252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Foreign currency translation</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9"/>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(2,713)</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$ 7,044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$ 9,842</w:t>
            </w:r>
          </w:p>
        </w:tc>
        <w:tc>
          <w:tcPr>
            <w:tcW w:w="80" w:type="dxa"/>
            <w:vAlign w:val="bottom"/>
            <w:shd w:val="clear" w:color="auto" w:fill="CCEEFF"/>
          </w:tcPr>
          <w:p>
            <w:pPr>
              <w:spacing w:after="0"/>
              <w:rPr>
                <w:sz w:val="16"/>
                <w:szCs w:val="16"/>
                <w:color w:val="auto"/>
              </w:rPr>
            </w:pPr>
          </w:p>
        </w:tc>
      </w:tr>
      <w:tr>
        <w:trPr>
          <w:trHeight w:val="162"/>
        </w:trPr>
        <w:tc>
          <w:tcPr>
            <w:tcW w:w="2520" w:type="dxa"/>
            <w:vAlign w:val="bottom"/>
          </w:tcPr>
          <w:p>
            <w:pPr>
              <w:spacing w:after="0"/>
              <w:rPr>
                <w:sz w:val="20"/>
                <w:szCs w:val="20"/>
                <w:color w:val="auto"/>
              </w:rPr>
            </w:pPr>
            <w:r>
              <w:rPr>
                <w:rFonts w:ascii="Arial" w:cs="Arial" w:eastAsia="Arial" w:hAnsi="Arial"/>
                <w:sz w:val="14"/>
                <w:szCs w:val="14"/>
                <w:b w:val="1"/>
                <w:bCs w:val="1"/>
                <w:color w:val="auto"/>
              </w:rPr>
              <w:t>Adjustment related to the adoption</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b w:val="1"/>
                <w:bCs w:val="1"/>
                <w:color w:val="auto"/>
              </w:rPr>
              <w:t>of SFAS No. 158, net of tax</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1,484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Minimum pension liability</w:t>
            </w: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 net of tax</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184</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80" w:type="dxa"/>
            <w:vAlign w:val="bottom"/>
            <w:shd w:val="clear" w:color="auto" w:fill="CCEEFF"/>
          </w:tcPr>
          <w:p>
            <w:pPr>
              <w:spacing w:after="0"/>
              <w:rPr>
                <w:sz w:val="16"/>
                <w:szCs w:val="16"/>
                <w:color w:val="auto"/>
              </w:rPr>
            </w:pPr>
          </w:p>
        </w:tc>
      </w:tr>
      <w:tr>
        <w:trPr>
          <w:trHeight w:val="162"/>
        </w:trPr>
        <w:tc>
          <w:tcPr>
            <w:tcW w:w="2520" w:type="dxa"/>
            <w:vAlign w:val="bottom"/>
          </w:tcPr>
          <w:p>
            <w:pPr>
              <w:spacing w:after="0"/>
              <w:rPr>
                <w:sz w:val="20"/>
                <w:szCs w:val="20"/>
                <w:color w:val="auto"/>
              </w:rPr>
            </w:pPr>
            <w:r>
              <w:rPr>
                <w:rFonts w:ascii="Arial" w:cs="Arial" w:eastAsia="Arial" w:hAnsi="Arial"/>
                <w:sz w:val="14"/>
                <w:szCs w:val="14"/>
                <w:b w:val="1"/>
                <w:bCs w:val="1"/>
                <w:color w:val="auto"/>
              </w:rPr>
              <w:t>Unrealized loss (gain) on derivative</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b w:val="1"/>
                <w:bCs w:val="1"/>
                <w:color w:val="auto"/>
              </w:rPr>
              <w:t>instruments, net of tax</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3,942</w:t>
            </w: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(563)</w:t>
            </w:r>
          </w:p>
        </w:tc>
      </w:tr>
      <w:tr>
        <w:trPr>
          <w:trHeight w:val="156"/>
        </w:trPr>
        <w:tc>
          <w:tcPr>
            <w:tcW w:w="25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Total accumulated other</w:t>
            </w:r>
          </w:p>
        </w:tc>
        <w:tc>
          <w:tcPr>
            <w:tcW w:w="7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89"/>
        </w:trPr>
        <w:tc>
          <w:tcPr>
            <w:tcW w:w="2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comprehensive loss</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$ 2,897</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$ 6,849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$ 11,581</w:t>
            </w:r>
          </w:p>
        </w:tc>
        <w:tc>
          <w:tcPr>
            <w:tcW w:w="80" w:type="dxa"/>
            <w:vAlign w:val="bottom"/>
            <w:shd w:val="clear" w:color="auto" w:fill="CCEEFF"/>
          </w:tcPr>
          <w:p>
            <w:pPr>
              <w:spacing w:after="0"/>
              <w:rPr>
                <w:sz w:val="16"/>
                <w:szCs w:val="16"/>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w:t>
      </w:r>
    </w:p>
    <w:p>
      <w:pPr>
        <w:spacing w:after="0" w:line="4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 September 2006, the Securities and Exchange Commission (SEC) issued Staff Accounting Bulletin No. 108, “Considering the Effects of Prior Year Misstatements when Quantifying Misstatements in Current Year Financial Statements” (SAB No. 108). Due to diversity in practice among registrants, SAB No. 108 expresses SEC staff views regarding the process by which misstatements in financial statements are evaluated for purposes of determining whether financial statement restatement is necessary. We adopted the provisions of SAB No. 108 as of October 31, 2007, as required. The adoption of SAB No. 108 did not have an impact on our consolidated financial position or results of operations.</w:t>
      </w:r>
    </w:p>
    <w:p>
      <w:pPr>
        <w:spacing w:after="0" w:line="4" w:lineRule="exact"/>
        <w:rPr>
          <w:sz w:val="20"/>
          <w:szCs w:val="20"/>
          <w:color w:val="auto"/>
        </w:rPr>
      </w:pPr>
    </w:p>
    <w:p>
      <w:pPr>
        <w:ind w:right="20" w:firstLine="180"/>
        <w:spacing w:after="0" w:line="267" w:lineRule="auto"/>
        <w:rPr>
          <w:sz w:val="20"/>
          <w:szCs w:val="20"/>
          <w:color w:val="auto"/>
        </w:rPr>
      </w:pPr>
      <w:r>
        <w:rPr>
          <w:rFonts w:ascii="Arial" w:cs="Arial" w:eastAsia="Arial" w:hAnsi="Arial"/>
          <w:sz w:val="18"/>
          <w:szCs w:val="18"/>
          <w:color w:val="auto"/>
        </w:rPr>
        <w:t>In October 2006, the Financial Accounting Standards Board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We adopted the provisions of SFAS No. 158, which require the funded status of pension and other postretirement benefit plans to be recorded on the balance sheet as of October 31, 2007, as required, and we will adopt the provisions that require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measurement date of plan assets and benefit obligations to be the same as our fiscal year end as of October 31, 2009, as required. The effects of adopting the provisions of SFAS No. 158 on our consolidated balance sheet as of October 31, 2007 are presented in the following table.</w:t>
      </w:r>
    </w:p>
    <w:p>
      <w:pPr>
        <w:spacing w:after="0" w:line="100" w:lineRule="exact"/>
        <w:rPr>
          <w:sz w:val="20"/>
          <w:szCs w:val="20"/>
          <w:color w:val="auto"/>
        </w:rPr>
      </w:pPr>
    </w:p>
    <w:tbl>
      <w:tblPr>
        <w:tblLayout w:type="fixed"/>
        <w:tblInd w:w="3460" w:type="dxa"/>
        <w:tblCellMar>
          <w:top w:w="0" w:type="dxa"/>
          <w:left w:w="0" w:type="dxa"/>
          <w:bottom w:w="0" w:type="dxa"/>
          <w:right w:w="0" w:type="dxa"/>
        </w:tblCellMar>
      </w:tblPr>
      <w:tr>
        <w:trPr>
          <w:trHeight w:val="159"/>
        </w:trPr>
        <w:tc>
          <w:tcPr>
            <w:tcW w:w="13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Prior to</w:t>
            </w:r>
          </w:p>
        </w:tc>
        <w:tc>
          <w:tcPr>
            <w:tcW w:w="1040" w:type="dxa"/>
            <w:vAlign w:val="bottom"/>
            <w:tcBorders>
              <w:top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Effect of</w:t>
            </w:r>
          </w:p>
        </w:tc>
        <w:tc>
          <w:tcPr>
            <w:tcW w:w="9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3"/>
                <w:szCs w:val="13"/>
                <w:color w:val="auto"/>
              </w:rPr>
            </w:pPr>
          </w:p>
        </w:tc>
      </w:tr>
      <w:tr>
        <w:trPr>
          <w:trHeight w:val="162"/>
        </w:trPr>
        <w:tc>
          <w:tcPr>
            <w:tcW w:w="1380" w:type="dxa"/>
            <w:vAlign w:val="bottom"/>
          </w:tcPr>
          <w:p>
            <w:pPr>
              <w:spacing w:after="0"/>
              <w:rPr>
                <w:sz w:val="14"/>
                <w:szCs w:val="1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Adopting</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Adopting</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of October</w:t>
            </w:r>
          </w:p>
        </w:tc>
      </w:tr>
      <w:tr>
        <w:trPr>
          <w:trHeight w:val="178"/>
        </w:trPr>
        <w:tc>
          <w:tcPr>
            <w:tcW w:w="1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SFAS No. 158</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SFAS No. 158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31, 2007</w:t>
            </w:r>
          </w:p>
        </w:tc>
        <w:tc>
          <w:tcPr>
            <w:tcW w:w="80" w:type="dxa"/>
            <w:vAlign w:val="bottom"/>
            <w:tcBorders>
              <w:bottom w:val="single" w:sz="8" w:color="CCEEFF"/>
            </w:tcBorders>
          </w:tcPr>
          <w:p>
            <w:pPr>
              <w:spacing w:after="0"/>
              <w:rPr>
                <w:sz w:val="15"/>
                <w:szCs w:val="15"/>
                <w:color w:val="auto"/>
              </w:rPr>
            </w:pPr>
          </w:p>
        </w:tc>
      </w:tr>
      <w:tr>
        <w:trPr>
          <w:trHeight w:val="139"/>
        </w:trPr>
        <w:tc>
          <w:tcPr>
            <w:tcW w:w="13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Deferred income</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taxes – current</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9"/>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portion</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$ 58,307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(493)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$ 57,814</w:t>
            </w:r>
          </w:p>
        </w:tc>
        <w:tc>
          <w:tcPr>
            <w:tcW w:w="80" w:type="dxa"/>
            <w:vAlign w:val="bottom"/>
            <w:shd w:val="clear" w:color="auto" w:fill="CCEEFF"/>
          </w:tcPr>
          <w:p>
            <w:pPr>
              <w:spacing w:after="0"/>
              <w:rPr>
                <w:sz w:val="15"/>
                <w:szCs w:val="15"/>
                <w:color w:val="auto"/>
              </w:rPr>
            </w:pPr>
          </w:p>
        </w:tc>
      </w:tr>
      <w:tr>
        <w:trPr>
          <w:trHeight w:val="145"/>
        </w:trPr>
        <w:tc>
          <w:tcPr>
            <w:tcW w:w="1380" w:type="dxa"/>
            <w:vAlign w:val="bottom"/>
          </w:tcPr>
          <w:p>
            <w:pPr>
              <w:spacing w:after="0" w:line="145" w:lineRule="exact"/>
              <w:rPr>
                <w:sz w:val="20"/>
                <w:szCs w:val="20"/>
                <w:color w:val="auto"/>
              </w:rPr>
            </w:pPr>
            <w:r>
              <w:rPr>
                <w:rFonts w:ascii="Arial" w:cs="Arial" w:eastAsia="Arial" w:hAnsi="Arial"/>
                <w:sz w:val="14"/>
                <w:szCs w:val="14"/>
                <w:b w:val="1"/>
                <w:bCs w:val="1"/>
                <w:color w:val="auto"/>
              </w:rPr>
              <w:t>Deferred income</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1380" w:type="dxa"/>
            <w:vAlign w:val="bottom"/>
          </w:tcPr>
          <w:p>
            <w:pPr>
              <w:ind w:left="180"/>
              <w:spacing w:after="0"/>
              <w:rPr>
                <w:sz w:val="20"/>
                <w:szCs w:val="20"/>
                <w:color w:val="auto"/>
              </w:rPr>
            </w:pPr>
            <w:r>
              <w:rPr>
                <w:rFonts w:ascii="Arial" w:cs="Arial" w:eastAsia="Arial" w:hAnsi="Arial"/>
                <w:sz w:val="14"/>
                <w:szCs w:val="14"/>
                <w:b w:val="1"/>
                <w:bCs w:val="1"/>
                <w:color w:val="auto"/>
              </w:rPr>
              <w:t>taxes – long-term</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1380" w:type="dxa"/>
            <w:vAlign w:val="bottom"/>
          </w:tcPr>
          <w:p>
            <w:pPr>
              <w:ind w:left="180"/>
              <w:spacing w:after="0"/>
              <w:rPr>
                <w:sz w:val="20"/>
                <w:szCs w:val="20"/>
                <w:color w:val="auto"/>
              </w:rPr>
            </w:pPr>
            <w:r>
              <w:rPr>
                <w:rFonts w:ascii="Arial" w:cs="Arial" w:eastAsia="Arial" w:hAnsi="Arial"/>
                <w:sz w:val="14"/>
                <w:szCs w:val="14"/>
                <w:b w:val="1"/>
                <w:bCs w:val="1"/>
                <w:color w:val="auto"/>
              </w:rPr>
              <w:t>portion</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3,637</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1,548</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5,185</w:t>
            </w:r>
          </w:p>
        </w:tc>
        <w:tc>
          <w:tcPr>
            <w:tcW w:w="80" w:type="dxa"/>
            <w:vAlign w:val="bottom"/>
          </w:tcPr>
          <w:p>
            <w:pPr>
              <w:spacing w:after="0"/>
              <w:rPr>
                <w:sz w:val="15"/>
                <w:szCs w:val="15"/>
                <w:color w:val="auto"/>
              </w:rPr>
            </w:pPr>
          </w:p>
        </w:tc>
      </w:tr>
      <w:tr>
        <w:trPr>
          <w:trHeight w:val="163"/>
        </w:trPr>
        <w:tc>
          <w:tcPr>
            <w:tcW w:w="1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10,249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9,153</w:t>
            </w:r>
          </w:p>
        </w:tc>
        <w:tc>
          <w:tcPr>
            <w:tcW w:w="80" w:type="dxa"/>
            <w:vAlign w:val="bottom"/>
            <w:shd w:val="clear" w:color="auto" w:fill="CCEEFF"/>
          </w:tcPr>
          <w:p>
            <w:pPr>
              <w:spacing w:after="0"/>
              <w:rPr>
                <w:sz w:val="14"/>
                <w:szCs w:val="14"/>
                <w:color w:val="auto"/>
              </w:rPr>
            </w:pPr>
          </w:p>
        </w:tc>
      </w:tr>
      <w:tr>
        <w:trPr>
          <w:trHeight w:val="162"/>
        </w:trPr>
        <w:tc>
          <w:tcPr>
            <w:tcW w:w="13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950,878</w:t>
            </w: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950,837</w:t>
            </w:r>
          </w:p>
        </w:tc>
        <w:tc>
          <w:tcPr>
            <w:tcW w:w="80" w:type="dxa"/>
            <w:vAlign w:val="bottom"/>
          </w:tcPr>
          <w:p>
            <w:pPr>
              <w:spacing w:after="0"/>
              <w:rPr>
                <w:sz w:val="14"/>
                <w:szCs w:val="14"/>
                <w:color w:val="auto"/>
              </w:rPr>
            </w:pPr>
          </w:p>
        </w:tc>
      </w:tr>
      <w:tr>
        <w:trPr>
          <w:trHeight w:val="145"/>
        </w:trPr>
        <w:tc>
          <w:tcPr>
            <w:tcW w:w="13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Accrued liabilities –</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9"/>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and benefit costs</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60,019</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1,443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61,462</w:t>
            </w:r>
          </w:p>
        </w:tc>
        <w:tc>
          <w:tcPr>
            <w:tcW w:w="80" w:type="dxa"/>
            <w:vAlign w:val="bottom"/>
            <w:shd w:val="clear" w:color="auto" w:fill="CCEEFF"/>
          </w:tcPr>
          <w:p>
            <w:pPr>
              <w:spacing w:after="0"/>
              <w:rPr>
                <w:sz w:val="15"/>
                <w:szCs w:val="15"/>
                <w:color w:val="auto"/>
              </w:rPr>
            </w:pPr>
          </w:p>
        </w:tc>
      </w:tr>
      <w:tr>
        <w:trPr>
          <w:trHeight w:val="145"/>
        </w:trPr>
        <w:tc>
          <w:tcPr>
            <w:tcW w:w="1380" w:type="dxa"/>
            <w:vAlign w:val="bottom"/>
          </w:tcPr>
          <w:p>
            <w:pPr>
              <w:spacing w:after="0" w:line="145" w:lineRule="exact"/>
              <w:rPr>
                <w:sz w:val="20"/>
                <w:szCs w:val="20"/>
                <w:color w:val="auto"/>
              </w:rPr>
            </w:pPr>
            <w:r>
              <w:rPr>
                <w:rFonts w:ascii="Arial" w:cs="Arial" w:eastAsia="Arial" w:hAnsi="Arial"/>
                <w:sz w:val="14"/>
                <w:szCs w:val="14"/>
                <w:b w:val="1"/>
                <w:bCs w:val="1"/>
                <w:color w:val="auto"/>
              </w:rPr>
              <w:t>Total current</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380" w:type="dxa"/>
            <w:vAlign w:val="bottom"/>
          </w:tcPr>
          <w:p>
            <w:pPr>
              <w:ind w:left="180"/>
              <w:spacing w:after="0"/>
              <w:rPr>
                <w:sz w:val="20"/>
                <w:szCs w:val="20"/>
                <w:color w:val="auto"/>
              </w:rPr>
            </w:pPr>
            <w:r>
              <w:rPr>
                <w:rFonts w:ascii="Arial" w:cs="Arial" w:eastAsia="Arial" w:hAnsi="Arial"/>
                <w:sz w:val="14"/>
                <w:szCs w:val="14"/>
                <w:b w:val="1"/>
                <w:bCs w:val="1"/>
                <w:color w:val="auto"/>
              </w:rPr>
              <w:t>liabilities</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340,027</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1,443</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341,470</w:t>
            </w:r>
          </w:p>
        </w:tc>
        <w:tc>
          <w:tcPr>
            <w:tcW w:w="80" w:type="dxa"/>
            <w:vAlign w:val="bottom"/>
          </w:tcPr>
          <w:p>
            <w:pPr>
              <w:spacing w:after="0"/>
              <w:rPr>
                <w:sz w:val="15"/>
                <w:szCs w:val="15"/>
                <w:color w:val="auto"/>
              </w:rPr>
            </w:pPr>
          </w:p>
        </w:tc>
      </w:tr>
      <w:tr>
        <w:trPr>
          <w:trHeight w:val="146"/>
        </w:trPr>
        <w:tc>
          <w:tcPr>
            <w:tcW w:w="138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Accumulated other</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9"/>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loss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(2,897)</w:t>
            </w:r>
          </w:p>
        </w:tc>
      </w:tr>
      <w:tr>
        <w:trPr>
          <w:trHeight w:val="145"/>
        </w:trPr>
        <w:tc>
          <w:tcPr>
            <w:tcW w:w="1380" w:type="dxa"/>
            <w:vAlign w:val="bottom"/>
          </w:tcPr>
          <w:p>
            <w:pPr>
              <w:spacing w:after="0" w:line="145" w:lineRule="exact"/>
              <w:rPr>
                <w:sz w:val="20"/>
                <w:szCs w:val="20"/>
                <w:color w:val="auto"/>
              </w:rPr>
            </w:pPr>
            <w:r>
              <w:rPr>
                <w:rFonts w:ascii="Arial" w:cs="Arial" w:eastAsia="Arial" w:hAnsi="Arial"/>
                <w:sz w:val="14"/>
                <w:szCs w:val="14"/>
                <w:b w:val="1"/>
                <w:bCs w:val="1"/>
                <w:color w:val="auto"/>
              </w:rPr>
              <w:t>Total stockholders’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equity</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371,922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370,438</w:t>
            </w:r>
          </w:p>
        </w:tc>
        <w:tc>
          <w:tcPr>
            <w:tcW w:w="80" w:type="dxa"/>
            <w:vAlign w:val="bottom"/>
          </w:tcPr>
          <w:p>
            <w:pPr>
              <w:spacing w:after="0"/>
              <w:rPr>
                <w:sz w:val="15"/>
                <w:szCs w:val="15"/>
                <w:color w:val="auto"/>
              </w:rPr>
            </w:pPr>
          </w:p>
        </w:tc>
      </w:tr>
    </w:tbl>
    <w:p>
      <w:pPr>
        <w:spacing w:after="0" w:line="73" w:lineRule="exact"/>
        <w:rPr>
          <w:sz w:val="20"/>
          <w:szCs w:val="20"/>
          <w:color w:val="auto"/>
        </w:rPr>
      </w:pPr>
    </w:p>
    <w:p>
      <w:pPr>
        <w:ind w:left="600" w:hanging="592"/>
        <w:spacing w:after="0"/>
        <w:tabs>
          <w:tab w:leader="none" w:pos="600" w:val="left"/>
        </w:tabs>
        <w:numPr>
          <w:ilvl w:val="0"/>
          <w:numId w:val="73"/>
        </w:numPr>
        <w:rPr>
          <w:rFonts w:ascii="Arial" w:cs="Arial" w:eastAsia="Arial" w:hAnsi="Arial"/>
          <w:sz w:val="65"/>
          <w:szCs w:val="65"/>
          <w:b w:val="1"/>
          <w:bCs w:val="1"/>
          <w:color w:val="4673B6"/>
        </w:rPr>
      </w:pPr>
      <w:r>
        <w:rPr>
          <w:rFonts w:ascii="Arial" w:cs="Arial" w:eastAsia="Arial" w:hAnsi="Arial"/>
          <w:sz w:val="22"/>
          <w:szCs w:val="22"/>
          <w:b w:val="1"/>
          <w:bCs w:val="1"/>
          <w:color w:val="4673B6"/>
        </w:rPr>
        <w:t>BUSINESS ACQUISITIONS</w:t>
      </w:r>
    </w:p>
    <w:p>
      <w:pPr>
        <w:spacing w:after="0" w:line="21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On August 16, 2007, the company completed the acquisition of Rain Master Irrigation Systems, Inc. (Rain Master), a manufacturer of irrigation central controllers and other products for the commercial landscape market, with annual sales of approximately $10,000. The purchase price was $17,882, with $11,882 paid in cash and $6,000 of long-term notes issued.</w:t>
      </w:r>
    </w:p>
    <w:p>
      <w:pPr>
        <w:spacing w:after="0" w:line="1" w:lineRule="exact"/>
        <w:rPr>
          <w:sz w:val="20"/>
          <w:szCs w:val="20"/>
          <w:color w:val="auto"/>
        </w:rPr>
      </w:pPr>
    </w:p>
    <w:p>
      <w:pPr>
        <w:ind w:right="360" w:firstLine="180"/>
        <w:spacing w:after="0" w:line="266" w:lineRule="auto"/>
        <w:rPr>
          <w:sz w:val="20"/>
          <w:szCs w:val="20"/>
          <w:color w:val="auto"/>
        </w:rPr>
      </w:pPr>
      <w:r>
        <w:rPr>
          <w:rFonts w:ascii="Arial" w:cs="Arial" w:eastAsia="Arial" w:hAnsi="Arial"/>
          <w:sz w:val="18"/>
          <w:szCs w:val="18"/>
          <w:color w:val="auto"/>
        </w:rPr>
        <w:t>On January 19, 2007, the company completed the purchase of certain assets and assumed certain liabilities of Allen Hover Mower. Allen Hover Mower sells walk power mowers worldwide that are specifically designed to perform well on steep inclines for the golf course and grounds maintenance market, with annual sales of approximately $2,000.</w:t>
      </w:r>
    </w:p>
    <w:p>
      <w:pPr>
        <w:spacing w:after="0" w:line="1"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On February 8, 2005, the company completed the acquisition of certain assets and assumed certain liabilities of Hayter Limited (Hayter). Hayter designs, manufactures, and markets residential and professional turf maintenance equipment primarily for the United Kingdom market, with annual sales of approximately $50,000. The purchase price was $35,285, which was paid in cash, and included $31,043 of current assets; $10,585 of property, plant, and equipment; $7,188 of intangible assets; and $13,531 of assumed liabilities.</w:t>
      </w:r>
    </w:p>
    <w:p>
      <w:pPr>
        <w:spacing w:after="0" w:line="1" w:lineRule="exact"/>
        <w:rPr>
          <w:sz w:val="20"/>
          <w:szCs w:val="20"/>
          <w:color w:val="auto"/>
        </w:rPr>
      </w:pPr>
    </w:p>
    <w:p>
      <w:pPr>
        <w:ind w:right="60" w:firstLine="180"/>
        <w:spacing w:after="0" w:line="271" w:lineRule="auto"/>
        <w:rPr>
          <w:sz w:val="20"/>
          <w:szCs w:val="20"/>
          <w:color w:val="auto"/>
        </w:rPr>
      </w:pPr>
      <w:r>
        <w:rPr>
          <w:rFonts w:ascii="Arial" w:cs="Arial" w:eastAsia="Arial" w:hAnsi="Arial"/>
          <w:sz w:val="18"/>
          <w:szCs w:val="18"/>
          <w:color w:val="auto"/>
        </w:rPr>
        <w:t>The purchase price of these acquisitions was allocated to the identifiable assets acquired and liabilities assumed based on estimates of their fair value, with the excess purchase price recorded as goodwill. These acquisitions were immaterial based on the company’s consolidated financial condition and results of operations. See Note 4 for further details related to the acquired intangible assets.</w:t>
      </w:r>
    </w:p>
    <w:p>
      <w:pPr>
        <w:ind w:left="600" w:hanging="592"/>
        <w:spacing w:after="0" w:line="238" w:lineRule="auto"/>
        <w:tabs>
          <w:tab w:leader="none" w:pos="600" w:val="left"/>
        </w:tabs>
        <w:numPr>
          <w:ilvl w:val="0"/>
          <w:numId w:val="74"/>
        </w:numPr>
        <w:rPr>
          <w:rFonts w:ascii="Arial" w:cs="Arial" w:eastAsia="Arial" w:hAnsi="Arial"/>
          <w:sz w:val="65"/>
          <w:szCs w:val="65"/>
          <w:b w:val="1"/>
          <w:bCs w:val="1"/>
          <w:color w:val="4673B6"/>
        </w:rPr>
      </w:pPr>
      <w:r>
        <w:rPr>
          <w:rFonts w:ascii="Arial" w:cs="Arial" w:eastAsia="Arial" w:hAnsi="Arial"/>
          <w:sz w:val="22"/>
          <w:szCs w:val="22"/>
          <w:b w:val="1"/>
          <w:bCs w:val="1"/>
          <w:color w:val="4673B6"/>
        </w:rPr>
        <w:t>OTHER INCOME, NET</w:t>
      </w:r>
    </w:p>
    <w:p>
      <w:pPr>
        <w:sectPr>
          <w:pgSz w:w="11900" w:h="16876" w:orient="portrait"/>
          <w:cols w:equalWidth="0" w:num="1">
            <w:col w:w="11400"/>
          </w:cols>
          <w:pgMar w:left="240" w:top="152" w:right="25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is as follows:</w:t>
      </w:r>
    </w:p>
    <w:p>
      <w:pPr>
        <w:sectPr>
          <w:pgSz w:w="11900" w:h="16876" w:orient="portrait"/>
          <w:cols w:equalWidth="0" w:num="1">
            <w:col w:w="11400"/>
          </w:cols>
          <w:pgMar w:left="240" w:top="152" w:right="259" w:bottom="0" w:gutter="0" w:footer="0" w:header="0"/>
          <w:type w:val="continuous"/>
        </w:sectPr>
      </w:pPr>
    </w:p>
    <w:bookmarkStart w:id="39" w:name="page40"/>
    <w:bookmarkEnd w:id="39"/>
    <w:tbl>
      <w:tblPr>
        <w:tblLayout w:type="fixed"/>
        <w:tblInd w:w="3460" w:type="dxa"/>
        <w:tblCellMar>
          <w:top w:w="0" w:type="dxa"/>
          <w:left w:w="0" w:type="dxa"/>
          <w:bottom w:w="0" w:type="dxa"/>
          <w:right w:w="0" w:type="dxa"/>
        </w:tblCellMar>
      </w:tblPr>
      <w:tr>
        <w:trPr>
          <w:trHeight w:val="189"/>
        </w:trPr>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2006</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7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$ 3,148</w:t>
            </w:r>
          </w:p>
        </w:tc>
        <w:tc>
          <w:tcPr>
            <w:tcW w:w="6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$ 1,433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$ 1,519</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1,791</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2,557</w:t>
            </w:r>
          </w:p>
        </w:tc>
        <w:tc>
          <w:tcPr>
            <w:tcW w:w="520" w:type="dxa"/>
            <w:vAlign w:val="bottom"/>
          </w:tcPr>
          <w:p>
            <w:pPr>
              <w:jc w:val="right"/>
              <w:spacing w:after="0"/>
              <w:rPr>
                <w:sz w:val="20"/>
                <w:szCs w:val="20"/>
                <w:color w:val="auto"/>
              </w:rPr>
            </w:pPr>
            <w:r>
              <w:rPr>
                <w:rFonts w:ascii="Arial" w:cs="Arial" w:eastAsia="Arial" w:hAnsi="Arial"/>
                <w:sz w:val="14"/>
                <w:szCs w:val="14"/>
                <w:color w:val="auto"/>
              </w:rPr>
              <w:t>2,991</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1,786</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2,257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b w:val="1"/>
                <w:bCs w:val="1"/>
                <w:color w:val="auto"/>
              </w:rPr>
              <w:t>Royalty and licensing income</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 gain</w:t>
            </w: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1,330</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961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(791)</w:t>
            </w:r>
          </w:p>
        </w:tc>
      </w:tr>
      <w:tr>
        <w:trPr>
          <w:trHeight w:val="176"/>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b w:val="1"/>
                <w:bCs w:val="1"/>
                <w:color w:val="auto"/>
              </w:rPr>
              <w:t>Loss on sale of a business</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(775)</w:t>
            </w: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losses from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(1,468)</w:t>
            </w:r>
          </w:p>
        </w:tc>
      </w:tr>
      <w:tr>
        <w:trPr>
          <w:trHeight w:val="176"/>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b w:val="1"/>
                <w:bCs w:val="1"/>
                <w:color w:val="auto"/>
              </w:rPr>
              <w:t>Litigation recovery</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50</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862</w:t>
            </w:r>
          </w:p>
        </w:tc>
        <w:tc>
          <w:tcPr>
            <w:tcW w:w="52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Miscellaneous</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1,279</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1,039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$ 9,023</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$ 7,550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$ 5,279</w:t>
            </w:r>
          </w:p>
        </w:tc>
        <w:tc>
          <w:tcPr>
            <w:tcW w:w="80" w:type="dxa"/>
            <w:vAlign w:val="bottom"/>
          </w:tcPr>
          <w:p>
            <w:pPr>
              <w:spacing w:after="0"/>
              <w:rPr>
                <w:sz w:val="14"/>
                <w:szCs w:val="14"/>
                <w:color w:val="auto"/>
              </w:rPr>
            </w:pPr>
          </w:p>
        </w:tc>
      </w:tr>
    </w:tbl>
    <w:p>
      <w:pPr>
        <w:spacing w:after="0" w:line="292" w:lineRule="exact"/>
        <w:rPr>
          <w:sz w:val="20"/>
          <w:szCs w:val="20"/>
          <w:color w:val="auto"/>
        </w:rPr>
      </w:pPr>
    </w:p>
    <w:p>
      <w:pPr>
        <w:ind w:left="600" w:right="8180" w:hanging="592"/>
        <w:spacing w:after="0" w:line="180" w:lineRule="auto"/>
        <w:tabs>
          <w:tab w:leader="none" w:pos="600" w:val="left"/>
        </w:tabs>
        <w:numPr>
          <w:ilvl w:val="0"/>
          <w:numId w:val="75"/>
        </w:numPr>
        <w:rPr>
          <w:rFonts w:ascii="Arial" w:cs="Arial" w:eastAsia="Arial" w:hAnsi="Arial"/>
          <w:sz w:val="40"/>
          <w:szCs w:val="40"/>
          <w:b w:val="1"/>
          <w:bCs w:val="1"/>
          <w:color w:val="4673B6"/>
        </w:rPr>
      </w:pPr>
      <w:r>
        <w:rPr>
          <w:rFonts w:ascii="Arial" w:cs="Arial" w:eastAsia="Arial" w:hAnsi="Arial"/>
          <w:sz w:val="18"/>
          <w:szCs w:val="18"/>
          <w:b w:val="1"/>
          <w:bCs w:val="1"/>
          <w:color w:val="4673B6"/>
        </w:rPr>
        <w:t>GOODWILL AND OTHER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Goodwill </w:t>
      </w:r>
      <w:r>
        <w:rPr>
          <w:rFonts w:ascii="Arial" w:cs="Arial" w:eastAsia="Arial" w:hAnsi="Arial"/>
          <w:sz w:val="18"/>
          <w:szCs w:val="18"/>
          <w:b w:val="1"/>
          <w:bCs w:val="1"/>
          <w:color w:val="4673AC"/>
        </w:rPr>
        <w:t>–</w:t>
      </w:r>
      <w:r>
        <w:rPr>
          <w:rFonts w:ascii="Arial" w:cs="Arial" w:eastAsia="Arial" w:hAnsi="Arial"/>
          <w:sz w:val="18"/>
          <w:szCs w:val="18"/>
          <w:b w:val="1"/>
          <w:bCs w:val="1"/>
          <w:color w:val="4673B6"/>
        </w:rPr>
        <w:t xml:space="preserve"> </w:t>
      </w:r>
      <w:r>
        <w:rPr>
          <w:rFonts w:ascii="Arial" w:cs="Arial" w:eastAsia="Arial" w:hAnsi="Arial"/>
          <w:sz w:val="18"/>
          <w:szCs w:val="18"/>
          <w:color w:val="000000"/>
        </w:rPr>
        <w:t>The changes in the net carrying amount of goodwill for fiscal 2007 and 2006 were as follows:</w:t>
      </w:r>
    </w:p>
    <w:p>
      <w:pPr>
        <w:spacing w:after="0" w:line="201" w:lineRule="exact"/>
        <w:rPr>
          <w:sz w:val="20"/>
          <w:szCs w:val="20"/>
          <w:color w:val="auto"/>
        </w:rPr>
      </w:pPr>
    </w:p>
    <w:tbl>
      <w:tblPr>
        <w:tblLayout w:type="fixed"/>
        <w:tblInd w:w="3440" w:type="dxa"/>
        <w:tblCellMar>
          <w:top w:w="0" w:type="dxa"/>
          <w:left w:w="0" w:type="dxa"/>
          <w:bottom w:w="0" w:type="dxa"/>
          <w:right w:w="0" w:type="dxa"/>
        </w:tblCellMar>
      </w:tblPr>
      <w:tr>
        <w:trPr>
          <w:trHeight w:val="189"/>
        </w:trPr>
        <w:tc>
          <w:tcPr>
            <w:tcW w:w="2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Professional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Residential</w:t>
            </w: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Segment</w:t>
            </w:r>
          </w:p>
        </w:tc>
        <w:tc>
          <w:tcPr>
            <w:tcW w:w="820" w:type="dxa"/>
            <w:vAlign w:val="bottom"/>
          </w:tcPr>
          <w:p>
            <w:pPr>
              <w:jc w:val="right"/>
              <w:spacing w:after="0"/>
              <w:rPr>
                <w:sz w:val="20"/>
                <w:szCs w:val="20"/>
                <w:color w:val="auto"/>
              </w:rPr>
            </w:pPr>
            <w:r>
              <w:rPr>
                <w:rFonts w:ascii="Arial" w:cs="Arial" w:eastAsia="Arial" w:hAnsi="Arial"/>
                <w:sz w:val="14"/>
                <w:szCs w:val="14"/>
                <w:color w:val="auto"/>
              </w:rPr>
              <w:t>Segment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Total</w:t>
            </w:r>
          </w:p>
        </w:tc>
      </w:tr>
      <w:tr>
        <w:trPr>
          <w:trHeight w:val="169"/>
        </w:trPr>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2005</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$ 70,801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$ 10,396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$ 81,197</w:t>
            </w:r>
          </w:p>
        </w:tc>
        <w:tc>
          <w:tcPr>
            <w:tcW w:w="40" w:type="dxa"/>
            <w:vAlign w:val="bottom"/>
            <w:tcBorders>
              <w:top w:val="single" w:sz="8" w:color="CCEEFF"/>
            </w:tcBorders>
            <w:shd w:val="clear" w:color="auto" w:fill="CCEEFF"/>
          </w:tcPr>
          <w:p>
            <w:pPr>
              <w:spacing w:after="0"/>
              <w:rPr>
                <w:sz w:val="14"/>
                <w:szCs w:val="14"/>
                <w:color w:val="auto"/>
              </w:rPr>
            </w:pPr>
          </w:p>
        </w:tc>
      </w:tr>
      <w:tr>
        <w:trPr>
          <w:trHeight w:val="175"/>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Translation adjustment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40" w:type="dxa"/>
            <w:vAlign w:val="bottom"/>
            <w:tcBorders>
              <w:bottom w:val="single" w:sz="8" w:color="CCEEFF"/>
            </w:tcBorders>
          </w:tcPr>
          <w:p>
            <w:pPr>
              <w:spacing w:after="0"/>
              <w:rPr>
                <w:sz w:val="15"/>
                <w:szCs w:val="15"/>
                <w:color w:val="auto"/>
              </w:rPr>
            </w:pPr>
          </w:p>
        </w:tc>
      </w:tr>
      <w:tr>
        <w:trPr>
          <w:trHeight w:val="169"/>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October 31, 2006</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$ 70,948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$ 10,521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$ 81,469</w:t>
            </w:r>
          </w:p>
        </w:tc>
        <w:tc>
          <w:tcPr>
            <w:tcW w:w="40" w:type="dxa"/>
            <w:vAlign w:val="bottom"/>
            <w:shd w:val="clear" w:color="auto" w:fill="CCEEFF"/>
          </w:tcPr>
          <w:p>
            <w:pPr>
              <w:spacing w:after="0"/>
              <w:rPr>
                <w:sz w:val="14"/>
                <w:szCs w:val="14"/>
                <w:color w:val="auto"/>
              </w:rPr>
            </w:pPr>
          </w:p>
        </w:tc>
      </w:tr>
      <w:tr>
        <w:trPr>
          <w:trHeight w:val="175"/>
        </w:trPr>
        <w:tc>
          <w:tcPr>
            <w:tcW w:w="2100" w:type="dxa"/>
            <w:vAlign w:val="bottom"/>
          </w:tcPr>
          <w:p>
            <w:pPr>
              <w:spacing w:after="0"/>
              <w:rPr>
                <w:sz w:val="20"/>
                <w:szCs w:val="20"/>
                <w:color w:val="auto"/>
              </w:rPr>
            </w:pPr>
            <w:r>
              <w:rPr>
                <w:rFonts w:ascii="Arial" w:cs="Arial" w:eastAsia="Arial" w:hAnsi="Arial"/>
                <w:sz w:val="14"/>
                <w:szCs w:val="14"/>
                <w:color w:val="auto"/>
              </w:rPr>
              <w:t>Goodwill acquired</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4,290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4,290</w:t>
            </w:r>
          </w:p>
        </w:tc>
        <w:tc>
          <w:tcPr>
            <w:tcW w:w="40" w:type="dxa"/>
            <w:vAlign w:val="bottom"/>
          </w:tcPr>
          <w:p>
            <w:pPr>
              <w:spacing w:after="0"/>
              <w:rPr>
                <w:sz w:val="15"/>
                <w:szCs w:val="15"/>
                <w:color w:val="auto"/>
              </w:rPr>
            </w:pPr>
          </w:p>
        </w:tc>
      </w:tr>
      <w:tr>
        <w:trPr>
          <w:trHeight w:val="176"/>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40" w:type="dxa"/>
            <w:vAlign w:val="bottom"/>
            <w:shd w:val="clear" w:color="auto" w:fill="CCEEFF"/>
          </w:tcPr>
          <w:p>
            <w:pPr>
              <w:spacing w:after="0"/>
              <w:rPr>
                <w:sz w:val="15"/>
                <w:szCs w:val="15"/>
                <w:color w:val="auto"/>
              </w:rPr>
            </w:pPr>
          </w:p>
        </w:tc>
      </w:tr>
      <w:tr>
        <w:trPr>
          <w:trHeight w:val="169"/>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2007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$ 75,457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$ 10,767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$ 86,224</w:t>
            </w:r>
          </w:p>
        </w:tc>
        <w:tc>
          <w:tcPr>
            <w:tcW w:w="40" w:type="dxa"/>
            <w:vAlign w:val="bottom"/>
          </w:tcPr>
          <w:p>
            <w:pPr>
              <w:spacing w:after="0"/>
              <w:rPr>
                <w:sz w:val="14"/>
                <w:szCs w:val="14"/>
                <w:color w:val="auto"/>
              </w:rPr>
            </w:pPr>
          </w:p>
        </w:tc>
      </w:tr>
    </w:tbl>
    <w:p>
      <w:pPr>
        <w:spacing w:after="0" w:line="126"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4673B6"/>
        </w:rPr>
        <w:t xml:space="preserve">Other Intangible Assets </w:t>
      </w:r>
      <w:r>
        <w:rPr>
          <w:rFonts w:ascii="Arial" w:cs="Arial" w:eastAsia="Arial" w:hAnsi="Arial"/>
          <w:sz w:val="18"/>
          <w:szCs w:val="18"/>
          <w:b w:val="1"/>
          <w:bCs w:val="1"/>
          <w:color w:val="4673AC"/>
        </w:rPr>
        <w:t>–</w:t>
      </w:r>
      <w:r>
        <w:rPr>
          <w:rFonts w:ascii="Arial" w:cs="Arial" w:eastAsia="Arial" w:hAnsi="Arial"/>
          <w:sz w:val="18"/>
          <w:szCs w:val="18"/>
          <w:b w:val="1"/>
          <w:bCs w:val="1"/>
          <w:color w:val="4673B6"/>
        </w:rPr>
        <w:t xml:space="preserve"> </w:t>
      </w:r>
      <w:r>
        <w:rPr>
          <w:rFonts w:ascii="Arial" w:cs="Arial" w:eastAsia="Arial" w:hAnsi="Arial"/>
          <w:sz w:val="18"/>
          <w:szCs w:val="18"/>
          <w:color w:val="000000"/>
        </w:rPr>
        <w:t>Total other intangible assets, net as of October 31, 2007 and 2006 were $14,675 and $5,225, respectively. As of</w:t>
      </w:r>
      <w:r>
        <w:rPr>
          <w:rFonts w:ascii="Arial" w:cs="Arial" w:eastAsia="Arial" w:hAnsi="Arial"/>
          <w:sz w:val="18"/>
          <w:szCs w:val="18"/>
          <w:b w:val="1"/>
          <w:bCs w:val="1"/>
          <w:color w:val="4673B6"/>
        </w:rPr>
        <w:t xml:space="preserve"> </w:t>
      </w:r>
      <w:r>
        <w:rPr>
          <w:rFonts w:ascii="Arial" w:cs="Arial" w:eastAsia="Arial" w:hAnsi="Arial"/>
          <w:sz w:val="18"/>
          <w:szCs w:val="18"/>
          <w:color w:val="000000"/>
        </w:rPr>
        <w:t>October 31, 2007 and 2006, the company also had $2,910 and $2,671, respectively, of non-amortizable intangible assets related to the Hayter brand name, which was acquired in fiscal 2005. During fiscal 2007, the company added $2,800 of non-amortizable intangible assets related to the Rain Master trade name, which was acquired in fiscal 2007.</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179" w:lineRule="exact"/>
        <w:rPr>
          <w:sz w:val="20"/>
          <w:szCs w:val="20"/>
          <w:color w:val="auto"/>
        </w:rPr>
      </w:pPr>
    </w:p>
    <w:tbl>
      <w:tblPr>
        <w:tblLayout w:type="fixed"/>
        <w:tblInd w:w="34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Gross Carrying</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6"/>
                <w:szCs w:val="16"/>
                <w:color w:val="auto"/>
              </w:rPr>
            </w:pPr>
          </w:p>
        </w:tc>
      </w:tr>
      <w:tr>
        <w:trPr>
          <w:trHeight w:val="176"/>
        </w:trPr>
        <w:tc>
          <w:tcPr>
            <w:tcW w:w="2100" w:type="dxa"/>
            <w:vAlign w:val="bottom"/>
            <w:gridSpan w:val="2"/>
          </w:tcPr>
          <w:p>
            <w:pPr>
              <w:spacing w:after="0"/>
              <w:rPr>
                <w:sz w:val="20"/>
                <w:szCs w:val="20"/>
                <w:color w:val="auto"/>
              </w:rPr>
            </w:pPr>
            <w:r>
              <w:rPr>
                <w:rFonts w:ascii="Arial" w:cs="Arial" w:eastAsia="Arial" w:hAnsi="Arial"/>
                <w:sz w:val="14"/>
                <w:szCs w:val="14"/>
                <w:color w:val="auto"/>
              </w:rPr>
              <w:t>October 31, 2007</w:t>
            </w: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980" w:type="dxa"/>
            <w:vAlign w:val="bottom"/>
            <w:gridSpan w:val="3"/>
          </w:tcPr>
          <w:p>
            <w:pPr>
              <w:jc w:val="right"/>
              <w:ind w:right="61"/>
              <w:spacing w:after="0"/>
              <w:rPr>
                <w:sz w:val="20"/>
                <w:szCs w:val="20"/>
                <w:color w:val="auto"/>
              </w:rPr>
            </w:pPr>
            <w:r>
              <w:rPr>
                <w:rFonts w:ascii="Arial" w:cs="Arial" w:eastAsia="Arial" w:hAnsi="Arial"/>
                <w:sz w:val="14"/>
                <w:szCs w:val="14"/>
                <w:color w:val="auto"/>
              </w:rPr>
              <w:t>Amortization</w:t>
            </w:r>
          </w:p>
        </w:tc>
      </w:tr>
      <w:tr>
        <w:trPr>
          <w:trHeight w:val="169"/>
        </w:trPr>
        <w:tc>
          <w:tcPr>
            <w:tcW w:w="20" w:type="dxa"/>
            <w:vAlign w:val="bottom"/>
          </w:tcPr>
          <w:p>
            <w:pPr>
              <w:spacing w:after="0"/>
              <w:rPr>
                <w:sz w:val="14"/>
                <w:szCs w:val="14"/>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$ 6,553</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(6,155)</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b w:val="1"/>
                <w:bCs w:val="1"/>
                <w:color w:val="auto"/>
              </w:rPr>
              <w:t>Non-compete agreements</w:t>
            </w:r>
          </w:p>
        </w:tc>
        <w:tc>
          <w:tcPr>
            <w:tcW w:w="1440" w:type="dxa"/>
            <w:vAlign w:val="bottom"/>
          </w:tcPr>
          <w:p>
            <w:pPr>
              <w:jc w:val="right"/>
              <w:ind w:right="12"/>
              <w:spacing w:after="0"/>
              <w:rPr>
                <w:sz w:val="20"/>
                <w:szCs w:val="20"/>
                <w:color w:val="auto"/>
              </w:rPr>
            </w:pPr>
            <w:r>
              <w:rPr>
                <w:rFonts w:ascii="Arial" w:cs="Arial" w:eastAsia="Arial" w:hAnsi="Arial"/>
                <w:sz w:val="14"/>
                <w:szCs w:val="14"/>
                <w:b w:val="1"/>
                <w:bCs w:val="1"/>
                <w:color w:val="auto"/>
              </w:rPr>
              <w:t>1,400</w:t>
            </w:r>
          </w:p>
        </w:tc>
        <w:tc>
          <w:tcPr>
            <w:tcW w:w="98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(938)</w:t>
            </w: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6,655</w:t>
            </w:r>
          </w:p>
        </w:tc>
        <w:tc>
          <w:tcPr>
            <w:tcW w:w="980" w:type="dxa"/>
            <w:vAlign w:val="bottom"/>
            <w:gridSpan w:val="3"/>
            <w:shd w:val="clear" w:color="auto" w:fill="CCEEFF"/>
          </w:tcPr>
          <w:p>
            <w:pPr>
              <w:jc w:val="right"/>
              <w:ind w:right="1"/>
              <w:spacing w:after="0"/>
              <w:rPr>
                <w:sz w:val="20"/>
                <w:szCs w:val="20"/>
                <w:color w:val="auto"/>
              </w:rPr>
            </w:pPr>
            <w:r>
              <w:rPr>
                <w:rFonts w:ascii="Arial" w:cs="Arial" w:eastAsia="Arial" w:hAnsi="Arial"/>
                <w:sz w:val="14"/>
                <w:szCs w:val="14"/>
                <w:b w:val="1"/>
                <w:bCs w:val="1"/>
                <w:color w:val="auto"/>
              </w:rPr>
              <w:t>(504)</w:t>
            </w:r>
          </w:p>
        </w:tc>
      </w:tr>
      <w:tr>
        <w:trPr>
          <w:trHeight w:val="176"/>
        </w:trPr>
        <w:tc>
          <w:tcPr>
            <w:tcW w:w="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b w:val="1"/>
                <w:bCs w:val="1"/>
                <w:color w:val="auto"/>
              </w:rPr>
              <w:t>Developed technology</w:t>
            </w:r>
          </w:p>
        </w:tc>
        <w:tc>
          <w:tcPr>
            <w:tcW w:w="1440" w:type="dxa"/>
            <w:vAlign w:val="bottom"/>
          </w:tcPr>
          <w:p>
            <w:pPr>
              <w:jc w:val="right"/>
              <w:ind w:right="12"/>
              <w:spacing w:after="0"/>
              <w:rPr>
                <w:sz w:val="20"/>
                <w:szCs w:val="20"/>
                <w:color w:val="auto"/>
              </w:rPr>
            </w:pPr>
            <w:r>
              <w:rPr>
                <w:rFonts w:ascii="Arial" w:cs="Arial" w:eastAsia="Arial" w:hAnsi="Arial"/>
                <w:sz w:val="14"/>
                <w:szCs w:val="14"/>
                <w:b w:val="1"/>
                <w:bCs w:val="1"/>
                <w:color w:val="auto"/>
              </w:rPr>
              <w:t>3,490</w:t>
            </w:r>
          </w:p>
        </w:tc>
        <w:tc>
          <w:tcPr>
            <w:tcW w:w="98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(1,536)</w:t>
            </w: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800</w:t>
            </w:r>
          </w:p>
        </w:tc>
        <w:tc>
          <w:tcPr>
            <w:tcW w:w="980" w:type="dxa"/>
            <w:vAlign w:val="bottom"/>
            <w:gridSpan w:val="3"/>
            <w:shd w:val="clear" w:color="auto" w:fill="CCEEFF"/>
          </w:tcPr>
          <w:p>
            <w:pPr>
              <w:jc w:val="right"/>
              <w:ind w:right="1"/>
              <w:spacing w:after="0"/>
              <w:rPr>
                <w:sz w:val="20"/>
                <w:szCs w:val="20"/>
                <w:color w:val="auto"/>
              </w:rPr>
            </w:pPr>
            <w:r>
              <w:rPr>
                <w:rFonts w:ascii="Arial" w:cs="Arial" w:eastAsia="Arial" w:hAnsi="Arial"/>
                <w:sz w:val="14"/>
                <w:szCs w:val="14"/>
                <w:b w:val="1"/>
                <w:bCs w:val="1"/>
                <w:color w:val="auto"/>
              </w:rPr>
              <w:t>(800)</w:t>
            </w:r>
          </w:p>
        </w:tc>
      </w:tr>
      <w:tr>
        <w:trPr>
          <w:trHeight w:val="169"/>
        </w:trPr>
        <w:tc>
          <w:tcPr>
            <w:tcW w:w="20" w:type="dxa"/>
            <w:vAlign w:val="bottom"/>
            <w:tcBorders>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$ 18,898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(9,933</w:t>
            </w:r>
          </w:p>
        </w:tc>
        <w:tc>
          <w:tcPr>
            <w:tcW w:w="20" w:type="dxa"/>
            <w:vAlign w:val="bottom"/>
            <w:tcBorders>
              <w:top w:val="single" w:sz="8" w:color="auto"/>
            </w:tcBorders>
          </w:tcPr>
          <w:p>
            <w:pPr>
              <w:spacing w:after="0"/>
              <w:rPr>
                <w:sz w:val="14"/>
                <w:szCs w:val="14"/>
                <w:color w:val="auto"/>
              </w:rPr>
            </w:pP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r>
    </w:tbl>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0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Gross Carrying</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7"/>
                <w:szCs w:val="17"/>
                <w:color w:val="auto"/>
              </w:rPr>
            </w:pPr>
          </w:p>
        </w:tc>
      </w:tr>
      <w:tr>
        <w:trPr>
          <w:trHeight w:val="188"/>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 2006</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CEEFF"/>
            </w:tcBorders>
          </w:tcPr>
          <w:p>
            <w:pPr>
              <w:spacing w:after="0"/>
              <w:rPr>
                <w:sz w:val="16"/>
                <w:szCs w:val="16"/>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Patents</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$ 6,553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 (5,964)</w:t>
            </w:r>
          </w:p>
        </w:tc>
      </w:tr>
      <w:tr>
        <w:trPr>
          <w:trHeight w:val="189"/>
        </w:trPr>
        <w:tc>
          <w:tcPr>
            <w:tcW w:w="2060" w:type="dxa"/>
            <w:vAlign w:val="bottom"/>
          </w:tcPr>
          <w:p>
            <w:pPr>
              <w:spacing w:after="0"/>
              <w:rPr>
                <w:sz w:val="20"/>
                <w:szCs w:val="20"/>
                <w:color w:val="auto"/>
              </w:rPr>
            </w:pPr>
            <w:r>
              <w:rPr>
                <w:rFonts w:ascii="Arial" w:cs="Arial" w:eastAsia="Arial" w:hAnsi="Arial"/>
                <w:sz w:val="14"/>
                <w:szCs w:val="14"/>
                <w:color w:val="auto"/>
              </w:rPr>
              <w:t>Non-compete agreements</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(885)</w:t>
            </w:r>
          </w:p>
        </w:tc>
      </w:tr>
      <w:tr>
        <w:trPr>
          <w:trHeight w:val="189"/>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(234)</w:t>
            </w:r>
          </w:p>
        </w:tc>
      </w:tr>
      <w:tr>
        <w:trPr>
          <w:trHeight w:val="189"/>
        </w:trPr>
        <w:tc>
          <w:tcPr>
            <w:tcW w:w="2060" w:type="dxa"/>
            <w:vAlign w:val="bottom"/>
          </w:tcPr>
          <w:p>
            <w:pPr>
              <w:spacing w:after="0"/>
              <w:rPr>
                <w:sz w:val="20"/>
                <w:szCs w:val="20"/>
                <w:color w:val="auto"/>
              </w:rPr>
            </w:pPr>
            <w:r>
              <w:rPr>
                <w:rFonts w:ascii="Arial" w:cs="Arial" w:eastAsia="Arial" w:hAnsi="Arial"/>
                <w:sz w:val="14"/>
                <w:szCs w:val="14"/>
                <w:color w:val="auto"/>
              </w:rPr>
              <w:t>Developed technology</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(815)</w:t>
            </w:r>
          </w:p>
        </w:tc>
      </w:tr>
      <w:tr>
        <w:trPr>
          <w:trHeight w:val="189"/>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(800)</w:t>
            </w:r>
          </w:p>
        </w:tc>
      </w:tr>
      <w:tr>
        <w:trPr>
          <w:trHeight w:val="20"/>
        </w:trPr>
        <w:tc>
          <w:tcPr>
            <w:tcW w:w="2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60" w:type="dxa"/>
            <w:vAlign w:val="bottom"/>
          </w:tcPr>
          <w:p>
            <w:pPr>
              <w:spacing w:after="0"/>
              <w:rPr>
                <w:sz w:val="20"/>
                <w:szCs w:val="20"/>
                <w:color w:val="auto"/>
              </w:rPr>
            </w:pPr>
            <w:r>
              <w:rPr>
                <w:rFonts w:ascii="Arial" w:cs="Arial" w:eastAsia="Arial" w:hAnsi="Arial"/>
                <w:sz w:val="14"/>
                <w:szCs w:val="14"/>
                <w:color w:val="auto"/>
              </w:rPr>
              <w:t>Total</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$ 11,252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(8,698)</w:t>
            </w:r>
          </w:p>
        </w:tc>
      </w:tr>
      <w:tr>
        <w:trPr>
          <w:trHeight w:val="20"/>
        </w:trPr>
        <w:tc>
          <w:tcPr>
            <w:tcW w:w="2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firstLine="180"/>
        <w:spacing w:after="0" w:line="271" w:lineRule="auto"/>
        <w:rPr>
          <w:sz w:val="20"/>
          <w:szCs w:val="20"/>
          <w:color w:val="auto"/>
        </w:rPr>
      </w:pPr>
      <w:r>
        <w:rPr>
          <w:rFonts w:ascii="Arial" w:cs="Arial" w:eastAsia="Arial" w:hAnsi="Arial"/>
          <w:sz w:val="18"/>
          <w:szCs w:val="18"/>
          <w:color w:val="auto"/>
        </w:rPr>
        <w:t>Amortization expense for intangible assets for the fiscal years ended October 31, 2007, 2006, and 2005 was $1,200, $864, and $770, respectively. Estimated amortization expense for the succeeding fiscal years is as follows: 2008, $1,493; 2009, $1,147; 2010, $854; 2011, $780; 2012, $747; and after 2012, $3,944.</w:t>
      </w:r>
    </w:p>
    <w:p>
      <w:pPr>
        <w:spacing w:after="0" w:line="267" w:lineRule="exact"/>
        <w:rPr>
          <w:sz w:val="20"/>
          <w:szCs w:val="20"/>
          <w:color w:val="auto"/>
        </w:rPr>
      </w:pPr>
    </w:p>
    <w:p>
      <w:pPr>
        <w:ind w:left="600" w:right="8300" w:hanging="592"/>
        <w:spacing w:after="0" w:line="180" w:lineRule="auto"/>
        <w:tabs>
          <w:tab w:leader="none" w:pos="600" w:val="left"/>
        </w:tabs>
        <w:numPr>
          <w:ilvl w:val="0"/>
          <w:numId w:val="76"/>
        </w:numPr>
        <w:rPr>
          <w:rFonts w:ascii="Arial" w:cs="Arial" w:eastAsia="Arial" w:hAnsi="Arial"/>
          <w:sz w:val="40"/>
          <w:szCs w:val="40"/>
          <w:b w:val="1"/>
          <w:bCs w:val="1"/>
          <w:color w:val="4673B6"/>
        </w:rPr>
      </w:pPr>
      <w:r>
        <w:rPr>
          <w:rFonts w:ascii="Arial" w:cs="Arial" w:eastAsia="Arial" w:hAnsi="Arial"/>
          <w:sz w:val="18"/>
          <w:szCs w:val="18"/>
          <w:b w:val="1"/>
          <w:bCs w:val="1"/>
          <w:color w:val="4673B6"/>
        </w:rPr>
        <w:t>SHORT-TERM CAPITAL RESOURCES</w:t>
      </w:r>
    </w:p>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a $175,000 unsecured senior five-year revolving credit facility, which expires in January 2012. We had no outstanding borrowings under this credit facility as of October 31, 2007 and 2006. Interest expense on this credit line is determined based on a LIBOR rate plus a basis point spread defined in the credit agreement. In addition, the company’s non-U.S. operations maintain unsecured short-term lines of credit of $16,069. These facilities bear interest at various rates depending on the rates in their respective countries of operation. The company had $372 and $320 outstanding as of October 31, 2007 and 2006, respectively, under these lines of credit. The weighted-average interest rate on short-term debt outstanding as of October 31, 2007 and 2006 was 6.89 percent and 6.15 percent, respectively. The company was in compliance with all covenants related to the several lines of credit described above as of October 31, 2007.</w:t>
      </w:r>
    </w:p>
    <w:p>
      <w:pPr>
        <w:spacing w:after="0" w:line="22"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65"/>
          <w:szCs w:val="65"/>
          <w:b w:val="1"/>
          <w:bCs w:val="1"/>
          <w:color w:val="4673B6"/>
        </w:rPr>
      </w:pPr>
      <w:r>
        <w:rPr>
          <w:rFonts w:ascii="Arial" w:cs="Arial" w:eastAsia="Arial" w:hAnsi="Arial"/>
          <w:sz w:val="22"/>
          <w:szCs w:val="22"/>
          <w:b w:val="1"/>
          <w:bCs w:val="1"/>
          <w:color w:val="4673B6"/>
        </w:rPr>
        <w:t>LONG-TERM DEBT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143510</wp:posOffset>
            </wp:positionV>
            <wp:extent cx="2830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ectPr>
          <w:pgSz w:w="11900" w:h="16838" w:orient="portrait"/>
          <w:cols w:equalWidth="0" w:num="1">
            <w:col w:w="11320"/>
          </w:cols>
          <w:pgMar w:left="240" w:top="120" w:right="339" w:bottom="0" w:gutter="0" w:footer="0" w:header="0"/>
        </w:sectPr>
      </w:pPr>
    </w:p>
    <w:p>
      <w:pPr>
        <w:spacing w:after="0" w:line="240" w:lineRule="exact"/>
        <w:rPr>
          <w:sz w:val="20"/>
          <w:szCs w:val="20"/>
          <w:color w:val="auto"/>
        </w:rPr>
      </w:pPr>
    </w:p>
    <w:p>
      <w:pPr>
        <w:ind w:left="6800"/>
        <w:spacing w:after="0"/>
        <w:tabs>
          <w:tab w:leader="none" w:pos="756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17780</wp:posOffset>
            </wp:positionV>
            <wp:extent cx="2830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ectPr>
          <w:pgSz w:w="11900" w:h="16838" w:orient="portrait"/>
          <w:cols w:equalWidth="0" w:num="1">
            <w:col w:w="11320"/>
          </w:cols>
          <w:pgMar w:left="240" w:top="120" w:right="339" w:bottom="0" w:gutter="0" w:footer="0" w:header="0"/>
          <w:type w:val="continuous"/>
        </w:sectPr>
      </w:pPr>
    </w:p>
    <w:bookmarkStart w:id="40" w:name="page41"/>
    <w:bookmarkEnd w:id="40"/>
    <w:tbl>
      <w:tblPr>
        <w:tblLayout w:type="fixed"/>
        <w:tblInd w:w="3460" w:type="dxa"/>
        <w:tblCellMar>
          <w:top w:w="0" w:type="dxa"/>
          <w:left w:w="0" w:type="dxa"/>
          <w:bottom w:w="0" w:type="dxa"/>
          <w:right w:w="0" w:type="dxa"/>
        </w:tblCellMar>
      </w:tblPr>
      <w:tr>
        <w:trPr>
          <w:trHeight w:val="203"/>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7.125%</w:t>
            </w:r>
          </w:p>
        </w:tc>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Notes, due June 15, 2007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$ 75,000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189"/>
        </w:trPr>
        <w:tc>
          <w:tcPr>
            <w:tcW w:w="500" w:type="dxa"/>
            <w:vAlign w:val="bottom"/>
          </w:tcPr>
          <w:p>
            <w:pPr>
              <w:spacing w:after="0"/>
              <w:rPr>
                <w:sz w:val="20"/>
                <w:szCs w:val="20"/>
                <w:color w:val="auto"/>
              </w:rPr>
            </w:pPr>
            <w:r>
              <w:rPr>
                <w:rFonts w:ascii="Arial" w:cs="Arial" w:eastAsia="Arial" w:hAnsi="Arial"/>
                <w:sz w:val="14"/>
                <w:szCs w:val="14"/>
                <w:b w:val="1"/>
                <w:bCs w:val="1"/>
                <w:color w:val="auto"/>
              </w:rPr>
              <w:t>7.800%</w:t>
            </w:r>
          </w:p>
        </w:tc>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720" w:type="dxa"/>
            <w:vAlign w:val="bottom"/>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6"/>
                <w:szCs w:val="16"/>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6.625%</w:t>
            </w: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123,172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5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6,037</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3"/>
        </w:trPr>
        <w:tc>
          <w:tcPr>
            <w:tcW w:w="500" w:type="dxa"/>
            <w:vAlign w:val="bottom"/>
            <w:tcBorders>
              <w:top w:val="single" w:sz="8" w:color="auto"/>
            </w:tcBorders>
            <w:shd w:val="clear" w:color="auto" w:fill="CCEEFF"/>
          </w:tcPr>
          <w:p>
            <w:pPr>
              <w:spacing w:after="0"/>
              <w:rPr>
                <w:sz w:val="15"/>
                <w:szCs w:val="15"/>
                <w:color w:val="auto"/>
              </w:rPr>
            </w:pPr>
          </w:p>
        </w:tc>
        <w:tc>
          <w:tcPr>
            <w:tcW w:w="23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229,209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Less current portion</w:t>
            </w:r>
          </w:p>
        </w:tc>
        <w:tc>
          <w:tcPr>
            <w:tcW w:w="4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1,611</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3"/>
        </w:trPr>
        <w:tc>
          <w:tcPr>
            <w:tcW w:w="28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92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$ 227,598</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$ 175,000</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175"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As of October 31, 2006, the company had $75,000 of notes due on June 15, 2007 that were classified as long-term debt as the company had the ability and intent to refinance the obligation on a long-term basis. The notes were repaid at maturity during fiscal 2007.</w:t>
      </w:r>
    </w:p>
    <w:p>
      <w:pPr>
        <w:ind w:firstLine="180"/>
        <w:spacing w:after="0" w:line="266" w:lineRule="auto"/>
        <w:rPr>
          <w:sz w:val="20"/>
          <w:szCs w:val="20"/>
          <w:color w:val="auto"/>
        </w:rPr>
      </w:pPr>
      <w:r>
        <w:rPr>
          <w:rFonts w:ascii="Arial" w:cs="Arial" w:eastAsia="Arial" w:hAnsi="Arial"/>
          <w:sz w:val="18"/>
          <w:szCs w:val="18"/>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our other unsecured and unsubordinated indebtedness from time to time outstanding.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w:t>
      </w:r>
    </w:p>
    <w:p>
      <w:pPr>
        <w:spacing w:after="0" w:line="2" w:lineRule="exact"/>
        <w:rPr>
          <w:sz w:val="20"/>
          <w:szCs w:val="20"/>
          <w:color w:val="auto"/>
        </w:rPr>
      </w:pPr>
    </w:p>
    <w:p>
      <w:pPr>
        <w:ind w:right="20" w:firstLine="8"/>
        <w:spacing w:after="0" w:line="266"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 The proceeds from the issuance of the senior notes were used to repay the $75,000 outstanding principal amount of 7.125% notes on the maturity date of June 15, 2007 as well as for general corporate purposes.</w:t>
      </w:r>
    </w:p>
    <w:p>
      <w:pPr>
        <w:ind w:right="80" w:firstLine="180"/>
        <w:spacing w:after="0" w:line="266" w:lineRule="auto"/>
        <w:rPr>
          <w:rFonts w:ascii="Arial" w:cs="Arial" w:eastAsia="Arial" w:hAnsi="Arial"/>
          <w:sz w:val="18"/>
          <w:szCs w:val="18"/>
          <w:color w:val="auto"/>
        </w:rPr>
      </w:pPr>
      <w:r>
        <w:rPr>
          <w:rFonts w:ascii="Arial" w:cs="Arial" w:eastAsia="Arial" w:hAnsi="Arial"/>
          <w:sz w:val="18"/>
          <w:szCs w:val="18"/>
          <w:color w:val="auto"/>
        </w:rPr>
        <w:t>In connection with the issuance in June 1997 of the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w:t>
      </w:r>
    </w:p>
    <w:p>
      <w:pPr>
        <w:spacing w:after="0" w:line="1" w:lineRule="exact"/>
        <w:rPr>
          <w:rFonts w:ascii="Arial" w:cs="Arial" w:eastAsia="Arial" w:hAnsi="Arial"/>
          <w:sz w:val="18"/>
          <w:szCs w:val="18"/>
          <w:color w:val="auto"/>
        </w:rPr>
      </w:pPr>
    </w:p>
    <w:p>
      <w:pPr>
        <w:ind w:right="360" w:firstLine="180"/>
        <w:spacing w:after="0" w:line="277" w:lineRule="auto"/>
        <w:rPr>
          <w:rFonts w:ascii="Arial" w:cs="Arial" w:eastAsia="Arial" w:hAnsi="Arial"/>
          <w:sz w:val="18"/>
          <w:szCs w:val="18"/>
          <w:color w:val="auto"/>
        </w:rPr>
      </w:pPr>
      <w:r>
        <w:rPr>
          <w:rFonts w:ascii="Arial" w:cs="Arial" w:eastAsia="Arial" w:hAnsi="Arial"/>
          <w:sz w:val="18"/>
          <w:szCs w:val="18"/>
          <w:color w:val="auto"/>
        </w:rPr>
        <w:t>Principal payments required on long-term debt in each of the next five fiscal years ending October 31 are as follows: 2008, $1,611; 2009, $1,911; 2010, $2,012; 2011, $503; 2012, $0; and after 2012, $225,000.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720" w:hanging="712"/>
        <w:spacing w:after="0"/>
        <w:tabs>
          <w:tab w:leader="none" w:pos="720" w:val="left"/>
        </w:tabs>
        <w:numPr>
          <w:ilvl w:val="0"/>
          <w:numId w:val="79"/>
        </w:numPr>
        <w:rPr>
          <w:rFonts w:ascii="Arial" w:cs="Arial" w:eastAsia="Arial" w:hAnsi="Arial"/>
          <w:sz w:val="65"/>
          <w:szCs w:val="65"/>
          <w:b w:val="1"/>
          <w:bCs w:val="1"/>
          <w:color w:val="4673B6"/>
        </w:rPr>
      </w:pPr>
      <w:r>
        <w:rPr>
          <w:rFonts w:ascii="Arial" w:cs="Arial" w:eastAsia="Arial" w:hAnsi="Arial"/>
          <w:sz w:val="22"/>
          <w:szCs w:val="22"/>
          <w:b w:val="1"/>
          <w:bCs w:val="1"/>
          <w:color w:val="4673B6"/>
        </w:rPr>
        <w:t>STOCKHOLDERS’ EQUITY</w:t>
      </w:r>
    </w:p>
    <w:p>
      <w:pPr>
        <w:spacing w:after="0" w:line="22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4673B6"/>
        </w:rPr>
        <w:t xml:space="preserve">Stock repurchase program – </w:t>
      </w:r>
      <w:r>
        <w:rPr>
          <w:rFonts w:ascii="Arial" w:cs="Arial" w:eastAsia="Arial" w:hAnsi="Arial"/>
          <w:sz w:val="18"/>
          <w:szCs w:val="18"/>
          <w:color w:val="000000"/>
        </w:rPr>
        <w:t>The company’s Board of Directors authorized the repurchase of shares of the company’s common stock as</w:t>
      </w:r>
      <w:r>
        <w:rPr>
          <w:rFonts w:ascii="Arial" w:cs="Arial" w:eastAsia="Arial" w:hAnsi="Arial"/>
          <w:sz w:val="18"/>
          <w:szCs w:val="18"/>
          <w:b w:val="1"/>
          <w:bCs w:val="1"/>
          <w:color w:val="4673B6"/>
        </w:rPr>
        <w:t xml:space="preserve"> </w:t>
      </w:r>
      <w:r>
        <w:rPr>
          <w:rFonts w:ascii="Arial" w:cs="Arial" w:eastAsia="Arial" w:hAnsi="Arial"/>
          <w:sz w:val="18"/>
          <w:szCs w:val="18"/>
          <w:color w:val="000000"/>
        </w:rPr>
        <w:t>follows:</w:t>
      </w:r>
    </w:p>
    <w:p>
      <w:pPr>
        <w:spacing w:after="0" w:line="14" w:lineRule="exact"/>
        <w:rPr>
          <w:sz w:val="20"/>
          <w:szCs w:val="20"/>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March 2004, 1,000,000 shares</w:t>
      </w:r>
    </w:p>
    <w:p>
      <w:pPr>
        <w:spacing w:after="0" w:line="22" w:lineRule="exact"/>
        <w:rPr>
          <w:rFonts w:ascii="Arial" w:cs="Arial" w:eastAsia="Arial" w:hAnsi="Arial"/>
          <w:sz w:val="18"/>
          <w:szCs w:val="18"/>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May 2004, 2,000,000 shares</w:t>
      </w:r>
    </w:p>
    <w:p>
      <w:pPr>
        <w:spacing w:after="0" w:line="22" w:lineRule="exact"/>
        <w:rPr>
          <w:rFonts w:ascii="Arial" w:cs="Arial" w:eastAsia="Arial" w:hAnsi="Arial"/>
          <w:sz w:val="18"/>
          <w:szCs w:val="18"/>
          <w:color w:val="auto"/>
        </w:rPr>
      </w:pPr>
    </w:p>
    <w:p>
      <w:pPr>
        <w:ind w:left="180" w:right="380" w:hanging="172"/>
        <w:spacing w:after="0" w:line="258" w:lineRule="auto"/>
        <w:tabs>
          <w:tab w:leader="none" w:pos="1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September 2004, 1,000,000 shares, which was doubled to 2,000,000 shares as a result of a two-for-one stock split effective March 28, 2005</w:t>
      </w:r>
    </w:p>
    <w:p>
      <w:pPr>
        <w:spacing w:after="0" w:line="14" w:lineRule="exact"/>
        <w:rPr>
          <w:rFonts w:ascii="Arial" w:cs="Arial" w:eastAsia="Arial" w:hAnsi="Arial"/>
          <w:sz w:val="18"/>
          <w:szCs w:val="18"/>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July 2005, 2,000,000 shares</w:t>
      </w:r>
    </w:p>
    <w:p>
      <w:pPr>
        <w:spacing w:after="0" w:line="22" w:lineRule="exact"/>
        <w:rPr>
          <w:rFonts w:ascii="Arial" w:cs="Arial" w:eastAsia="Arial" w:hAnsi="Arial"/>
          <w:sz w:val="18"/>
          <w:szCs w:val="18"/>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July 2006, 3,000,000 shares</w:t>
      </w:r>
    </w:p>
    <w:p>
      <w:pPr>
        <w:spacing w:after="0" w:line="22" w:lineRule="exact"/>
        <w:rPr>
          <w:rFonts w:ascii="Arial" w:cs="Arial" w:eastAsia="Arial" w:hAnsi="Arial"/>
          <w:sz w:val="18"/>
          <w:szCs w:val="18"/>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May 2007, 3,000,000 shares</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fiscal 2007, 2006, and 2005, the company paid $182,843, $146,543, and $156,972 to repurchase an aggregate of 3,342,729 shares, 3,369,285 shares, and 3,922,805 shares, respectively. As of October 31, 2007, 1,134,175 shares remained authorized for repurchase.</w:t>
      </w:r>
    </w:p>
    <w:p>
      <w:pPr>
        <w:spacing w:after="0" w:line="6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4673B6"/>
        </w:rPr>
        <w:t xml:space="preserve">Shareholder rights plan – </w:t>
      </w:r>
      <w:r>
        <w:rPr>
          <w:rFonts w:ascii="Arial" w:cs="Arial" w:eastAsia="Arial" w:hAnsi="Arial"/>
          <w:sz w:val="18"/>
          <w:szCs w:val="18"/>
          <w:color w:val="000000"/>
        </w:rPr>
        <w:t>Under the terms of a Rights Agreement dated as of May 20, 1998 between Toro and Wells Fargo Bank, National</w:t>
      </w:r>
      <w:r>
        <w:rPr>
          <w:rFonts w:ascii="Arial" w:cs="Arial" w:eastAsia="Arial" w:hAnsi="Arial"/>
          <w:sz w:val="18"/>
          <w:szCs w:val="18"/>
          <w:b w:val="1"/>
          <w:bCs w:val="1"/>
          <w:color w:val="4673B6"/>
        </w:rPr>
        <w:t xml:space="preserve"> </w:t>
      </w:r>
      <w:r>
        <w:rPr>
          <w:rFonts w:ascii="Arial" w:cs="Arial" w:eastAsia="Arial" w:hAnsi="Arial"/>
          <w:sz w:val="18"/>
          <w:szCs w:val="18"/>
          <w:color w:val="000000"/>
        </w:rPr>
        <w:t>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four-hundredth interest in a share of a series of preferred stock, at a price of $180 per one one-hundredth of a preferred share.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$0.0025 per right at any time before a person or group acquires beneficial ownership of 15 percent or more of the common stock. The rights expire at the close of business on June 14, 2008, unless extended or earlier redeemed or exchanged.</w:t>
      </w:r>
    </w:p>
    <w:p>
      <w:pPr>
        <w:spacing w:after="0" w:line="6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4673B6"/>
        </w:rPr>
        <w:t xml:space="preserve">Treasury shares – </w:t>
      </w:r>
      <w:r>
        <w:rPr>
          <w:rFonts w:ascii="Arial" w:cs="Arial" w:eastAsia="Arial" w:hAnsi="Arial"/>
          <w:sz w:val="18"/>
          <w:szCs w:val="18"/>
          <w:color w:val="000000"/>
        </w:rPr>
        <w:t>As of October 31, 2007, the company had 16,081,389 treasury shares at a cost of $593,290. As of October 31, 2006,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company had 13,676,506 treasury shares at a cost of $441,190.</w:t>
      </w:r>
    </w:p>
    <w:p>
      <w:pPr>
        <w:spacing w:after="0" w:line="6" w:lineRule="exact"/>
        <w:rPr>
          <w:sz w:val="20"/>
          <w:szCs w:val="20"/>
          <w:color w:val="auto"/>
        </w:rPr>
      </w:pPr>
    </w:p>
    <w:p>
      <w:pPr>
        <w:ind w:left="720" w:hanging="712"/>
        <w:spacing w:after="0"/>
        <w:tabs>
          <w:tab w:leader="none" w:pos="720" w:val="left"/>
        </w:tabs>
        <w:numPr>
          <w:ilvl w:val="0"/>
          <w:numId w:val="81"/>
        </w:numPr>
        <w:rPr>
          <w:rFonts w:ascii="Arial" w:cs="Arial" w:eastAsia="Arial" w:hAnsi="Arial"/>
          <w:sz w:val="65"/>
          <w:szCs w:val="65"/>
          <w:b w:val="1"/>
          <w:bCs w:val="1"/>
          <w:color w:val="4673B6"/>
        </w:rPr>
      </w:pPr>
      <w:r>
        <w:rPr>
          <w:rFonts w:ascii="Arial" w:cs="Arial" w:eastAsia="Arial" w:hAnsi="Arial"/>
          <w:sz w:val="22"/>
          <w:szCs w:val="22"/>
          <w:b w:val="1"/>
          <w:bCs w:val="1"/>
          <w:color w:val="4673B6"/>
        </w:rPr>
        <w:t>INCOME TAXES</w:t>
      </w:r>
    </w:p>
    <w:p>
      <w:pPr>
        <w:sectPr>
          <w:pgSz w:w="11900" w:h="16838" w:orient="portrait"/>
          <w:cols w:equalWidth="0" w:num="1">
            <w:col w:w="11420"/>
          </w:cols>
          <w:pgMar w:left="240" w:top="120" w:right="239" w:bottom="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federal income tax rate to the company’s consolidated effective tax rate is summarized as follows:</w:t>
      </w:r>
    </w:p>
    <w:p>
      <w:pPr>
        <w:sectPr>
          <w:pgSz w:w="11900" w:h="16838" w:orient="portrait"/>
          <w:cols w:equalWidth="0" w:num="1">
            <w:col w:w="11420"/>
          </w:cols>
          <w:pgMar w:left="240" w:top="120" w:right="239" w:bottom="0" w:gutter="0" w:footer="0" w:header="0"/>
          <w:type w:val="continuous"/>
        </w:sectPr>
      </w:pPr>
    </w:p>
    <w:bookmarkStart w:id="41" w:name="page42"/>
    <w:bookmarkEnd w:id="41"/>
    <w:tbl>
      <w:tblPr>
        <w:tblLayout w:type="fixed"/>
        <w:tblInd w:w="18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c>
          <w:tcPr>
            <w:tcW w:w="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280" w:type="dxa"/>
            <w:vAlign w:val="bottom"/>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Statutory federal income tax rate</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35.0%</w:t>
            </w:r>
          </w:p>
        </w:tc>
        <w:tc>
          <w:tcPr>
            <w:tcW w:w="20" w:type="dxa"/>
            <w:vAlign w:val="bottom"/>
          </w:tcPr>
          <w:p>
            <w:pPr>
              <w:spacing w:after="0"/>
              <w:rPr>
                <w:sz w:val="15"/>
                <w:szCs w:val="15"/>
                <w:color w:val="auto"/>
              </w:rPr>
            </w:pPr>
          </w:p>
        </w:tc>
      </w:tr>
      <w:tr>
        <w:trPr>
          <w:trHeight w:val="189"/>
        </w:trPr>
        <w:tc>
          <w:tcPr>
            <w:tcW w:w="328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Increase (reduction) in income taxes</w:t>
            </w: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ind w:left="180"/>
              <w:spacing w:after="0"/>
              <w:rPr>
                <w:sz w:val="20"/>
                <w:szCs w:val="20"/>
                <w:color w:val="auto"/>
              </w:rPr>
            </w:pPr>
            <w:r>
              <w:rPr>
                <w:rFonts w:ascii="Arial" w:cs="Arial" w:eastAsia="Arial" w:hAnsi="Arial"/>
                <w:sz w:val="14"/>
                <w:szCs w:val="14"/>
                <w:b w:val="1"/>
                <w:bCs w:val="1"/>
                <w:color w:val="auto"/>
              </w:rPr>
              <w:t>resulting from:</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Benefits from export incentives</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Domestic manufacturer’s deduction</w:t>
            </w: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(0.5)</w:t>
            </w: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 and local income taxes, net of</w:t>
            </w: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federal income tax benefit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Effect of foreign source income</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(1.2)</w:t>
            </w:r>
          </w:p>
        </w:tc>
        <w:tc>
          <w:tcPr>
            <w:tcW w:w="50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net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28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640" w:type="dxa"/>
            <w:vAlign w:val="bottom"/>
            <w:gridSpan w:val="2"/>
          </w:tcPr>
          <w:p>
            <w:pPr>
              <w:jc w:val="right"/>
              <w:ind w:right="28"/>
              <w:spacing w:after="0"/>
              <w:rPr>
                <w:sz w:val="20"/>
                <w:szCs w:val="20"/>
                <w:color w:val="auto"/>
              </w:rPr>
            </w:pPr>
            <w:r>
              <w:rPr>
                <w:rFonts w:ascii="Arial" w:cs="Arial" w:eastAsia="Arial" w:hAnsi="Arial"/>
                <w:sz w:val="14"/>
                <w:szCs w:val="14"/>
                <w:color w:val="auto"/>
              </w:rPr>
              <w:t>33.0%</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33.0%</w:t>
            </w:r>
          </w:p>
        </w:tc>
        <w:tc>
          <w:tcPr>
            <w:tcW w:w="20" w:type="dxa"/>
            <w:vAlign w:val="bottom"/>
          </w:tcPr>
          <w:p>
            <w:pPr>
              <w:spacing w:after="0"/>
              <w:rPr>
                <w:sz w:val="15"/>
                <w:szCs w:val="15"/>
                <w:color w:val="auto"/>
              </w:rPr>
            </w:pPr>
          </w:p>
        </w:tc>
      </w:tr>
      <w:tr>
        <w:trPr>
          <w:trHeight w:val="20"/>
        </w:trPr>
        <w:tc>
          <w:tcPr>
            <w:tcW w:w="32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540" w:type="dxa"/>
            <w:vAlign w:val="bottom"/>
            <w:gridSpan w:val="2"/>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328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3280" w:type="dxa"/>
            <w:vAlign w:val="bottom"/>
          </w:tcPr>
          <w:p>
            <w:pPr>
              <w:spacing w:after="0"/>
              <w:rPr>
                <w:sz w:val="15"/>
                <w:szCs w:val="15"/>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9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2005</w:t>
            </w:r>
          </w:p>
        </w:tc>
        <w:tc>
          <w:tcPr>
            <w:tcW w:w="20" w:type="dxa"/>
            <w:vAlign w:val="bottom"/>
            <w:tcBorders>
              <w:bottom w:val="single" w:sz="8" w:color="CCEEFF"/>
            </w:tcBorders>
          </w:tcPr>
          <w:p>
            <w:pPr>
              <w:spacing w:after="0"/>
              <w:rPr>
                <w:sz w:val="15"/>
                <w:szCs w:val="15"/>
                <w:color w:val="auto"/>
              </w:rPr>
            </w:pPr>
          </w:p>
        </w:tc>
      </w:tr>
      <w:tr>
        <w:trPr>
          <w:trHeight w:val="183"/>
        </w:trPr>
        <w:tc>
          <w:tcPr>
            <w:tcW w:w="3280" w:type="dxa"/>
            <w:vAlign w:val="bottom"/>
            <w:tcBorders>
              <w:right w:val="single" w:sz="8" w:color="CCEEFF"/>
            </w:tcBorders>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280" w:type="dxa"/>
            <w:vAlign w:val="bottom"/>
            <w:tcBorders>
              <w:right w:val="single" w:sz="8" w:color="CCEEFF"/>
            </w:tcBorders>
          </w:tcPr>
          <w:p>
            <w:pPr>
              <w:spacing w:after="0"/>
              <w:rPr>
                <w:sz w:val="16"/>
                <w:szCs w:val="16"/>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59,941</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$ 57,285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58,420</w:t>
            </w:r>
          </w:p>
        </w:tc>
        <w:tc>
          <w:tcPr>
            <w:tcW w:w="20" w:type="dxa"/>
            <w:vAlign w:val="bottom"/>
            <w:shd w:val="clear" w:color="auto" w:fill="CCEEFF"/>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4"/>
                <w:szCs w:val="14"/>
                <w:b w:val="1"/>
                <w:bCs w:val="1"/>
                <w:color w:val="auto"/>
              </w:rPr>
              <w:t>State</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5,501</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4,115</w:t>
            </w:r>
          </w:p>
        </w:tc>
        <w:tc>
          <w:tcPr>
            <w:tcW w:w="1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3,329</w:t>
            </w:r>
          </w:p>
        </w:tc>
        <w:tc>
          <w:tcPr>
            <w:tcW w:w="20" w:type="dxa"/>
            <w:vAlign w:val="bottom"/>
          </w:tcPr>
          <w:p>
            <w:pPr>
              <w:spacing w:after="0"/>
              <w:rPr>
                <w:sz w:val="16"/>
                <w:szCs w:val="16"/>
                <w:color w:val="auto"/>
              </w:rPr>
            </w:pPr>
          </w:p>
        </w:tc>
      </w:tr>
      <w:tr>
        <w:trPr>
          <w:trHeight w:val="189"/>
        </w:trPr>
        <w:tc>
          <w:tcPr>
            <w:tcW w:w="3280" w:type="dxa"/>
            <w:vAlign w:val="bottom"/>
            <w:tcBorders>
              <w:right w:val="single" w:sz="8" w:color="CCEEFF"/>
            </w:tcBorders>
          </w:tcPr>
          <w:p>
            <w:pPr>
              <w:spacing w:after="0"/>
              <w:rPr>
                <w:sz w:val="16"/>
                <w:szCs w:val="16"/>
                <w:color w:val="auto"/>
              </w:rPr>
            </w:pPr>
          </w:p>
        </w:tc>
        <w:tc>
          <w:tcPr>
            <w:tcW w:w="2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5,812</w:t>
            </w:r>
          </w:p>
        </w:tc>
        <w:tc>
          <w:tcPr>
            <w:tcW w:w="94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3,262</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1,209</w:t>
            </w:r>
          </w:p>
        </w:tc>
        <w:tc>
          <w:tcPr>
            <w:tcW w:w="20" w:type="dxa"/>
            <w:vAlign w:val="bottom"/>
            <w:tcBorders>
              <w:bottom w:val="single" w:sz="8" w:color="auto"/>
            </w:tcBorders>
            <w:shd w:val="clear" w:color="auto" w:fill="CCEEFF"/>
          </w:tcPr>
          <w:p>
            <w:pPr>
              <w:spacing w:after="0"/>
              <w:rPr>
                <w:sz w:val="16"/>
                <w:szCs w:val="16"/>
                <w:color w:val="auto"/>
              </w:rPr>
            </w:pPr>
          </w:p>
        </w:tc>
      </w:tr>
      <w:tr>
        <w:trPr>
          <w:trHeight w:val="183"/>
        </w:trPr>
        <w:tc>
          <w:tcPr>
            <w:tcW w:w="3280" w:type="dxa"/>
            <w:vAlign w:val="bottom"/>
          </w:tcPr>
          <w:p>
            <w:pPr>
              <w:spacing w:after="0"/>
              <w:rPr>
                <w:sz w:val="15"/>
                <w:szCs w:val="15"/>
                <w:color w:val="auto"/>
              </w:rPr>
            </w:pP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Current provision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71,254</w:t>
            </w:r>
          </w:p>
        </w:tc>
        <w:tc>
          <w:tcPr>
            <w:tcW w:w="9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$ 64,662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62,958</w:t>
            </w:r>
          </w:p>
        </w:tc>
        <w:tc>
          <w:tcPr>
            <w:tcW w:w="20" w:type="dxa"/>
            <w:vAlign w:val="bottom"/>
            <w:tcBorders>
              <w:bottom w:val="single" w:sz="8" w:color="auto"/>
            </w:tcBorders>
          </w:tcPr>
          <w:p>
            <w:pPr>
              <w:spacing w:after="0"/>
              <w:rPr>
                <w:sz w:val="15"/>
                <w:szCs w:val="15"/>
                <w:color w:val="auto"/>
              </w:rPr>
            </w:pPr>
          </w:p>
        </w:tc>
      </w:tr>
      <w:tr>
        <w:trPr>
          <w:trHeight w:val="183"/>
        </w:trPr>
        <w:tc>
          <w:tcPr>
            <w:tcW w:w="3280" w:type="dxa"/>
            <w:vAlign w:val="bottom"/>
            <w:tcBorders>
              <w:right w:val="single" w:sz="8" w:color="CCEEFF"/>
            </w:tcBorders>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4"/>
                <w:szCs w:val="14"/>
                <w:b w:val="1"/>
                <w:bCs w:val="1"/>
                <w:color w:val="auto"/>
              </w:rPr>
              <w:t>Federal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1,837</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(523)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(5,953)</w:t>
            </w:r>
          </w:p>
        </w:tc>
        <w:tc>
          <w:tcPr>
            <w:tcW w:w="20" w:type="dxa"/>
            <w:vAlign w:val="bottom"/>
          </w:tcPr>
          <w:p>
            <w:pPr>
              <w:spacing w:after="0"/>
              <w:rPr>
                <w:sz w:val="16"/>
                <w:szCs w:val="16"/>
                <w:color w:val="auto"/>
              </w:rPr>
            </w:pPr>
          </w:p>
        </w:tc>
      </w:tr>
      <w:tr>
        <w:trPr>
          <w:trHeight w:val="189"/>
        </w:trPr>
        <w:tc>
          <w:tcPr>
            <w:tcW w:w="3280" w:type="dxa"/>
            <w:vAlign w:val="bottom"/>
            <w:tcBorders>
              <w:right w:val="single" w:sz="8" w:color="CCEEFF"/>
            </w:tcBorders>
          </w:tcPr>
          <w:p>
            <w:pPr>
              <w:spacing w:after="0"/>
              <w:rPr>
                <w:sz w:val="16"/>
                <w:szCs w:val="16"/>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State</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(671)</w:t>
            </w:r>
          </w:p>
        </w:tc>
        <w:tc>
          <w:tcPr>
            <w:tcW w:w="20" w:type="dxa"/>
            <w:vAlign w:val="bottom"/>
            <w:shd w:val="clear" w:color="auto" w:fill="CCEEFF"/>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4"/>
                <w:szCs w:val="14"/>
                <w:b w:val="1"/>
                <w:bCs w:val="1"/>
                <w:color w:val="auto"/>
              </w:rPr>
              <w:t>Non-U.S.</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(2,437)</w:t>
            </w:r>
          </w:p>
        </w:tc>
        <w:tc>
          <w:tcPr>
            <w:tcW w:w="44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(705)</w:t>
            </w:r>
          </w:p>
        </w:tc>
        <w:tc>
          <w:tcPr>
            <w:tcW w:w="14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6"/>
                <w:szCs w:val="16"/>
                <w:color w:val="auto"/>
              </w:rPr>
            </w:pP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3"/>
        </w:trPr>
        <w:tc>
          <w:tcPr>
            <w:tcW w:w="3280" w:type="dxa"/>
            <w:vAlign w:val="bottom"/>
            <w:tcBorders>
              <w:right w:val="single" w:sz="8" w:color="CCEEFF"/>
            </w:tcBorders>
          </w:tcPr>
          <w:p>
            <w:pPr>
              <w:spacing w:after="0"/>
              <w:rPr>
                <w:sz w:val="15"/>
                <w:szCs w:val="15"/>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Deferred benefit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(1,053)</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(6,768)</w:t>
            </w:r>
          </w:p>
        </w:tc>
        <w:tc>
          <w:tcPr>
            <w:tcW w:w="20" w:type="dxa"/>
            <w:vAlign w:val="bottom"/>
            <w:shd w:val="clear" w:color="auto" w:fill="CCEEFF"/>
          </w:tcPr>
          <w:p>
            <w:pPr>
              <w:spacing w:after="0"/>
              <w:rPr>
                <w:sz w:val="15"/>
                <w:szCs w:val="15"/>
                <w:color w:val="auto"/>
              </w:rPr>
            </w:pPr>
          </w:p>
        </w:tc>
      </w:tr>
      <w:tr>
        <w:trPr>
          <w:trHeight w:val="183"/>
        </w:trPr>
        <w:tc>
          <w:tcPr>
            <w:tcW w:w="3280" w:type="dxa"/>
            <w:vAlign w:val="bottom"/>
          </w:tcPr>
          <w:p>
            <w:pPr>
              <w:spacing w:after="0"/>
              <w:rPr>
                <w:sz w:val="15"/>
                <w:szCs w:val="15"/>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Total provision for income</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280" w:type="dxa"/>
            <w:vAlign w:val="bottom"/>
          </w:tcPr>
          <w:p>
            <w:pPr>
              <w:spacing w:after="0"/>
              <w:rPr>
                <w:sz w:val="16"/>
                <w:szCs w:val="16"/>
                <w:color w:val="auto"/>
              </w:rPr>
            </w:pPr>
          </w:p>
        </w:tc>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70,791</w:t>
            </w:r>
          </w:p>
        </w:tc>
        <w:tc>
          <w:tcPr>
            <w:tcW w:w="9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$ 63,609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56,190</w:t>
            </w:r>
          </w:p>
        </w:tc>
        <w:tc>
          <w:tcPr>
            <w:tcW w:w="20" w:type="dxa"/>
            <w:vAlign w:val="bottom"/>
          </w:tcPr>
          <w:p>
            <w:pPr>
              <w:spacing w:after="0"/>
              <w:rPr>
                <w:sz w:val="16"/>
                <w:szCs w:val="16"/>
                <w:color w:val="auto"/>
              </w:rPr>
            </w:pPr>
          </w:p>
        </w:tc>
      </w:tr>
    </w:tbl>
    <w:p>
      <w:pPr>
        <w:spacing w:after="0" w:line="161" w:lineRule="exact"/>
        <w:rPr>
          <w:sz w:val="20"/>
          <w:szCs w:val="20"/>
          <w:color w:val="auto"/>
        </w:rPr>
      </w:pPr>
    </w:p>
    <w:p>
      <w:pPr>
        <w:ind w:right="320" w:firstLine="180"/>
        <w:spacing w:after="0" w:line="266" w:lineRule="auto"/>
        <w:rPr>
          <w:sz w:val="20"/>
          <w:szCs w:val="20"/>
          <w:color w:val="auto"/>
        </w:rPr>
      </w:pPr>
      <w:r>
        <w:rPr>
          <w:rFonts w:ascii="Arial" w:cs="Arial" w:eastAsia="Arial" w:hAnsi="Arial"/>
          <w:sz w:val="18"/>
          <w:szCs w:val="18"/>
          <w:color w:val="auto"/>
        </w:rPr>
        <w:t>As of October 31, 2007, the company has net operating loss carryforwards of approximately $2,757 in foreign jurisdictions with expiration periods ranging from seven years to unlimited.</w:t>
      </w:r>
    </w:p>
    <w:p>
      <w:pPr>
        <w:ind w:left="180"/>
        <w:spacing w:after="0"/>
        <w:rPr>
          <w:sz w:val="20"/>
          <w:szCs w:val="20"/>
          <w:color w:val="auto"/>
        </w:rPr>
      </w:pPr>
      <w:r>
        <w:rPr>
          <w:rFonts w:ascii="Arial" w:cs="Arial" w:eastAsia="Arial" w:hAnsi="Arial"/>
          <w:sz w:val="18"/>
          <w:szCs w:val="18"/>
          <w:color w:val="auto"/>
        </w:rPr>
        <w:t>Earnings before income taxes were as follows:</w:t>
      </w: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203"/>
        </w:trPr>
        <w:tc>
          <w:tcPr>
            <w:tcW w:w="2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2007</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CCEEFF"/>
            </w:tcBorders>
          </w:tcPr>
          <w:p>
            <w:pPr>
              <w:spacing w:after="0"/>
              <w:rPr>
                <w:sz w:val="17"/>
                <w:szCs w:val="17"/>
                <w:color w:val="auto"/>
              </w:rPr>
            </w:pPr>
          </w:p>
        </w:tc>
      </w:tr>
      <w:tr>
        <w:trPr>
          <w:trHeight w:val="183"/>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before income</w:t>
            </w: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taxes:</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80" w:type="dxa"/>
            <w:vAlign w:val="bottom"/>
          </w:tcPr>
          <w:p>
            <w:pPr>
              <w:ind w:left="140"/>
              <w:spacing w:after="0"/>
              <w:rPr>
                <w:sz w:val="20"/>
                <w:szCs w:val="20"/>
                <w:color w:val="auto"/>
              </w:rPr>
            </w:pPr>
            <w:r>
              <w:rPr>
                <w:rFonts w:ascii="Arial" w:cs="Arial" w:eastAsia="Arial" w:hAnsi="Arial"/>
                <w:sz w:val="14"/>
                <w:szCs w:val="14"/>
                <w:b w:val="1"/>
                <w:bCs w:val="1"/>
                <w:color w:val="auto"/>
              </w:rPr>
              <w:t>U.S.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$ 198,274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$ 180,734</w:t>
            </w:r>
          </w:p>
        </w:tc>
        <w:tc>
          <w:tcPr>
            <w:tcW w:w="760" w:type="dxa"/>
            <w:vAlign w:val="bottom"/>
          </w:tcPr>
          <w:p>
            <w:pPr>
              <w:jc w:val="right"/>
              <w:spacing w:after="0"/>
              <w:rPr>
                <w:sz w:val="20"/>
                <w:szCs w:val="20"/>
                <w:color w:val="auto"/>
              </w:rPr>
            </w:pPr>
            <w:r>
              <w:rPr>
                <w:rFonts w:ascii="Arial" w:cs="Arial" w:eastAsia="Arial" w:hAnsi="Arial"/>
                <w:sz w:val="14"/>
                <w:szCs w:val="14"/>
                <w:color w:val="auto"/>
              </w:rPr>
              <w:t>$ 165,536</w:t>
            </w:r>
          </w:p>
        </w:tc>
        <w:tc>
          <w:tcPr>
            <w:tcW w:w="60" w:type="dxa"/>
            <w:vAlign w:val="bottom"/>
          </w:tcPr>
          <w:p>
            <w:pPr>
              <w:spacing w:after="0"/>
              <w:rPr>
                <w:sz w:val="16"/>
                <w:szCs w:val="16"/>
                <w:color w:val="auto"/>
              </w:rPr>
            </w:pPr>
          </w:p>
        </w:tc>
      </w:tr>
      <w:tr>
        <w:trPr>
          <w:trHeight w:val="189"/>
        </w:trPr>
        <w:tc>
          <w:tcPr>
            <w:tcW w:w="2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Non-U.S.</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14,953</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4,736</w:t>
            </w:r>
          </w:p>
        </w:tc>
        <w:tc>
          <w:tcPr>
            <w:tcW w:w="60" w:type="dxa"/>
            <w:vAlign w:val="bottom"/>
            <w:shd w:val="clear" w:color="auto" w:fill="CCEEFF"/>
          </w:tcPr>
          <w:p>
            <w:pPr>
              <w:spacing w:after="0"/>
              <w:rPr>
                <w:sz w:val="16"/>
                <w:szCs w:val="16"/>
                <w:color w:val="auto"/>
              </w:rPr>
            </w:pPr>
          </w:p>
        </w:tc>
      </w:tr>
      <w:tr>
        <w:trPr>
          <w:trHeight w:val="183"/>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$ 213,227</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$ 192,754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$ 170,272</w:t>
            </w:r>
          </w:p>
        </w:tc>
        <w:tc>
          <w:tcPr>
            <w:tcW w:w="60" w:type="dxa"/>
            <w:vAlign w:val="bottom"/>
          </w:tcPr>
          <w:p>
            <w:pPr>
              <w:spacing w:after="0"/>
              <w:rPr>
                <w:sz w:val="15"/>
                <w:szCs w:val="15"/>
                <w:color w:val="auto"/>
              </w:rPr>
            </w:pPr>
          </w:p>
        </w:tc>
      </w:tr>
    </w:tbl>
    <w:p>
      <w:pPr>
        <w:spacing w:after="0" w:line="175" w:lineRule="exact"/>
        <w:rPr>
          <w:sz w:val="20"/>
          <w:szCs w:val="20"/>
          <w:color w:val="auto"/>
        </w:rPr>
      </w:pPr>
    </w:p>
    <w:p>
      <w:pPr>
        <w:ind w:right="320" w:firstLine="180"/>
        <w:spacing w:after="0" w:line="277" w:lineRule="auto"/>
        <w:rPr>
          <w:sz w:val="20"/>
          <w:szCs w:val="20"/>
          <w:color w:val="auto"/>
        </w:rPr>
      </w:pPr>
      <w:r>
        <w:rPr>
          <w:rFonts w:ascii="Arial" w:cs="Arial" w:eastAsia="Arial" w:hAnsi="Arial"/>
          <w:sz w:val="18"/>
          <w:szCs w:val="18"/>
          <w:color w:val="auto"/>
        </w:rPr>
        <w:t>During the fiscal years ended October 31, 2007, 2006, and 2005, respectively, $13,775, $13,131, and $5,989 was added to stockholders’ equity reflecting the permanent book to tax difference in accounting for tax benefits related to employee stock-based award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152"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October 31</w:t>
            </w: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Borders>
              <w:bottom w:val="single" w:sz="8" w:color="CCEEFF"/>
            </w:tcBorders>
          </w:tcPr>
          <w:p>
            <w:pPr>
              <w:spacing w:after="0"/>
              <w:rPr>
                <w:sz w:val="17"/>
                <w:szCs w:val="17"/>
                <w:color w:val="auto"/>
              </w:rPr>
            </w:pPr>
          </w:p>
        </w:tc>
      </w:tr>
      <w:tr>
        <w:trPr>
          <w:trHeight w:val="183"/>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b w:val="1"/>
                <w:bCs w:val="1"/>
                <w:color w:val="auto"/>
              </w:rPr>
              <w:t>Allowance for doubtful accounts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2,147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1,688</w:t>
            </w:r>
          </w:p>
        </w:tc>
        <w:tc>
          <w:tcPr>
            <w:tcW w:w="80" w:type="dxa"/>
            <w:vAlign w:val="bottom"/>
          </w:tcPr>
          <w:p>
            <w:pPr>
              <w:spacing w:after="0"/>
              <w:rPr>
                <w:sz w:val="16"/>
                <w:szCs w:val="16"/>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Inventory items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1,260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6"/>
                <w:szCs w:val="16"/>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b w:val="1"/>
                <w:bCs w:val="1"/>
                <w:color w:val="auto"/>
              </w:rPr>
              <w:t>Warranty reserves and other accruals</w:t>
            </w:r>
          </w:p>
        </w:tc>
        <w:tc>
          <w:tcPr>
            <w:tcW w:w="28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34,705</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30,053</w:t>
            </w:r>
          </w:p>
        </w:tc>
        <w:tc>
          <w:tcPr>
            <w:tcW w:w="80" w:type="dxa"/>
            <w:vAlign w:val="bottom"/>
          </w:tcPr>
          <w:p>
            <w:pPr>
              <w:spacing w:after="0"/>
              <w:rPr>
                <w:sz w:val="16"/>
                <w:szCs w:val="16"/>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Employee benefits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21,619</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18,885</w:t>
            </w:r>
          </w:p>
        </w:tc>
        <w:tc>
          <w:tcPr>
            <w:tcW w:w="80" w:type="dxa"/>
            <w:vAlign w:val="bottom"/>
            <w:shd w:val="clear" w:color="auto" w:fill="CCEEFF"/>
          </w:tcPr>
          <w:p>
            <w:pPr>
              <w:spacing w:after="0"/>
              <w:rPr>
                <w:sz w:val="16"/>
                <w:szCs w:val="16"/>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b w:val="1"/>
                <w:bCs w:val="1"/>
                <w:color w:val="auto"/>
              </w:rPr>
              <w:t>Depreciation</w:t>
            </w:r>
          </w:p>
        </w:tc>
        <w:tc>
          <w:tcPr>
            <w:tcW w:w="28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4,094</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6"/>
                <w:szCs w:val="16"/>
                <w:color w:val="auto"/>
              </w:rPr>
            </w:pPr>
          </w:p>
        </w:tc>
      </w:tr>
      <w:tr>
        <w:trPr>
          <w:trHeight w:val="189"/>
        </w:trPr>
        <w:tc>
          <w:tcPr>
            <w:tcW w:w="2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1,829</w:t>
            </w:r>
          </w:p>
        </w:tc>
        <w:tc>
          <w:tcPr>
            <w:tcW w:w="1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7,386</w:t>
            </w:r>
          </w:p>
        </w:tc>
        <w:tc>
          <w:tcPr>
            <w:tcW w:w="80" w:type="dxa"/>
            <w:vAlign w:val="bottom"/>
            <w:tcBorders>
              <w:bottom w:val="single" w:sz="8" w:color="auto"/>
            </w:tcBorders>
            <w:shd w:val="clear" w:color="auto" w:fill="CCEEFF"/>
          </w:tcPr>
          <w:p>
            <w:pPr>
              <w:spacing w:after="0"/>
              <w:rPr>
                <w:sz w:val="16"/>
                <w:szCs w:val="16"/>
                <w:color w:val="auto"/>
              </w:rPr>
            </w:pPr>
          </w:p>
        </w:tc>
      </w:tr>
      <w:tr>
        <w:trPr>
          <w:trHeight w:val="183"/>
        </w:trPr>
        <w:tc>
          <w:tcPr>
            <w:tcW w:w="2880" w:type="dxa"/>
            <w:vAlign w:val="bottom"/>
          </w:tcPr>
          <w:p>
            <w:pPr>
              <w:spacing w:after="0"/>
              <w:rPr>
                <w:sz w:val="20"/>
                <w:szCs w:val="20"/>
                <w:color w:val="auto"/>
              </w:rPr>
            </w:pPr>
            <w:r>
              <w:rPr>
                <w:rFonts w:ascii="Arial" w:cs="Arial" w:eastAsia="Arial" w:hAnsi="Arial"/>
                <w:sz w:val="14"/>
                <w:szCs w:val="14"/>
                <w:b w:val="1"/>
                <w:bCs w:val="1"/>
                <w:color w:val="auto"/>
              </w:rPr>
              <w:t>Deferred tax assets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65,654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60,618</w:t>
            </w:r>
          </w:p>
        </w:tc>
        <w:tc>
          <w:tcPr>
            <w:tcW w:w="80" w:type="dxa"/>
            <w:vAlign w:val="bottom"/>
          </w:tcPr>
          <w:p>
            <w:pPr>
              <w:spacing w:after="0"/>
              <w:rPr>
                <w:sz w:val="15"/>
                <w:szCs w:val="15"/>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Valuation allowance</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(2,655)</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(2,910)</w:t>
            </w:r>
          </w:p>
        </w:tc>
      </w:tr>
      <w:tr>
        <w:trPr>
          <w:trHeight w:val="18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62,999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57,708</w:t>
            </w:r>
          </w:p>
        </w:tc>
        <w:tc>
          <w:tcPr>
            <w:tcW w:w="80" w:type="dxa"/>
            <w:vAlign w:val="bottom"/>
          </w:tcPr>
          <w:p>
            <w:pPr>
              <w:spacing w:after="0"/>
              <w:rPr>
                <w:sz w:val="15"/>
                <w:szCs w:val="15"/>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valuation allowance as of October 31, 2007 principally applies to unexpired capital loss carryforwards.</w:t>
      </w:r>
    </w:p>
    <w:p>
      <w:pPr>
        <w:spacing w:after="0" w:line="23"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As of October 31, 2007, the company had approximately $27,022 of accumulated undistributed earnings from subsidiaries outside the United States that are considered to be reinvested indefinitely. No deferred tax liability has been provided for such earnings.</w:t>
      </w:r>
    </w:p>
    <w:p>
      <w:pPr>
        <w:spacing w:after="0" w:line="260" w:lineRule="exact"/>
        <w:rPr>
          <w:sz w:val="20"/>
          <w:szCs w:val="20"/>
          <w:color w:val="auto"/>
        </w:rPr>
      </w:pPr>
    </w:p>
    <w:p>
      <w:pPr>
        <w:ind w:left="720" w:right="7300" w:hanging="712"/>
        <w:spacing w:after="0" w:line="180" w:lineRule="auto"/>
        <w:tabs>
          <w:tab w:leader="none" w:pos="720" w:val="left"/>
        </w:tabs>
        <w:numPr>
          <w:ilvl w:val="0"/>
          <w:numId w:val="82"/>
        </w:numPr>
        <w:rPr>
          <w:rFonts w:ascii="Arial" w:cs="Arial" w:eastAsia="Arial" w:hAnsi="Arial"/>
          <w:sz w:val="40"/>
          <w:szCs w:val="40"/>
          <w:b w:val="1"/>
          <w:bCs w:val="1"/>
          <w:color w:val="4673B6"/>
        </w:rPr>
      </w:pPr>
      <w:r>
        <w:rPr>
          <w:rFonts w:ascii="Arial" w:cs="Arial" w:eastAsia="Arial" w:hAnsi="Arial"/>
          <w:sz w:val="18"/>
          <w:szCs w:val="18"/>
          <w:b w:val="1"/>
          <w:bCs w:val="1"/>
          <w:color w:val="4673B6"/>
        </w:rPr>
        <w:t>STOCK-BASED COMPENSATION PLANS</w:t>
      </w: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Under the company’s stock option plans, certain employees and non-employee directors have been granted options to purchase shares of common stock at prices equal to the fair market value of the company’s common stock on the date the option was granted. A majority of these awards are non-qualified options, and for certain non-officer employees, the options vest after two years from the date of grant and have a five-year contractual term. Other options granted during the first quarter of fiscal 2007 vest one-third each year over a three-year period and have a ten-year contractual term. Compensation expense equal to the grant date fair value is recognized for these awards over the vesting period. The number of unissued shares of common stock available for future grants under the company’s stock-based compensation plans was 527,296 as of October 31, 2007.</w:t>
      </w:r>
    </w:p>
    <w:p>
      <w:pPr>
        <w:spacing w:after="0" w:line="1"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In 1999, the company’s stockholders approved, and in March 2007, the company’s stockholders re-approved, a long-term incentive plan called The Toro Company Performance Share Plan. Under this plan, key employees are granted the right to receive shares of common stock or deferred common stock units, contingent on the achievement of performance goals of the company, which are generally measured over a</w:t>
      </w:r>
    </w:p>
    <w:p>
      <w:pPr>
        <w:sectPr>
          <w:pgSz w:w="11900" w:h="16838" w:orient="portrait"/>
          <w:cols w:equalWidth="0" w:num="1">
            <w:col w:w="11400"/>
          </w:cols>
          <w:pgMar w:left="240" w:top="133" w:right="259" w:bottom="0" w:gutter="0" w:footer="0" w:header="0"/>
        </w:sectPr>
      </w:pPr>
    </w:p>
    <w:bookmarkStart w:id="42" w:name="page43"/>
    <w:bookmarkEnd w:id="42"/>
    <w:p>
      <w:pPr>
        <w:ind w:right="40"/>
        <w:spacing w:after="0" w:line="266" w:lineRule="auto"/>
        <w:rPr>
          <w:sz w:val="20"/>
          <w:szCs w:val="20"/>
          <w:color w:val="auto"/>
        </w:rPr>
      </w:pPr>
      <w:r>
        <w:rPr>
          <w:rFonts w:ascii="Arial" w:cs="Arial" w:eastAsia="Arial" w:hAnsi="Arial"/>
          <w:sz w:val="18"/>
          <w:szCs w:val="18"/>
          <w:color w:val="auto"/>
        </w:rPr>
        <w:t>three-year period. The number of shares of common stock a participant receives will be increased (up to 200 percent of target levels) or reduced (down to zero) based on the level of achievement of performance goals, and vest over a three-year period. Compensation expense is recognized for these awards on a straight-line basis over the vesting period based on the fair value as of the date of grant and the probability of achieving performance goals. The number of unissued shares of common stock available for future grants under the company’s Performance Share Plan was 832,448 as of October 31, 2007.</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activity under the plans previously described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126365</wp:posOffset>
            </wp:positionV>
            <wp:extent cx="29584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4" w:lineRule="exact"/>
        <w:rPr>
          <w:sz w:val="20"/>
          <w:szCs w:val="20"/>
          <w:color w:val="auto"/>
        </w:rPr>
      </w:pPr>
    </w:p>
    <w:tbl>
      <w:tblPr>
        <w:tblLayout w:type="fixed"/>
        <w:tblInd w:w="3340" w:type="dxa"/>
        <w:tblCellMar>
          <w:top w:w="0" w:type="dxa"/>
          <w:left w:w="0" w:type="dxa"/>
          <w:bottom w:w="0" w:type="dxa"/>
          <w:right w:w="0" w:type="dxa"/>
        </w:tblCellMar>
      </w:tblPr>
      <w:tr>
        <w:trPr>
          <w:trHeight w:val="152"/>
        </w:trPr>
        <w:tc>
          <w:tcPr>
            <w:tcW w:w="1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Performance</w:t>
            </w:r>
          </w:p>
        </w:tc>
      </w:tr>
      <w:tr>
        <w:trPr>
          <w:trHeight w:val="189"/>
        </w:trPr>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gridSpan w:val="2"/>
          </w:tcPr>
          <w:p>
            <w:pPr>
              <w:jc w:val="right"/>
              <w:ind w:right="37"/>
              <w:spacing w:after="0"/>
              <w:rPr>
                <w:sz w:val="20"/>
                <w:szCs w:val="20"/>
                <w:color w:val="auto"/>
              </w:rPr>
            </w:pPr>
            <w:r>
              <w:rPr>
                <w:rFonts w:ascii="Arial" w:cs="Arial" w:eastAsia="Arial" w:hAnsi="Arial"/>
                <w:sz w:val="13"/>
                <w:szCs w:val="13"/>
                <w:color w:val="auto"/>
              </w:rPr>
              <w:t>Aggregate</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Shares</w:t>
            </w:r>
          </w:p>
        </w:tc>
      </w:tr>
      <w:tr>
        <w:trPr>
          <w:trHeight w:val="189"/>
        </w:trPr>
        <w:tc>
          <w:tcPr>
            <w:tcW w:w="1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Options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93"/>
              </w:rPr>
              <w:t>Intrinsic</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Potentially</w:t>
            </w:r>
          </w:p>
        </w:tc>
      </w:tr>
      <w:tr>
        <w:trPr>
          <w:trHeight w:val="199"/>
        </w:trPr>
        <w:tc>
          <w:tcPr>
            <w:tcW w:w="1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Outstanding</w:t>
            </w:r>
          </w:p>
        </w:tc>
        <w:tc>
          <w:tcPr>
            <w:tcW w:w="540" w:type="dxa"/>
            <w:vAlign w:val="bottom"/>
          </w:tcPr>
          <w:p>
            <w:pPr>
              <w:jc w:val="right"/>
              <w:spacing w:after="0"/>
              <w:rPr>
                <w:sz w:val="20"/>
                <w:szCs w:val="20"/>
                <w:color w:val="auto"/>
              </w:rPr>
            </w:pPr>
            <w:r>
              <w:rPr>
                <w:rFonts w:ascii="Arial" w:cs="Arial" w:eastAsia="Arial" w:hAnsi="Arial"/>
                <w:sz w:val="13"/>
                <w:szCs w:val="13"/>
                <w:color w:val="auto"/>
              </w:rPr>
              <w:t>Price</w:t>
            </w:r>
            <w:r>
              <w:rPr>
                <w:rFonts w:ascii="Arial" w:cs="Arial" w:eastAsia="Arial" w:hAnsi="Arial"/>
                <w:sz w:val="6"/>
                <w:szCs w:val="6"/>
                <w:color w:val="auto"/>
              </w:rPr>
              <w:t>1</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Life</w:t>
            </w:r>
            <w:r>
              <w:rPr>
                <w:rFonts w:ascii="Arial" w:cs="Arial" w:eastAsia="Arial" w:hAnsi="Arial"/>
                <w:sz w:val="6"/>
                <w:szCs w:val="6"/>
                <w:color w:val="auto"/>
              </w:rPr>
              <w:t>2</w:t>
            </w: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Issuable</w:t>
            </w:r>
          </w:p>
        </w:tc>
      </w:tr>
      <w:tr>
        <w:trPr>
          <w:trHeight w:val="17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Outstanding as of</w:t>
            </w:r>
          </w:p>
        </w:tc>
        <w:tc>
          <w:tcPr>
            <w:tcW w:w="8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November 1,</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5"/>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2006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3,012,899</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$ 21.48</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65,334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580,000</w:t>
            </w:r>
          </w:p>
        </w:tc>
        <w:tc>
          <w:tcPr>
            <w:tcW w:w="80" w:type="dxa"/>
            <w:vAlign w:val="bottom"/>
            <w:shd w:val="clear" w:color="auto" w:fill="CCEEFF"/>
          </w:tcPr>
          <w:p>
            <w:pPr>
              <w:spacing w:after="0"/>
              <w:rPr>
                <w:sz w:val="17"/>
                <w:szCs w:val="17"/>
                <w:color w:val="auto"/>
              </w:rPr>
            </w:pPr>
          </w:p>
        </w:tc>
      </w:tr>
      <w:tr>
        <w:trPr>
          <w:trHeight w:val="181"/>
        </w:trPr>
        <w:tc>
          <w:tcPr>
            <w:tcW w:w="1300" w:type="dxa"/>
            <w:vAlign w:val="bottom"/>
          </w:tcPr>
          <w:p>
            <w:pPr>
              <w:spacing w:after="0"/>
              <w:rPr>
                <w:sz w:val="20"/>
                <w:szCs w:val="20"/>
                <w:color w:val="auto"/>
              </w:rPr>
            </w:pPr>
            <w:r>
              <w:rPr>
                <w:rFonts w:ascii="Arial" w:cs="Arial" w:eastAsia="Arial" w:hAnsi="Arial"/>
                <w:sz w:val="13"/>
                <w:szCs w:val="13"/>
                <w:b w:val="1"/>
                <w:bCs w:val="1"/>
                <w:color w:val="auto"/>
              </w:rPr>
              <w:t>Granted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441,752</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44.88</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127,600</w:t>
            </w:r>
          </w:p>
        </w:tc>
        <w:tc>
          <w:tcPr>
            <w:tcW w:w="80" w:type="dxa"/>
            <w:vAlign w:val="bottom"/>
          </w:tcPr>
          <w:p>
            <w:pPr>
              <w:spacing w:after="0"/>
              <w:rPr>
                <w:sz w:val="15"/>
                <w:szCs w:val="15"/>
                <w:color w:val="auto"/>
              </w:rPr>
            </w:pPr>
          </w:p>
        </w:tc>
      </w:tr>
      <w:tr>
        <w:trPr>
          <w:trHeight w:val="19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Exercised /earned</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(662,334)</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19.58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(205,765)</w:t>
            </w:r>
          </w:p>
        </w:tc>
      </w:tr>
      <w:tr>
        <w:trPr>
          <w:trHeight w:val="183"/>
        </w:trPr>
        <w:tc>
          <w:tcPr>
            <w:tcW w:w="1300" w:type="dxa"/>
            <w:vAlign w:val="bottom"/>
          </w:tcPr>
          <w:p>
            <w:pPr>
              <w:spacing w:after="0"/>
              <w:rPr>
                <w:sz w:val="20"/>
                <w:szCs w:val="20"/>
                <w:color w:val="auto"/>
              </w:rPr>
            </w:pPr>
            <w:r>
              <w:rPr>
                <w:rFonts w:ascii="Arial" w:cs="Arial" w:eastAsia="Arial" w:hAnsi="Arial"/>
                <w:sz w:val="13"/>
                <w:szCs w:val="13"/>
                <w:b w:val="1"/>
                <w:bCs w:val="1"/>
                <w:color w:val="auto"/>
              </w:rPr>
              <w:t>Cancelled/forfeited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(17,985)</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42.34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(75,435)</w:t>
            </w:r>
          </w:p>
        </w:tc>
      </w:tr>
      <w:tr>
        <w:trPr>
          <w:trHeight w:val="17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Outstanding as of</w:t>
            </w:r>
          </w:p>
        </w:tc>
        <w:tc>
          <w:tcPr>
            <w:tcW w:w="8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9"/>
        </w:trPr>
        <w:tc>
          <w:tcPr>
            <w:tcW w:w="1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October 31, 2007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2,774,332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$ 25.52</w:t>
            </w: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83,624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426,400</w:t>
            </w:r>
          </w:p>
        </w:tc>
        <w:tc>
          <w:tcPr>
            <w:tcW w:w="80" w:type="dxa"/>
            <w:vAlign w:val="bottom"/>
            <w:shd w:val="clear" w:color="auto" w:fill="CCEEFF"/>
          </w:tcPr>
          <w:p>
            <w:pPr>
              <w:spacing w:after="0"/>
              <w:rPr>
                <w:sz w:val="17"/>
                <w:szCs w:val="17"/>
                <w:color w:val="auto"/>
              </w:rPr>
            </w:pPr>
          </w:p>
        </w:tc>
      </w:tr>
      <w:tr>
        <w:trPr>
          <w:trHeight w:val="173"/>
        </w:trPr>
        <w:tc>
          <w:tcPr>
            <w:tcW w:w="1300" w:type="dxa"/>
            <w:vAlign w:val="bottom"/>
          </w:tcPr>
          <w:p>
            <w:pPr>
              <w:spacing w:after="0"/>
              <w:rPr>
                <w:sz w:val="20"/>
                <w:szCs w:val="20"/>
                <w:color w:val="auto"/>
              </w:rPr>
            </w:pPr>
            <w:r>
              <w:rPr>
                <w:rFonts w:ascii="Arial" w:cs="Arial" w:eastAsia="Arial" w:hAnsi="Arial"/>
                <w:sz w:val="13"/>
                <w:szCs w:val="13"/>
                <w:b w:val="1"/>
                <w:bCs w:val="1"/>
                <w:color w:val="auto"/>
              </w:rPr>
              <w:t>Exercisable as of</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300" w:type="dxa"/>
            <w:vAlign w:val="bottom"/>
          </w:tcPr>
          <w:p>
            <w:pPr>
              <w:ind w:left="180"/>
              <w:spacing w:after="0"/>
              <w:rPr>
                <w:sz w:val="20"/>
                <w:szCs w:val="20"/>
                <w:color w:val="auto"/>
              </w:rPr>
            </w:pPr>
            <w:r>
              <w:rPr>
                <w:rFonts w:ascii="Arial" w:cs="Arial" w:eastAsia="Arial" w:hAnsi="Arial"/>
                <w:sz w:val="13"/>
                <w:szCs w:val="13"/>
                <w:b w:val="1"/>
                <w:bCs w:val="1"/>
                <w:color w:val="auto"/>
              </w:rPr>
              <w:t>October 31, 2007</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1,930,248</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$ 18.21</w:t>
            </w: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rPr>
              <w:t>3.9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rPr>
              <w:t>72,294</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10160</wp:posOffset>
            </wp:positionV>
            <wp:extent cx="29584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8" w:lineRule="exact"/>
        <w:rPr>
          <w:sz w:val="20"/>
          <w:szCs w:val="20"/>
          <w:color w:val="auto"/>
        </w:rPr>
      </w:pPr>
    </w:p>
    <w:p>
      <w:pPr>
        <w:ind w:left="120" w:hanging="112"/>
        <w:spacing w:after="0"/>
        <w:tabs>
          <w:tab w:leader="none" w:pos="120" w:val="left"/>
        </w:tabs>
        <w:numPr>
          <w:ilvl w:val="0"/>
          <w:numId w:val="83"/>
        </w:numPr>
        <w:rPr>
          <w:rFonts w:ascii="Arial" w:cs="Arial" w:eastAsia="Arial" w:hAnsi="Arial"/>
          <w:sz w:val="14"/>
          <w:szCs w:val="14"/>
          <w:color w:val="auto"/>
          <w:vertAlign w:val="superscript"/>
        </w:rPr>
      </w:pPr>
      <w:r>
        <w:rPr>
          <w:rFonts w:ascii="Arial" w:cs="Arial" w:eastAsia="Arial" w:hAnsi="Arial"/>
          <w:sz w:val="14"/>
          <w:szCs w:val="14"/>
          <w:color w:val="auto"/>
        </w:rPr>
        <w:t>Weighted-average exercise price</w:t>
      </w:r>
    </w:p>
    <w:p>
      <w:pPr>
        <w:spacing w:after="0" w:line="69" w:lineRule="exact"/>
        <w:rPr>
          <w:sz w:val="20"/>
          <w:szCs w:val="20"/>
          <w:color w:val="auto"/>
        </w:rPr>
      </w:pPr>
    </w:p>
    <w:p>
      <w:pPr>
        <w:ind w:left="120" w:hanging="112"/>
        <w:spacing w:after="0"/>
        <w:tabs>
          <w:tab w:leader="none" w:pos="120" w:val="left"/>
        </w:tabs>
        <w:numPr>
          <w:ilvl w:val="0"/>
          <w:numId w:val="84"/>
        </w:numPr>
        <w:rPr>
          <w:rFonts w:ascii="Arial" w:cs="Arial" w:eastAsia="Arial" w:hAnsi="Arial"/>
          <w:sz w:val="14"/>
          <w:szCs w:val="14"/>
          <w:color w:val="auto"/>
          <w:vertAlign w:val="superscript"/>
        </w:rPr>
      </w:pPr>
      <w:r>
        <w:rPr>
          <w:rFonts w:ascii="Arial" w:cs="Arial" w:eastAsia="Arial" w:hAnsi="Arial"/>
          <w:sz w:val="14"/>
          <w:szCs w:val="14"/>
          <w:color w:val="auto"/>
        </w:rPr>
        <w:t>Weighted-average contractual life in years</w:t>
      </w:r>
    </w:p>
    <w:p>
      <w:pPr>
        <w:spacing w:after="0" w:line="158"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Total stock-based compensation expense for these plans was $7,293, $6,269, and $9,145 for the fiscal years ended October 31, 2007, 2006, and 2005, respectively. The total intrinsic value of options (the amount by which the stock price exceeded the strike price of the option on the date of exercise) that were exercised during the fiscal years ended October 31, 2007, 2006, and 2005 was $35,752, $37,469, and $20,674, respectively.</w:t>
      </w:r>
    </w:p>
    <w:p>
      <w:pPr>
        <w:spacing w:after="0" w:line="1"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The table below presents the non-vested options and performance share awards as of October 31, 2007, and changes during the fiscal year ended October 31, 2007:</w:t>
      </w:r>
    </w:p>
    <w:p>
      <w:pPr>
        <w:spacing w:after="0" w:line="124" w:lineRule="exact"/>
        <w:rPr>
          <w:sz w:val="20"/>
          <w:szCs w:val="20"/>
          <w:color w:val="auto"/>
        </w:rPr>
      </w:pPr>
    </w:p>
    <w:tbl>
      <w:tblPr>
        <w:tblLayout w:type="fixed"/>
        <w:tblInd w:w="3400" w:type="dxa"/>
        <w:tblCellMar>
          <w:top w:w="0" w:type="dxa"/>
          <w:left w:w="0" w:type="dxa"/>
          <w:bottom w:w="0" w:type="dxa"/>
          <w:right w:w="0" w:type="dxa"/>
        </w:tblCellMar>
      </w:tblPr>
      <w:tr>
        <w:trPr>
          <w:trHeight w:val="173"/>
        </w:trPr>
        <w:tc>
          <w:tcPr>
            <w:tcW w:w="1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Weighted-</w:t>
            </w:r>
          </w:p>
        </w:tc>
        <w:tc>
          <w:tcPr>
            <w:tcW w:w="9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Weighted-</w:t>
            </w:r>
          </w:p>
        </w:tc>
        <w:tc>
          <w:tcPr>
            <w:tcW w:w="6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Average</w:t>
            </w:r>
          </w:p>
        </w:tc>
        <w:tc>
          <w:tcPr>
            <w:tcW w:w="94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Average</w:t>
            </w:r>
          </w:p>
        </w:tc>
      </w:tr>
      <w:tr>
        <w:trPr>
          <w:trHeight w:val="176"/>
        </w:trPr>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Fair Value</w:t>
            </w:r>
          </w:p>
        </w:tc>
        <w:tc>
          <w:tcPr>
            <w:tcW w:w="94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Fair Value</w:t>
            </w:r>
          </w:p>
        </w:tc>
      </w:tr>
      <w:tr>
        <w:trPr>
          <w:trHeight w:val="176"/>
        </w:trPr>
        <w:tc>
          <w:tcPr>
            <w:tcW w:w="14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Stock</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at date</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Performance</w:t>
            </w:r>
          </w:p>
        </w:tc>
        <w:tc>
          <w:tcPr>
            <w:tcW w:w="26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at date</w:t>
            </w:r>
          </w:p>
        </w:tc>
      </w:tr>
      <w:tr>
        <w:trPr>
          <w:trHeight w:val="185"/>
        </w:trPr>
        <w:tc>
          <w:tcPr>
            <w:tcW w:w="1420" w:type="dxa"/>
            <w:vAlign w:val="bottom"/>
          </w:tcPr>
          <w:p>
            <w:pPr>
              <w:spacing w:after="0"/>
              <w:rPr>
                <w:sz w:val="20"/>
                <w:szCs w:val="20"/>
                <w:color w:val="auto"/>
              </w:rPr>
            </w:pPr>
            <w:r>
              <w:rPr>
                <w:rFonts w:ascii="Arial" w:cs="Arial" w:eastAsia="Arial" w:hAnsi="Arial"/>
                <w:sz w:val="13"/>
                <w:szCs w:val="13"/>
                <w:color w:val="auto"/>
              </w:rPr>
              <w:t>Options and shares</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Options</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of grant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Shares</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of grant</w:t>
            </w:r>
          </w:p>
        </w:tc>
      </w:tr>
      <w:tr>
        <w:trPr>
          <w:trHeight w:val="16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Non-vested as of</w:t>
            </w:r>
          </w:p>
        </w:tc>
        <w:tc>
          <w:tcPr>
            <w:tcW w:w="8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92"/>
        </w:trPr>
        <w:tc>
          <w:tcPr>
            <w:tcW w:w="1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November 1, 2006</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902,127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$ 10.64</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580,000</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6"/>
                <w:szCs w:val="16"/>
                <w:color w:val="auto"/>
              </w:rPr>
            </w:pPr>
          </w:p>
        </w:tc>
      </w:tr>
      <w:tr>
        <w:trPr>
          <w:trHeight w:val="168"/>
        </w:trPr>
        <w:tc>
          <w:tcPr>
            <w:tcW w:w="142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441,752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12.32</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127,600</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44.90</w:t>
            </w:r>
          </w:p>
        </w:tc>
        <w:tc>
          <w:tcPr>
            <w:tcW w:w="60" w:type="dxa"/>
            <w:vAlign w:val="bottom"/>
          </w:tcPr>
          <w:p>
            <w:pPr>
              <w:spacing w:after="0"/>
              <w:rPr>
                <w:sz w:val="14"/>
                <w:szCs w:val="14"/>
                <w:color w:val="auto"/>
              </w:rPr>
            </w:pPr>
          </w:p>
        </w:tc>
      </w:tr>
      <w:tr>
        <w:trPr>
          <w:trHeight w:val="184"/>
        </w:trPr>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Vested/earned</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(481,810)</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10.30</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(205,765)</w:t>
            </w: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w:t>
            </w:r>
          </w:p>
        </w:tc>
        <w:tc>
          <w:tcPr>
            <w:tcW w:w="60" w:type="dxa"/>
            <w:vAlign w:val="bottom"/>
            <w:shd w:val="clear" w:color="auto" w:fill="CCEEFF"/>
          </w:tcPr>
          <w:p>
            <w:pPr>
              <w:spacing w:after="0"/>
              <w:rPr>
                <w:sz w:val="15"/>
                <w:szCs w:val="15"/>
                <w:color w:val="auto"/>
              </w:rPr>
            </w:pPr>
          </w:p>
        </w:tc>
      </w:tr>
      <w:tr>
        <w:trPr>
          <w:trHeight w:val="169"/>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Forfeited/cancelled</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(17,985)</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8.62</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(75,435)</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24.16</w:t>
            </w:r>
          </w:p>
        </w:tc>
        <w:tc>
          <w:tcPr>
            <w:tcW w:w="60" w:type="dxa"/>
            <w:vAlign w:val="bottom"/>
            <w:tcBorders>
              <w:bottom w:val="single" w:sz="8" w:color="CCEEFF"/>
            </w:tcBorders>
          </w:tcPr>
          <w:p>
            <w:pPr>
              <w:spacing w:after="0"/>
              <w:rPr>
                <w:sz w:val="14"/>
                <w:szCs w:val="14"/>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Non-vested as of</w:t>
            </w: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8"/>
        </w:trPr>
        <w:tc>
          <w:tcPr>
            <w:tcW w:w="1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October 31, 2007</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844,084</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$ 11.76</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426,400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40.81</w:t>
            </w:r>
          </w:p>
        </w:tc>
        <w:tc>
          <w:tcPr>
            <w:tcW w:w="60" w:type="dxa"/>
            <w:vAlign w:val="bottom"/>
            <w:shd w:val="clear" w:color="auto" w:fill="CCEEFF"/>
          </w:tcPr>
          <w:p>
            <w:pPr>
              <w:spacing w:after="0"/>
              <w:rPr>
                <w:sz w:val="15"/>
                <w:szCs w:val="15"/>
                <w:color w:val="auto"/>
              </w:rPr>
            </w:pPr>
          </w:p>
        </w:tc>
      </w:tr>
    </w:tbl>
    <w:p>
      <w:pPr>
        <w:spacing w:after="0" w:line="161" w:lineRule="exact"/>
        <w:rPr>
          <w:sz w:val="20"/>
          <w:szCs w:val="20"/>
          <w:color w:val="auto"/>
        </w:rPr>
      </w:pPr>
    </w:p>
    <w:p>
      <w:pPr>
        <w:ind w:right="180" w:firstLine="180"/>
        <w:spacing w:after="0" w:line="270" w:lineRule="auto"/>
        <w:rPr>
          <w:sz w:val="20"/>
          <w:szCs w:val="20"/>
          <w:color w:val="auto"/>
        </w:rPr>
      </w:pPr>
      <w:r>
        <w:rPr>
          <w:rFonts w:ascii="Arial" w:cs="Arial" w:eastAsia="Arial" w:hAnsi="Arial"/>
          <w:sz w:val="18"/>
          <w:szCs w:val="18"/>
          <w:color w:val="auto"/>
        </w:rPr>
        <w:t>As of October 31, 2007, there was $2,332 of total unrecognized compensation expense related to non-vested stock option compensation arrangements granted under the company’s plans. That cost is expected to be recognized over a weighted-average period of 1.3 years. As of October 31, 2007, there was $2,298 of total unrecognized compensation expense related to non-vested performance share compensation arrangements granted under the company’s plan. That cost is expected to be recognized over a weighted-average period of 1.8 years.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stock price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valuation assumptions of stock-based compensation in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143510</wp:posOffset>
            </wp:positionV>
            <wp:extent cx="28213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35" w:lineRule="exact"/>
        <w:rPr>
          <w:sz w:val="20"/>
          <w:szCs w:val="20"/>
          <w:color w:val="auto"/>
        </w:rPr>
      </w:pPr>
    </w:p>
    <w:tbl>
      <w:tblPr>
        <w:tblLayout w:type="fixed"/>
        <w:tblInd w:w="3420" w:type="dxa"/>
        <w:tblCellMar>
          <w:top w:w="0" w:type="dxa"/>
          <w:left w:w="0" w:type="dxa"/>
          <w:bottom w:w="0" w:type="dxa"/>
          <w:right w:w="0" w:type="dxa"/>
        </w:tblCellMar>
      </w:tblPr>
      <w:tr>
        <w:trPr>
          <w:trHeight w:val="154"/>
        </w:trPr>
        <w:tc>
          <w:tcPr>
            <w:tcW w:w="1780" w:type="dxa"/>
            <w:vAlign w:val="bottom"/>
          </w:tcPr>
          <w:p>
            <w:pPr>
              <w:spacing w:after="0"/>
              <w:rPr>
                <w:sz w:val="20"/>
                <w:szCs w:val="20"/>
                <w:color w:val="auto"/>
              </w:rPr>
            </w:pPr>
            <w:r>
              <w:rPr>
                <w:rFonts w:ascii="Arial" w:cs="Arial" w:eastAsia="Arial" w:hAnsi="Arial"/>
                <w:sz w:val="12"/>
                <w:szCs w:val="12"/>
                <w:color w:val="auto"/>
              </w:rPr>
              <w:t>Fiscal years ended October 31</w:t>
            </w:r>
          </w:p>
        </w:tc>
        <w:tc>
          <w:tcPr>
            <w:tcW w:w="1000" w:type="dxa"/>
            <w:vAlign w:val="bottom"/>
          </w:tcPr>
          <w:p>
            <w:pPr>
              <w:jc w:val="right"/>
              <w:ind w:right="122"/>
              <w:spacing w:after="0"/>
              <w:rPr>
                <w:sz w:val="20"/>
                <w:szCs w:val="20"/>
                <w:color w:val="auto"/>
              </w:rPr>
            </w:pPr>
            <w:r>
              <w:rPr>
                <w:rFonts w:ascii="Arial" w:cs="Arial" w:eastAsia="Arial" w:hAnsi="Arial"/>
                <w:sz w:val="12"/>
                <w:szCs w:val="12"/>
                <w:b w:val="1"/>
                <w:bCs w:val="1"/>
                <w:color w:val="auto"/>
              </w:rPr>
              <w:t>2007</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2006</w:t>
            </w:r>
          </w:p>
        </w:tc>
        <w:tc>
          <w:tcPr>
            <w:tcW w:w="740" w:type="dxa"/>
            <w:vAlign w:val="bottom"/>
          </w:tcPr>
          <w:p>
            <w:pPr>
              <w:jc w:val="right"/>
              <w:spacing w:after="0"/>
              <w:rPr>
                <w:sz w:val="20"/>
                <w:szCs w:val="20"/>
                <w:color w:val="auto"/>
              </w:rPr>
            </w:pPr>
            <w:r>
              <w:rPr>
                <w:rFonts w:ascii="Arial" w:cs="Arial" w:eastAsia="Arial" w:hAnsi="Arial"/>
                <w:sz w:val="12"/>
                <w:szCs w:val="12"/>
                <w:color w:val="auto"/>
              </w:rPr>
              <w:t>2005</w:t>
            </w:r>
          </w:p>
        </w:tc>
        <w:tc>
          <w:tcPr>
            <w:tcW w:w="140" w:type="dxa"/>
            <w:vAlign w:val="bottom"/>
          </w:tcPr>
          <w:p>
            <w:pPr>
              <w:spacing w:after="0"/>
              <w:rPr>
                <w:sz w:val="13"/>
                <w:szCs w:val="13"/>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63"/>
        </w:trPr>
        <w:tc>
          <w:tcPr>
            <w:tcW w:w="1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 option valuation</w:t>
            </w: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assumptions:</w:t>
            </w:r>
          </w:p>
        </w:tc>
        <w:tc>
          <w:tcPr>
            <w:tcW w:w="10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69"/>
        </w:trPr>
        <w:tc>
          <w:tcPr>
            <w:tcW w:w="1780" w:type="dxa"/>
            <w:vAlign w:val="bottom"/>
          </w:tcPr>
          <w:p>
            <w:pPr>
              <w:spacing w:after="0"/>
              <w:rPr>
                <w:sz w:val="20"/>
                <w:szCs w:val="20"/>
                <w:color w:val="auto"/>
              </w:rPr>
            </w:pPr>
            <w:r>
              <w:rPr>
                <w:rFonts w:ascii="Arial" w:cs="Arial" w:eastAsia="Arial" w:hAnsi="Arial"/>
                <w:sz w:val="12"/>
                <w:szCs w:val="12"/>
                <w:b w:val="1"/>
                <w:bCs w:val="1"/>
                <w:color w:val="auto"/>
              </w:rPr>
              <w:t>Expected life of option in</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1780" w:type="dxa"/>
            <w:vAlign w:val="bottom"/>
          </w:tcPr>
          <w:p>
            <w:pPr>
              <w:ind w:left="140"/>
              <w:spacing w:after="0"/>
              <w:rPr>
                <w:sz w:val="20"/>
                <w:szCs w:val="20"/>
                <w:color w:val="auto"/>
              </w:rPr>
            </w:pPr>
            <w:r>
              <w:rPr>
                <w:rFonts w:ascii="Arial" w:cs="Arial" w:eastAsia="Arial" w:hAnsi="Arial"/>
                <w:sz w:val="12"/>
                <w:szCs w:val="12"/>
                <w:b w:val="1"/>
                <w:bCs w:val="1"/>
                <w:color w:val="auto"/>
              </w:rPr>
              <w:t>years</w:t>
            </w:r>
          </w:p>
        </w:tc>
        <w:tc>
          <w:tcPr>
            <w:tcW w:w="1000" w:type="dxa"/>
            <w:vAlign w:val="bottom"/>
          </w:tcPr>
          <w:p>
            <w:pPr>
              <w:jc w:val="right"/>
              <w:ind w:right="122"/>
              <w:spacing w:after="0"/>
              <w:rPr>
                <w:sz w:val="20"/>
                <w:szCs w:val="20"/>
                <w:color w:val="auto"/>
              </w:rPr>
            </w:pPr>
            <w:r>
              <w:rPr>
                <w:rFonts w:ascii="Arial" w:cs="Arial" w:eastAsia="Arial" w:hAnsi="Arial"/>
                <w:sz w:val="12"/>
                <w:szCs w:val="12"/>
                <w:b w:val="1"/>
                <w:bCs w:val="1"/>
                <w:color w:val="auto"/>
              </w:rPr>
              <w:t>3 – 6.5</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2.5 – 6.5</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3 – 7</w:t>
            </w:r>
          </w:p>
        </w:tc>
      </w:tr>
      <w:tr>
        <w:trPr>
          <w:trHeight w:val="20"/>
        </w:trPr>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Expected volatility</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25.0% – 26.4%</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25.3% – 27.0</w:t>
            </w:r>
            <w:r>
              <w:rPr>
                <w:rFonts w:ascii="Arial" w:cs="Arial" w:eastAsia="Arial" w:hAnsi="Arial"/>
                <w:sz w:val="12"/>
                <w:szCs w:val="12"/>
                <w:b w:val="1"/>
                <w:bCs w:val="1"/>
                <w:color w:val="auto"/>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25.9% – 30.4</w:t>
            </w:r>
            <w:r>
              <w:rPr>
                <w:rFonts w:ascii="Arial" w:cs="Arial" w:eastAsia="Arial" w:hAnsi="Arial"/>
                <w:sz w:val="12"/>
                <w:szCs w:val="12"/>
                <w:b w:val="1"/>
                <w:bCs w:val="1"/>
                <w:color w:val="auto"/>
              </w:rPr>
              <w:t>%</w:t>
            </w:r>
          </w:p>
        </w:tc>
      </w:tr>
      <w:tr>
        <w:trPr>
          <w:trHeight w:val="169"/>
        </w:trPr>
        <w:tc>
          <w:tcPr>
            <w:tcW w:w="1780" w:type="dxa"/>
            <w:vAlign w:val="bottom"/>
          </w:tcPr>
          <w:p>
            <w:pPr>
              <w:spacing w:after="0"/>
              <w:rPr>
                <w:sz w:val="20"/>
                <w:szCs w:val="20"/>
                <w:color w:val="auto"/>
              </w:rPr>
            </w:pPr>
            <w:r>
              <w:rPr>
                <w:rFonts w:ascii="Arial" w:cs="Arial" w:eastAsia="Arial" w:hAnsi="Arial"/>
                <w:sz w:val="12"/>
                <w:szCs w:val="12"/>
                <w:b w:val="1"/>
                <w:bCs w:val="1"/>
                <w:color w:val="auto"/>
              </w:rPr>
              <w:t>Weighted-average volatility</w:t>
            </w:r>
          </w:p>
        </w:tc>
        <w:tc>
          <w:tcPr>
            <w:tcW w:w="1000" w:type="dxa"/>
            <w:vAlign w:val="bottom"/>
          </w:tcPr>
          <w:p>
            <w:pPr>
              <w:jc w:val="right"/>
              <w:ind w:right="2"/>
              <w:spacing w:after="0"/>
              <w:rPr>
                <w:sz w:val="20"/>
                <w:szCs w:val="20"/>
                <w:color w:val="auto"/>
              </w:rPr>
            </w:pPr>
            <w:r>
              <w:rPr>
                <w:rFonts w:ascii="Arial" w:cs="Arial" w:eastAsia="Arial" w:hAnsi="Arial"/>
                <w:sz w:val="12"/>
                <w:szCs w:val="12"/>
                <w:b w:val="1"/>
                <w:bCs w:val="1"/>
                <w:color w:val="auto"/>
              </w:rPr>
              <w:t>25.65%</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26.13%</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28.04%</w:t>
            </w:r>
          </w:p>
        </w:tc>
      </w:tr>
      <w:tr>
        <w:trPr>
          <w:trHeight w:val="20"/>
        </w:trPr>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Risk-free interest rate</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4.42% – 4.53%</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4.40% – 4.53</w:t>
            </w:r>
            <w:r>
              <w:rPr>
                <w:rFonts w:ascii="Arial" w:cs="Arial" w:eastAsia="Arial" w:hAnsi="Arial"/>
                <w:sz w:val="12"/>
                <w:szCs w:val="12"/>
                <w:b w:val="1"/>
                <w:bCs w:val="1"/>
                <w:color w:val="auto"/>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3.22% – 4.04</w:t>
            </w:r>
            <w:r>
              <w:rPr>
                <w:rFonts w:ascii="Arial" w:cs="Arial" w:eastAsia="Arial" w:hAnsi="Arial"/>
                <w:sz w:val="12"/>
                <w:szCs w:val="12"/>
                <w:b w:val="1"/>
                <w:bCs w:val="1"/>
                <w:color w:val="auto"/>
              </w:rPr>
              <w:t>%</w:t>
            </w:r>
          </w:p>
        </w:tc>
      </w:tr>
      <w:tr>
        <w:trPr>
          <w:trHeight w:val="169"/>
        </w:trPr>
        <w:tc>
          <w:tcPr>
            <w:tcW w:w="1780" w:type="dxa"/>
            <w:vAlign w:val="bottom"/>
          </w:tcPr>
          <w:p>
            <w:pPr>
              <w:spacing w:after="0"/>
              <w:rPr>
                <w:sz w:val="20"/>
                <w:szCs w:val="20"/>
                <w:color w:val="auto"/>
              </w:rPr>
            </w:pPr>
            <w:r>
              <w:rPr>
                <w:rFonts w:ascii="Arial" w:cs="Arial" w:eastAsia="Arial" w:hAnsi="Arial"/>
                <w:sz w:val="12"/>
                <w:szCs w:val="12"/>
                <w:b w:val="1"/>
                <w:bCs w:val="1"/>
                <w:color w:val="auto"/>
              </w:rPr>
              <w:t>Expected dividend yield</w:t>
            </w:r>
          </w:p>
        </w:tc>
        <w:tc>
          <w:tcPr>
            <w:tcW w:w="1000" w:type="dxa"/>
            <w:vAlign w:val="bottom"/>
          </w:tcPr>
          <w:p>
            <w:pPr>
              <w:jc w:val="right"/>
              <w:ind w:right="2"/>
              <w:spacing w:after="0"/>
              <w:rPr>
                <w:sz w:val="20"/>
                <w:szCs w:val="20"/>
                <w:color w:val="auto"/>
              </w:rPr>
            </w:pPr>
            <w:r>
              <w:rPr>
                <w:rFonts w:ascii="Arial" w:cs="Arial" w:eastAsia="Arial" w:hAnsi="Arial"/>
                <w:sz w:val="12"/>
                <w:szCs w:val="12"/>
                <w:b w:val="1"/>
                <w:bCs w:val="1"/>
                <w:color w:val="auto"/>
              </w:rPr>
              <w:t>0.78% – 0.90%</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0.65% – 0.70</w:t>
            </w:r>
            <w:r>
              <w:rPr>
                <w:rFonts w:ascii="Arial" w:cs="Arial" w:eastAsia="Arial" w:hAnsi="Arial"/>
                <w:sz w:val="12"/>
                <w:szCs w:val="12"/>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0.18% – 0.25</w:t>
            </w:r>
            <w:r>
              <w:rPr>
                <w:rFonts w:ascii="Arial" w:cs="Arial" w:eastAsia="Arial" w:hAnsi="Arial"/>
                <w:sz w:val="12"/>
                <w:szCs w:val="12"/>
                <w:b w:val="1"/>
                <w:bCs w:val="1"/>
                <w:color w:val="auto"/>
              </w:rPr>
              <w:t>%</w:t>
            </w:r>
          </w:p>
        </w:tc>
      </w:tr>
      <w:tr>
        <w:trPr>
          <w:trHeight w:val="20"/>
        </w:trPr>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dividend</w:t>
            </w: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9"/>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yield</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0.84%</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0.67%</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0.22%</w:t>
            </w:r>
          </w:p>
        </w:tc>
      </w:tr>
      <w:tr>
        <w:trPr>
          <w:trHeight w:val="163"/>
        </w:trPr>
        <w:tc>
          <w:tcPr>
            <w:tcW w:w="17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Grant date weighted-average</w:t>
            </w:r>
          </w:p>
        </w:tc>
        <w:tc>
          <w:tcPr>
            <w:tcW w:w="10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1780" w:type="dxa"/>
            <w:vAlign w:val="bottom"/>
          </w:tcPr>
          <w:p>
            <w:pPr>
              <w:ind w:left="140"/>
              <w:spacing w:after="0"/>
              <w:rPr>
                <w:sz w:val="20"/>
                <w:szCs w:val="20"/>
                <w:color w:val="auto"/>
              </w:rPr>
            </w:pPr>
            <w:r>
              <w:rPr>
                <w:rFonts w:ascii="Arial" w:cs="Arial" w:eastAsia="Arial" w:hAnsi="Arial"/>
                <w:sz w:val="12"/>
                <w:szCs w:val="12"/>
                <w:b w:val="1"/>
                <w:bCs w:val="1"/>
                <w:color w:val="auto"/>
              </w:rPr>
              <w:t>fair value of stock options</w:t>
            </w:r>
          </w:p>
        </w:tc>
        <w:tc>
          <w:tcPr>
            <w:tcW w:w="1000" w:type="dxa"/>
            <w:vAlign w:val="bottom"/>
          </w:tcPr>
          <w:p>
            <w:pPr>
              <w:jc w:val="right"/>
              <w:ind w:right="122"/>
              <w:spacing w:after="0"/>
              <w:rPr>
                <w:sz w:val="20"/>
                <w:szCs w:val="20"/>
                <w:color w:val="auto"/>
              </w:rPr>
            </w:pPr>
            <w:r>
              <w:rPr>
                <w:rFonts w:ascii="Arial" w:cs="Arial" w:eastAsia="Arial" w:hAnsi="Arial"/>
                <w:sz w:val="12"/>
                <w:szCs w:val="12"/>
                <w:b w:val="1"/>
                <w:bCs w:val="1"/>
                <w:color w:val="auto"/>
              </w:rPr>
              <w:t>$12.32</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$10.94</w:t>
            </w:r>
          </w:p>
        </w:tc>
        <w:tc>
          <w:tcPr>
            <w:tcW w:w="740" w:type="dxa"/>
            <w:vAlign w:val="bottom"/>
          </w:tcPr>
          <w:p>
            <w:pPr>
              <w:jc w:val="right"/>
              <w:spacing w:after="0"/>
              <w:rPr>
                <w:sz w:val="20"/>
                <w:szCs w:val="20"/>
                <w:color w:val="auto"/>
              </w:rPr>
            </w:pPr>
            <w:r>
              <w:rPr>
                <w:rFonts w:ascii="Arial" w:cs="Arial" w:eastAsia="Arial" w:hAnsi="Arial"/>
                <w:sz w:val="12"/>
                <w:szCs w:val="12"/>
                <w:color w:val="auto"/>
              </w:rPr>
              <w:t>$11.14</w:t>
            </w:r>
          </w:p>
        </w:tc>
        <w:tc>
          <w:tcPr>
            <w:tcW w:w="140" w:type="dxa"/>
            <w:vAlign w:val="bottom"/>
          </w:tcPr>
          <w:p>
            <w:pPr>
              <w:spacing w:after="0"/>
              <w:rPr>
                <w:sz w:val="16"/>
                <w:szCs w:val="16"/>
                <w:color w:val="auto"/>
              </w:rPr>
            </w:pPr>
          </w:p>
        </w:tc>
      </w:tr>
      <w:tr>
        <w:trPr>
          <w:trHeight w:val="20"/>
        </w:trPr>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Performance share grant date</w:t>
            </w: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9"/>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fair value</w:t>
            </w:r>
          </w:p>
        </w:tc>
        <w:tc>
          <w:tcPr>
            <w:tcW w:w="10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b w:val="1"/>
                <w:bCs w:val="1"/>
                <w:color w:val="auto"/>
              </w:rPr>
              <w:t>$44.90</w:t>
            </w:r>
          </w:p>
        </w:tc>
        <w:tc>
          <w:tcPr>
            <w:tcW w:w="9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$41.44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$37.02</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152" w:right="239" w:bottom="0" w:gutter="0" w:footer="0" w:header="0"/>
        </w:sectPr>
      </w:pPr>
    </w:p>
    <w:bookmarkStart w:id="43" w:name="page44"/>
    <w:bookmarkEnd w:id="43"/>
    <w:p>
      <w:pPr>
        <w:spacing w:after="0" w:line="19" w:lineRule="exact"/>
        <w:rPr>
          <w:sz w:val="20"/>
          <w:szCs w:val="20"/>
          <w:color w:val="auto"/>
        </w:rPr>
      </w:pPr>
    </w:p>
    <w:p>
      <w:pPr>
        <w:ind w:firstLine="180"/>
        <w:spacing w:after="0" w:line="268" w:lineRule="auto"/>
        <w:rPr>
          <w:sz w:val="20"/>
          <w:szCs w:val="20"/>
          <w:color w:val="auto"/>
        </w:rPr>
      </w:pPr>
      <w:r>
        <w:rPr>
          <w:rFonts w:ascii="Arial" w:cs="Arial" w:eastAsia="Arial" w:hAnsi="Arial"/>
          <w:sz w:val="18"/>
          <w:szCs w:val="18"/>
          <w:color w:val="auto"/>
        </w:rPr>
        <w:t>On July 31, 1995, the company issued 68,968 shares of restricted stock and 68,968 performance units to its former Chief Executive Officer under the terms of The Toro Company Chief Executive Officer Succession Incentive Award Agreement, which was approved by the company’s stockholders in 1994. The value of each performance unit was equal to the fair market value of a share of common stock. The restricted stock and performance units were to vest based upon achievement of specified succession planning goals. For each of fiscal 2000 and 1999, 10,480 shares and 10,480 performance units vested. During fiscal 2005, the remaining 48,908 restricted shares and 48,908 performance units vested due to the completion of the succession planning goals. Compensation expense related to this plan was $372 and $167 for the fiscal years ended October 31, 2006 and 2005,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10</w:t>
      </w:r>
      <w:r>
        <w:rPr>
          <w:rFonts w:ascii="Arial" w:cs="Arial" w:eastAsia="Arial" w:hAnsi="Arial"/>
          <w:sz w:val="21"/>
          <w:szCs w:val="21"/>
          <w:b w:val="1"/>
          <w:bCs w:val="1"/>
          <w:color w:val="4673B6"/>
        </w:rPr>
        <w:t>EMPLOYEE RETIREMENT PLANS</w:t>
      </w:r>
    </w:p>
    <w:p>
      <w:pPr>
        <w:spacing w:after="0" w:line="19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$17,170, $15,150, and $14,780 for the fiscal years ended October 31, 2007, 2006, and 2005, respectively.</w:t>
      </w:r>
    </w:p>
    <w:p>
      <w:pPr>
        <w:spacing w:after="0" w:line="1" w:lineRule="exact"/>
        <w:rPr>
          <w:sz w:val="20"/>
          <w:szCs w:val="20"/>
          <w:color w:val="auto"/>
        </w:rPr>
      </w:pPr>
    </w:p>
    <w:p>
      <w:pPr>
        <w:ind w:right="160" w:firstLine="180"/>
        <w:spacing w:after="0" w:line="266" w:lineRule="auto"/>
        <w:rPr>
          <w:sz w:val="20"/>
          <w:szCs w:val="20"/>
          <w:color w:val="auto"/>
        </w:rPr>
      </w:pPr>
      <w:r>
        <w:rPr>
          <w:rFonts w:ascii="Arial" w:cs="Arial" w:eastAsia="Arial" w:hAnsi="Arial"/>
          <w:sz w:val="18"/>
          <w:szCs w:val="18"/>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The company uses fiscal year end as the measurement date for this plan.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Reconciliation of the funded status of this plan is as follows: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Projected Benefit Obligation</w:t>
            </w: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Beginning obligations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8,914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9,172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Service cost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w:t>
            </w:r>
          </w:p>
        </w:tc>
        <w:tc>
          <w:tcPr>
            <w:tcW w:w="1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Interest cost</w:t>
            </w:r>
          </w:p>
        </w:tc>
        <w:tc>
          <w:tcPr>
            <w:tcW w:w="180" w:type="dxa"/>
            <w:vAlign w:val="bottom"/>
          </w:tcPr>
          <w:p>
            <w:pPr>
              <w:spacing w:after="0"/>
              <w:rPr>
                <w:sz w:val="15"/>
                <w:szCs w:val="15"/>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495</w:t>
            </w:r>
          </w:p>
        </w:tc>
        <w:tc>
          <w:tcPr>
            <w:tcW w:w="1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Actuarial loss (gain)</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129</w:t>
            </w:r>
          </w:p>
        </w:tc>
        <w:tc>
          <w:tcPr>
            <w:tcW w:w="16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2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Benefits paid</w:t>
            </w:r>
          </w:p>
        </w:tc>
        <w:tc>
          <w:tcPr>
            <w:tcW w:w="1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(654)</w:t>
            </w:r>
          </w:p>
        </w:tc>
        <w:tc>
          <w:tcPr>
            <w:tcW w:w="16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(523)</w:t>
            </w:r>
          </w:p>
        </w:tc>
        <w:tc>
          <w:tcPr>
            <w:tcW w:w="20" w:type="dxa"/>
            <w:vAlign w:val="bottom"/>
          </w:tcPr>
          <w:p>
            <w:pPr>
              <w:spacing w:after="0"/>
              <w:rPr>
                <w:sz w:val="15"/>
                <w:szCs w:val="15"/>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Ending obligations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9,262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8,914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Funded Status of Plan</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(9,262)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(8,914)</w:t>
            </w:r>
          </w:p>
        </w:tc>
        <w:tc>
          <w:tcPr>
            <w:tcW w:w="2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Unrecognized prior service credit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N/A</w:t>
            </w:r>
          </w:p>
        </w:tc>
        <w:tc>
          <w:tcPr>
            <w:tcW w:w="16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20" w:type="dxa"/>
            <w:vAlign w:val="bottom"/>
          </w:tcPr>
          <w:p>
            <w:pPr>
              <w:spacing w:after="0"/>
              <w:rPr>
                <w:sz w:val="15"/>
                <w:szCs w:val="15"/>
                <w:color w:val="auto"/>
              </w:rPr>
            </w:pPr>
          </w:p>
        </w:tc>
      </w:tr>
      <w:tr>
        <w:trPr>
          <w:trHeight w:val="176"/>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Unrecognized actuarial loss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N/A</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4,247</w:t>
            </w:r>
          </w:p>
        </w:tc>
        <w:tc>
          <w:tcPr>
            <w:tcW w:w="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amount recognized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(6,261</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4"/>
                <w:szCs w:val="14"/>
                <w:color w:val="auto"/>
              </w:rPr>
            </w:pPr>
          </w:p>
        </w:tc>
      </w:tr>
      <w:tr>
        <w:trPr>
          <w:trHeight w:val="372"/>
        </w:trPr>
        <w:tc>
          <w:tcPr>
            <w:tcW w:w="6320" w:type="dxa"/>
            <w:vAlign w:val="bottom"/>
            <w:gridSpan w:val="3"/>
          </w:tcPr>
          <w:p>
            <w:pPr>
              <w:spacing w:after="0"/>
              <w:rPr>
                <w:sz w:val="20"/>
                <w:szCs w:val="20"/>
                <w:color w:val="auto"/>
              </w:rPr>
            </w:pPr>
            <w:r>
              <w:rPr>
                <w:rFonts w:ascii="Arial" w:cs="Arial" w:eastAsia="Arial" w:hAnsi="Arial"/>
                <w:sz w:val="18"/>
                <w:szCs w:val="18"/>
                <w:color w:val="auto"/>
              </w:rPr>
              <w:t>Assumptions used in calculations are:</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3320" w:type="dxa"/>
            <w:vAlign w:val="bottom"/>
            <w:gridSpan w:val="2"/>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6320" w:type="dxa"/>
            <w:vAlign w:val="bottom"/>
            <w:gridSpan w:val="3"/>
          </w:tcPr>
          <w:p>
            <w:pPr>
              <w:ind w:left="3300"/>
              <w:spacing w:after="0"/>
              <w:rPr>
                <w:sz w:val="20"/>
                <w:szCs w:val="20"/>
                <w:color w:val="auto"/>
              </w:rPr>
            </w:pPr>
            <w:r>
              <w:rPr>
                <w:rFonts w:ascii="Arial" w:cs="Arial" w:eastAsia="Arial" w:hAnsi="Arial"/>
                <w:sz w:val="14"/>
                <w:szCs w:val="14"/>
                <w:color w:val="auto"/>
              </w:rPr>
              <w:t>Fiscal years ended October 31</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Discount rate used to determine year end</w:t>
            </w: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9"/>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obligation</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20" w:type="dxa"/>
            <w:vAlign w:val="bottom"/>
            <w:shd w:val="clear" w:color="auto" w:fill="CCEEFF"/>
          </w:tcPr>
          <w:p>
            <w:pPr>
              <w:spacing w:after="0"/>
              <w:rPr>
                <w:sz w:val="16"/>
                <w:szCs w:val="16"/>
                <w:color w:val="auto"/>
              </w:rPr>
            </w:pPr>
          </w:p>
        </w:tc>
      </w:tr>
      <w:tr>
        <w:trPr>
          <w:trHeight w:val="189"/>
        </w:trPr>
        <w:tc>
          <w:tcPr>
            <w:tcW w:w="6320" w:type="dxa"/>
            <w:vAlign w:val="bottom"/>
            <w:gridSpan w:val="3"/>
          </w:tcPr>
          <w:p>
            <w:pPr>
              <w:ind w:left="3300"/>
              <w:spacing w:after="0"/>
              <w:rPr>
                <w:sz w:val="20"/>
                <w:szCs w:val="20"/>
                <w:color w:val="auto"/>
              </w:rPr>
            </w:pPr>
            <w:r>
              <w:rPr>
                <w:rFonts w:ascii="Arial" w:cs="Arial" w:eastAsia="Arial" w:hAnsi="Arial"/>
                <w:sz w:val="14"/>
                <w:szCs w:val="14"/>
                <w:b w:val="1"/>
                <w:bCs w:val="1"/>
                <w:color w:val="auto"/>
              </w:rPr>
              <w:t>Discount rate used to determine fiscal year</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ind w:left="160"/>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6"/>
                <w:szCs w:val="16"/>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5.75%</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5.75%</w:t>
            </w:r>
          </w:p>
        </w:tc>
        <w:tc>
          <w:tcPr>
            <w:tcW w:w="20" w:type="dxa"/>
            <w:vAlign w:val="bottom"/>
          </w:tcPr>
          <w:p>
            <w:pPr>
              <w:spacing w:after="0"/>
              <w:rPr>
                <w:sz w:val="16"/>
                <w:szCs w:val="16"/>
                <w:color w:val="auto"/>
              </w:rPr>
            </w:pPr>
          </w:p>
        </w:tc>
      </w:tr>
      <w:tr>
        <w:trPr>
          <w:trHeight w:val="203"/>
        </w:trPr>
        <w:tc>
          <w:tcPr>
            <w:tcW w:w="3320" w:type="dxa"/>
            <w:vAlign w:val="bottom"/>
            <w:gridSpan w:val="2"/>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increase in cost of benefits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40" w:firstLine="180"/>
        <w:spacing w:after="0" w:line="266" w:lineRule="auto"/>
        <w:rPr>
          <w:sz w:val="20"/>
          <w:szCs w:val="20"/>
          <w:color w:val="auto"/>
        </w:rPr>
      </w:pPr>
      <w:r>
        <w:rPr>
          <w:rFonts w:ascii="Arial" w:cs="Arial" w:eastAsia="Arial" w:hAnsi="Arial"/>
          <w:sz w:val="18"/>
          <w:szCs w:val="18"/>
          <w:color w:val="auto"/>
        </w:rPr>
        <w:t>The annual increase in cost of postretirement benefits is assumed to decrease gradually in future years, reaching an ultimate rate of 5 percent in fiscal 2015.</w:t>
      </w:r>
    </w:p>
    <w:p>
      <w:pPr>
        <w:ind w:left="180"/>
        <w:spacing w:after="0"/>
        <w:rPr>
          <w:sz w:val="20"/>
          <w:szCs w:val="20"/>
          <w:color w:val="auto"/>
        </w:rPr>
      </w:pPr>
      <w:r>
        <w:rPr>
          <w:rFonts w:ascii="Arial" w:cs="Arial" w:eastAsia="Arial" w:hAnsi="Arial"/>
          <w:sz w:val="18"/>
          <w:szCs w:val="18"/>
          <w:color w:val="auto"/>
        </w:rPr>
        <w:t>Components of net benefit cost each fiscal year are as follows:</w:t>
      </w:r>
    </w:p>
    <w:p>
      <w:pPr>
        <w:spacing w:after="0" w:line="166"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6"/>
              </w:rPr>
              <w:t>2006</w:t>
            </w:r>
          </w:p>
        </w:tc>
        <w:tc>
          <w:tcPr>
            <w:tcW w:w="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7"/>
                <w:szCs w:val="17"/>
                <w:color w:val="auto"/>
              </w:rPr>
            </w:pPr>
          </w:p>
        </w:tc>
      </w:tr>
      <w:tr>
        <w:trPr>
          <w:trHeight w:val="183"/>
        </w:trPr>
        <w:tc>
          <w:tcPr>
            <w:tcW w:w="2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Service cost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$ 378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5"/>
                <w:szCs w:val="15"/>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b w:val="1"/>
                <w:bCs w:val="1"/>
                <w:color w:val="auto"/>
              </w:rPr>
              <w:t>Interest cost</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495</w:t>
            </w:r>
          </w:p>
        </w:tc>
        <w:tc>
          <w:tcPr>
            <w:tcW w:w="18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6"/>
                <w:szCs w:val="16"/>
                <w:color w:val="auto"/>
              </w:rPr>
            </w:pPr>
          </w:p>
        </w:tc>
      </w:tr>
      <w:tr>
        <w:trPr>
          <w:trHeight w:val="189"/>
        </w:trPr>
        <w:tc>
          <w:tcPr>
            <w:tcW w:w="2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service credit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(194)</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(193)</w:t>
            </w:r>
          </w:p>
        </w:tc>
      </w:tr>
      <w:tr>
        <w:trPr>
          <w:trHeight w:val="18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 of losses</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217</w:t>
            </w: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80" w:type="dxa"/>
            <w:vAlign w:val="bottom"/>
            <w:tcBorders>
              <w:bottom w:val="single" w:sz="8" w:color="CCEEFF"/>
            </w:tcBorders>
          </w:tcPr>
          <w:p>
            <w:pPr>
              <w:spacing w:after="0"/>
              <w:rPr>
                <w:sz w:val="16"/>
                <w:szCs w:val="16"/>
                <w:color w:val="auto"/>
              </w:rPr>
            </w:pPr>
          </w:p>
        </w:tc>
      </w:tr>
      <w:tr>
        <w:trPr>
          <w:trHeight w:val="183"/>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expense</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$ 896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80" w:type="dxa"/>
            <w:vAlign w:val="bottom"/>
            <w:shd w:val="clear" w:color="auto" w:fill="CCEEFF"/>
          </w:tcPr>
          <w:p>
            <w:pPr>
              <w:spacing w:after="0"/>
              <w:rPr>
                <w:sz w:val="15"/>
                <w:szCs w:val="15"/>
                <w:color w:val="auto"/>
              </w:rPr>
            </w:pPr>
          </w:p>
        </w:tc>
      </w:tr>
    </w:tbl>
    <w:p>
      <w:pPr>
        <w:spacing w:after="0" w:line="161" w:lineRule="exact"/>
        <w:rPr>
          <w:sz w:val="20"/>
          <w:szCs w:val="20"/>
          <w:color w:val="auto"/>
        </w:rPr>
      </w:pPr>
    </w:p>
    <w:p>
      <w:pPr>
        <w:jc w:val="both"/>
        <w:ind w:right="120" w:firstLine="180"/>
        <w:spacing w:after="0" w:line="270" w:lineRule="auto"/>
        <w:rPr>
          <w:sz w:val="20"/>
          <w:szCs w:val="20"/>
          <w:color w:val="auto"/>
        </w:rPr>
      </w:pPr>
      <w:r>
        <w:rPr>
          <w:rFonts w:ascii="Arial" w:cs="Arial" w:eastAsia="Arial" w:hAnsi="Arial"/>
          <w:sz w:val="18"/>
          <w:szCs w:val="18"/>
          <w:color w:val="auto"/>
        </w:rPr>
        <w:t>Assumed trend rates for health-care costs have an important effect on the amounts reported for postretirement benefit plans. If the health-care cost trend rate increased by 1 percentage point, the postretirement benefit obligation as of October 31, 2007 would increase by $671. If the health-care cost trend rate decreased by 1 percentage point, the postretirement benefit obligation as of October 31, 2007 would decrease by $604.</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The benefits expected to be paid by the company in each fiscal year from fiscal years 2008-2012 are $629, $835, $992, $1,082, and $1,023, respectively. The aggregate benefits expected to be paid by the company in the five fiscal years from 2013-2017 are $4,860. The expected benefits to be paid are based on the same assumptions used to measure the company’s benefit obligation as of October 31, 2007.</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U.S. and the United Kingdom. The measurement date for these plans was July 31, 2007. The projected benefit obligation of these plans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October 31, 2007 and 2006 was $31,445 and $31,127, respectively, and the net liability amount recognized in the consolidated balance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sheets as of October 31, 2007 and 2006 was $3,145 and $3,144, respectively. The accumulated benefit obligation of these plans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 and 2006 was $27,270 and $26,882, respectively. The fair value of the plan assets as of October 31, 2007 and 2006 was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$28,584 and $24,586, respectively. The net expense recognized in the consolidated financial statements for these plans was $954, $846,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$606 for the fiscal years ended October 31, 2007, 2006, and 2005, respectively.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Amounts recognized in accumulated other comprehensive loss as of October 31, 2007,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126365</wp:posOffset>
            </wp:positionV>
            <wp:extent cx="28898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4" w:lineRule="exact"/>
        <w:rPr>
          <w:sz w:val="20"/>
          <w:szCs w:val="20"/>
          <w:color w:val="auto"/>
        </w:rPr>
      </w:pPr>
    </w:p>
    <w:tbl>
      <w:tblPr>
        <w:tblLayout w:type="fixed"/>
        <w:tblInd w:w="3400" w:type="dxa"/>
        <w:tblCellMar>
          <w:top w:w="0" w:type="dxa"/>
          <w:left w:w="0" w:type="dxa"/>
          <w:bottom w:w="0" w:type="dxa"/>
          <w:right w:w="0" w:type="dxa"/>
        </w:tblCellMar>
      </w:tblPr>
      <w:tr>
        <w:trPr>
          <w:trHeight w:val="152"/>
        </w:trPr>
        <w:tc>
          <w:tcPr>
            <w:tcW w:w="1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Other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1900" w:type="dxa"/>
            <w:vAlign w:val="bottom"/>
          </w:tcPr>
          <w:p>
            <w:pPr>
              <w:spacing w:after="0"/>
              <w:rPr>
                <w:sz w:val="16"/>
                <w:szCs w:val="16"/>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Defined Benefit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Postretirement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900" w:type="dxa"/>
            <w:vAlign w:val="bottom"/>
          </w:tcPr>
          <w:p>
            <w:pPr>
              <w:spacing w:after="0"/>
              <w:rPr>
                <w:sz w:val="17"/>
                <w:szCs w:val="17"/>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Pension Plans</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Benefit Plans</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r>
      <w:tr>
        <w:trPr>
          <w:trHeight w:val="189"/>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Net actuarial (gain) loss</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(554)</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$ 2,620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$ 2,066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1"/>
        </w:trPr>
        <w:tc>
          <w:tcPr>
            <w:tcW w:w="1900" w:type="dxa"/>
            <w:vAlign w:val="bottom"/>
          </w:tcPr>
          <w:p>
            <w:pPr>
              <w:spacing w:after="0"/>
              <w:rPr>
                <w:sz w:val="20"/>
                <w:szCs w:val="20"/>
                <w:color w:val="auto"/>
              </w:rPr>
            </w:pPr>
            <w:r>
              <w:rPr>
                <w:rFonts w:ascii="Arial" w:cs="Arial" w:eastAsia="Arial" w:hAnsi="Arial"/>
                <w:sz w:val="13"/>
                <w:szCs w:val="13"/>
                <w:b w:val="1"/>
                <w:bCs w:val="1"/>
                <w:color w:val="auto"/>
              </w:rPr>
              <w:t>Net prior service cost (credit)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484</w:t>
            </w:r>
          </w:p>
        </w:tc>
        <w:tc>
          <w:tcPr>
            <w:tcW w:w="980" w:type="dxa"/>
            <w:vAlign w:val="bottom"/>
          </w:tcPr>
          <w:p>
            <w:pPr>
              <w:jc w:val="right"/>
              <w:spacing w:after="0"/>
              <w:rPr>
                <w:sz w:val="20"/>
                <w:szCs w:val="20"/>
                <w:color w:val="auto"/>
              </w:rPr>
            </w:pPr>
            <w:r>
              <w:rPr>
                <w:rFonts w:ascii="Arial" w:cs="Arial" w:eastAsia="Arial" w:hAnsi="Arial"/>
                <w:sz w:val="13"/>
                <w:szCs w:val="13"/>
                <w:color w:val="auto"/>
              </w:rPr>
              <w:t>(882)</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(398)</w:t>
            </w:r>
          </w:p>
        </w:tc>
      </w:tr>
      <w:tr>
        <w:trPr>
          <w:trHeight w:val="22"/>
        </w:trPr>
        <w:tc>
          <w:tcPr>
            <w:tcW w:w="19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360"/>
          </w:cols>
          <w:pgMar w:left="240" w:top="152" w:right="299" w:bottom="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97155</wp:posOffset>
            </wp:positionV>
            <wp:extent cx="294132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41320" cy="248920"/>
                    </a:xfrm>
                    <a:prstGeom prst="rect">
                      <a:avLst/>
                    </a:prstGeom>
                    <a:noFill/>
                  </pic:spPr>
                </pic:pic>
              </a:graphicData>
            </a:graphic>
          </wp:anchor>
        </w:drawing>
      </w:r>
    </w:p>
    <w:tbl>
      <w:tblPr>
        <w:tblLayout w:type="fixed"/>
        <w:tblInd w:w="3400" w:type="dxa"/>
        <w:tblCellMar>
          <w:top w:w="0" w:type="dxa"/>
          <w:left w:w="0" w:type="dxa"/>
          <w:bottom w:w="0" w:type="dxa"/>
          <w:right w:w="0" w:type="dxa"/>
        </w:tblCellMar>
      </w:tblPr>
      <w:tr>
        <w:trPr>
          <w:trHeight w:val="168"/>
        </w:trPr>
        <w:tc>
          <w:tcPr>
            <w:tcW w:w="1980" w:type="dxa"/>
            <w:vAlign w:val="bottom"/>
          </w:tcPr>
          <w:p>
            <w:pPr>
              <w:spacing w:after="0"/>
              <w:rPr>
                <w:sz w:val="20"/>
                <w:szCs w:val="20"/>
                <w:color w:val="auto"/>
              </w:rPr>
            </w:pPr>
            <w:r>
              <w:rPr>
                <w:rFonts w:ascii="Arial" w:cs="Arial" w:eastAsia="Arial" w:hAnsi="Arial"/>
                <w:sz w:val="13"/>
                <w:szCs w:val="13"/>
                <w:b w:val="1"/>
                <w:bCs w:val="1"/>
                <w:color w:val="auto"/>
              </w:rPr>
              <w:t>Accumulated other</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9"/>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comprehensive loss</w:t>
            </w:r>
          </w:p>
        </w:tc>
        <w:tc>
          <w:tcPr>
            <w:tcW w:w="1260" w:type="dxa"/>
            <w:vAlign w:val="bottom"/>
          </w:tcPr>
          <w:p>
            <w:pPr>
              <w:jc w:val="right"/>
              <w:ind w:right="197"/>
              <w:spacing w:after="0"/>
              <w:rPr>
                <w:sz w:val="20"/>
                <w:szCs w:val="20"/>
                <w:color w:val="auto"/>
              </w:rPr>
            </w:pPr>
            <w:r>
              <w:rPr>
                <w:rFonts w:ascii="Arial" w:cs="Arial" w:eastAsia="Arial" w:hAnsi="Arial"/>
                <w:sz w:val="13"/>
                <w:szCs w:val="13"/>
                <w:b w:val="1"/>
                <w:bCs w:val="1"/>
                <w:color w:val="auto"/>
              </w:rPr>
              <w:t>$  (70)</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$ 1,738</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$ 1,668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10160</wp:posOffset>
            </wp:positionV>
            <wp:extent cx="2889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accumulated other comprehensive loss for the fiscal year ended October 31, 2007, consisted of:</w:t>
      </w:r>
    </w:p>
    <w:p>
      <w:pPr>
        <w:spacing w:after="0" w:line="179" w:lineRule="exact"/>
        <w:rPr>
          <w:sz w:val="20"/>
          <w:szCs w:val="20"/>
          <w:color w:val="auto"/>
        </w:rPr>
      </w:pPr>
    </w:p>
    <w:tbl>
      <w:tblPr>
        <w:tblLayout w:type="fixed"/>
        <w:tblInd w:w="34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Other</w:t>
            </w: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00" w:type="dxa"/>
            <w:vAlign w:val="bottom"/>
            <w:gridSpan w:val="2"/>
          </w:tcPr>
          <w:p>
            <w:pPr>
              <w:jc w:val="right"/>
              <w:ind w:right="57"/>
              <w:spacing w:after="0"/>
              <w:rPr>
                <w:sz w:val="20"/>
                <w:szCs w:val="20"/>
                <w:color w:val="auto"/>
              </w:rPr>
            </w:pPr>
            <w:r>
              <w:rPr>
                <w:rFonts w:ascii="Arial" w:cs="Arial" w:eastAsia="Arial" w:hAnsi="Arial"/>
                <w:sz w:val="13"/>
                <w:szCs w:val="13"/>
                <w:color w:val="auto"/>
              </w:rPr>
              <w:t>Defined Benefit</w:t>
            </w: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Postretirement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00" w:type="dxa"/>
            <w:vAlign w:val="bottom"/>
            <w:gridSpan w:val="2"/>
          </w:tcPr>
          <w:p>
            <w:pPr>
              <w:jc w:val="right"/>
              <w:ind w:right="57"/>
              <w:spacing w:after="0"/>
              <w:rPr>
                <w:sz w:val="20"/>
                <w:szCs w:val="20"/>
                <w:color w:val="auto"/>
              </w:rPr>
            </w:pPr>
            <w:r>
              <w:rPr>
                <w:rFonts w:ascii="Arial" w:cs="Arial" w:eastAsia="Arial" w:hAnsi="Arial"/>
                <w:sz w:val="13"/>
                <w:szCs w:val="13"/>
                <w:color w:val="auto"/>
              </w:rPr>
              <w:t>Pension Plans</w:t>
            </w: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Benefit Plans</w:t>
            </w:r>
          </w:p>
        </w:tc>
        <w:tc>
          <w:tcPr>
            <w:tcW w:w="14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r>
      <w:tr>
        <w:trPr>
          <w:trHeight w:val="167"/>
        </w:trPr>
        <w:tc>
          <w:tcPr>
            <w:tcW w:w="2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Incremental effect of adopting</w:t>
            </w: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SFAS No. 158</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(1,484)</w:t>
            </w: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3"/>
                <w:szCs w:val="13"/>
                <w:b w:val="1"/>
                <w:bCs w:val="1"/>
                <w:color w:val="auto"/>
              </w:rPr>
              <w:t>Net loss</w:t>
            </w:r>
          </w:p>
        </w:tc>
        <w:tc>
          <w:tcPr>
            <w:tcW w:w="740" w:type="dxa"/>
            <w:vAlign w:val="bottom"/>
          </w:tcPr>
          <w:p>
            <w:pPr>
              <w:spacing w:after="0"/>
              <w:rPr>
                <w:sz w:val="14"/>
                <w:szCs w:val="1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295</w:t>
            </w:r>
          </w:p>
        </w:tc>
        <w:tc>
          <w:tcPr>
            <w:tcW w:w="5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(1,738)</w:t>
            </w:r>
          </w:p>
        </w:tc>
        <w:tc>
          <w:tcPr>
            <w:tcW w:w="1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(1,443)</w:t>
            </w:r>
          </w:p>
        </w:tc>
      </w:tr>
      <w:tr>
        <w:trPr>
          <w:trHeight w:val="164"/>
        </w:trPr>
        <w:tc>
          <w:tcPr>
            <w:tcW w:w="2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Total recognized in other</w:t>
            </w: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comprehensive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(41)</w:t>
            </w:r>
          </w:p>
        </w:tc>
      </w:tr>
      <w:tr>
        <w:trPr>
          <w:trHeight w:val="167"/>
        </w:trPr>
        <w:tc>
          <w:tcPr>
            <w:tcW w:w="20" w:type="dxa"/>
            <w:vAlign w:val="bottom"/>
          </w:tcPr>
          <w:p>
            <w:pPr>
              <w:spacing w:after="0"/>
              <w:rPr>
                <w:sz w:val="14"/>
                <w:szCs w:val="1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Total recognized in net</w:t>
            </w:r>
          </w:p>
        </w:tc>
        <w:tc>
          <w:tcPr>
            <w:tcW w:w="7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900" w:type="dxa"/>
            <w:vAlign w:val="bottom"/>
          </w:tcPr>
          <w:p>
            <w:pPr>
              <w:ind w:left="160"/>
              <w:spacing w:after="0"/>
              <w:rPr>
                <w:sz w:val="20"/>
                <w:szCs w:val="20"/>
                <w:color w:val="auto"/>
              </w:rPr>
            </w:pPr>
            <w:r>
              <w:rPr>
                <w:rFonts w:ascii="Arial" w:cs="Arial" w:eastAsia="Arial" w:hAnsi="Arial"/>
                <w:sz w:val="13"/>
                <w:szCs w:val="13"/>
                <w:b w:val="1"/>
                <w:bCs w:val="1"/>
                <w:color w:val="auto"/>
              </w:rPr>
              <w:t>periodic benefit cost and</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900" w:type="dxa"/>
            <w:vAlign w:val="bottom"/>
          </w:tcPr>
          <w:p>
            <w:pPr>
              <w:ind w:left="160"/>
              <w:spacing w:after="0"/>
              <w:rPr>
                <w:sz w:val="20"/>
                <w:szCs w:val="20"/>
                <w:color w:val="auto"/>
              </w:rPr>
            </w:pPr>
            <w:r>
              <w:rPr>
                <w:rFonts w:ascii="Arial" w:cs="Arial" w:eastAsia="Arial" w:hAnsi="Arial"/>
                <w:sz w:val="13"/>
                <w:szCs w:val="13"/>
                <w:b w:val="1"/>
                <w:bCs w:val="1"/>
                <w:color w:val="auto"/>
              </w:rPr>
              <w:t>other comprehensive</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913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1,809</w:t>
            </w:r>
          </w:p>
        </w:tc>
        <w:tc>
          <w:tcPr>
            <w:tcW w:w="100" w:type="dxa"/>
            <w:vAlign w:val="bottom"/>
          </w:tcPr>
          <w:p>
            <w:pPr>
              <w:spacing w:after="0"/>
              <w:rPr>
                <w:sz w:val="16"/>
                <w:szCs w:val="16"/>
                <w:color w:val="auto"/>
              </w:rPr>
            </w:pPr>
          </w:p>
        </w:tc>
      </w:tr>
    </w:tbl>
    <w:p>
      <w:pPr>
        <w:spacing w:after="0" w:line="148"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The following amounts are included in accumulated other comprehensive loss as of October 31, 2007 and are expected to be recognized as components of net periodic benefit cost during fiscal 2008.</w:t>
      </w:r>
    </w:p>
    <w:p>
      <w:pPr>
        <w:spacing w:after="0" w:line="165" w:lineRule="exact"/>
        <w:rPr>
          <w:sz w:val="20"/>
          <w:szCs w:val="20"/>
          <w:color w:val="auto"/>
        </w:rPr>
      </w:pPr>
    </w:p>
    <w:tbl>
      <w:tblPr>
        <w:tblLayout w:type="fixed"/>
        <w:tblInd w:w="3400" w:type="dxa"/>
        <w:tblCellMar>
          <w:top w:w="0" w:type="dxa"/>
          <w:left w:w="0" w:type="dxa"/>
          <w:bottom w:w="0" w:type="dxa"/>
          <w:right w:w="0" w:type="dxa"/>
        </w:tblCellMar>
      </w:tblPr>
      <w:tr>
        <w:trPr>
          <w:trHeight w:val="173"/>
        </w:trPr>
        <w:tc>
          <w:tcPr>
            <w:tcW w:w="19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Other</w:t>
            </w: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Defined Benefit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Postretirement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19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Pension Plans</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Benefit Plans</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r>
      <w:tr>
        <w:trPr>
          <w:trHeight w:val="189"/>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Net loss</w:t>
            </w:r>
          </w:p>
        </w:tc>
        <w:tc>
          <w:tcPr>
            <w:tcW w:w="11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$ 25</w:t>
            </w:r>
          </w:p>
        </w:tc>
        <w:tc>
          <w:tcPr>
            <w:tcW w:w="10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213</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  238</w:t>
            </w:r>
          </w:p>
        </w:tc>
        <w:tc>
          <w:tcPr>
            <w:tcW w:w="80" w:type="dxa"/>
            <w:vAlign w:val="bottom"/>
            <w:tcBorders>
              <w:top w:val="single" w:sz="8" w:color="CCEEFF"/>
            </w:tcBorders>
            <w:shd w:val="clear" w:color="auto" w:fill="CCEEFF"/>
          </w:tcPr>
          <w:p>
            <w:pPr>
              <w:spacing w:after="0"/>
              <w:rPr>
                <w:sz w:val="16"/>
                <w:szCs w:val="16"/>
                <w:color w:val="auto"/>
              </w:rPr>
            </w:pPr>
          </w:p>
        </w:tc>
      </w:tr>
      <w:tr>
        <w:trPr>
          <w:trHeight w:val="172"/>
        </w:trPr>
        <w:tc>
          <w:tcPr>
            <w:tcW w:w="1920" w:type="dxa"/>
            <w:vAlign w:val="bottom"/>
          </w:tcPr>
          <w:p>
            <w:pPr>
              <w:spacing w:after="0"/>
              <w:rPr>
                <w:sz w:val="20"/>
                <w:szCs w:val="20"/>
                <w:color w:val="auto"/>
              </w:rPr>
            </w:pPr>
            <w:r>
              <w:rPr>
                <w:rFonts w:ascii="Arial" w:cs="Arial" w:eastAsia="Arial" w:hAnsi="Arial"/>
                <w:sz w:val="13"/>
                <w:szCs w:val="13"/>
                <w:b w:val="1"/>
                <w:bCs w:val="1"/>
                <w:color w:val="auto"/>
              </w:rPr>
              <w:t>Net prior service cost (credit)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78</w:t>
            </w:r>
          </w:p>
        </w:tc>
        <w:tc>
          <w:tcPr>
            <w:tcW w:w="1040" w:type="dxa"/>
            <w:vAlign w:val="bottom"/>
          </w:tcPr>
          <w:p>
            <w:pPr>
              <w:jc w:val="right"/>
              <w:spacing w:after="0"/>
              <w:rPr>
                <w:sz w:val="20"/>
                <w:szCs w:val="20"/>
                <w:color w:val="auto"/>
              </w:rPr>
            </w:pPr>
            <w:r>
              <w:rPr>
                <w:rFonts w:ascii="Arial" w:cs="Arial" w:eastAsia="Arial" w:hAnsi="Arial"/>
                <w:sz w:val="13"/>
                <w:szCs w:val="13"/>
                <w:color w:val="auto"/>
              </w:rPr>
              <w:t>(193)</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(115)</w:t>
            </w:r>
          </w:p>
        </w:tc>
      </w:tr>
      <w:tr>
        <w:trPr>
          <w:trHeight w:val="20"/>
        </w:trPr>
        <w:tc>
          <w:tcPr>
            <w:tcW w:w="19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20" w:firstLine="180"/>
        <w:spacing w:after="0" w:line="270" w:lineRule="auto"/>
        <w:rPr>
          <w:sz w:val="20"/>
          <w:szCs w:val="20"/>
          <w:color w:val="auto"/>
        </w:rPr>
      </w:pPr>
      <w:r>
        <w:rPr>
          <w:rFonts w:ascii="Arial" w:cs="Arial" w:eastAsia="Arial" w:hAnsi="Arial"/>
          <w:sz w:val="18"/>
          <w:szCs w:val="18"/>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$17,935. The fair value of the investment in the deferred compensation plans as of October 31, 2007 was $19,734, which reduced the company’s deferred compensation liability reflected in accrued liabilities on the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11</w:t>
      </w:r>
      <w:r>
        <w:rPr>
          <w:rFonts w:ascii="Arial" w:cs="Arial" w:eastAsia="Arial" w:hAnsi="Arial"/>
          <w:sz w:val="21"/>
          <w:szCs w:val="21"/>
          <w:b w:val="1"/>
          <w:bCs w:val="1"/>
          <w:color w:val="4673B6"/>
        </w:rPr>
        <w:t>SEGMENT DATA</w:t>
      </w:r>
    </w:p>
    <w:p>
      <w:pPr>
        <w:spacing w:after="0" w:line="20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Toro develops, manufactures, and sells a wide variety of turf maintenance equipment and services, turf and micro irrigation systems, landscaping equipment, and residential yard products used in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Reportable Segments</w:t>
      </w:r>
    </w:p>
    <w:p>
      <w:pPr>
        <w:spacing w:after="0" w:line="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micro-irrigation drip tape and hose products. These products are sold mainly through a network of distributors and dealers to professional users engaged in maintaining golf courses, sports fields, municipal properties, agricultural fields, and residential and commercial landscapes, as well as directly to government customers and rental companies.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firstLine="180"/>
        <w:spacing w:after="0" w:line="266" w:lineRule="auto"/>
        <w:rPr>
          <w:sz w:val="20"/>
          <w:szCs w:val="20"/>
          <w:color w:val="auto"/>
        </w:rPr>
      </w:pPr>
      <w:r>
        <w:rPr>
          <w:rFonts w:ascii="Arial" w:cs="Arial" w:eastAsia="Arial" w:hAnsi="Arial"/>
          <w:sz w:val="18"/>
          <w:szCs w:val="18"/>
          <w:color w:val="auto"/>
        </w:rPr>
        <w:t>The residential segment consists of walk power mowers, riding mowers, snow throwers, homeowner-installed irrigation systems, replacement parts, and electrical home solutions products, including trimmers, blowers, and blower-vacuums. These products are sold to homeowners through a network of distributors and dealers, and through a broad array of hardware retailers, home centers, and mass retailers, as well as over the Internet.</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The other segment consists of company-owned domestic distributor operations,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1"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The other segment operating loss includes earnings (loss) from domestic wholly owned distribution company operations,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143510</wp:posOffset>
            </wp:positionV>
            <wp:extent cx="2864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41" w:lineRule="exact"/>
        <w:rPr>
          <w:sz w:val="20"/>
          <w:szCs w:val="20"/>
          <w:color w:val="auto"/>
        </w:rPr>
      </w:pPr>
    </w:p>
    <w:tbl>
      <w:tblPr>
        <w:tblLayout w:type="fixed"/>
        <w:tblInd w:w="3440" w:type="dxa"/>
        <w:tblCellMar>
          <w:top w:w="0" w:type="dxa"/>
          <w:left w:w="0" w:type="dxa"/>
          <w:bottom w:w="0" w:type="dxa"/>
          <w:right w:w="0" w:type="dxa"/>
        </w:tblCellMar>
      </w:tblPr>
      <w:tr>
        <w:trPr>
          <w:trHeight w:val="152"/>
        </w:trPr>
        <w:tc>
          <w:tcPr>
            <w:tcW w:w="1140" w:type="dxa"/>
            <w:vAlign w:val="bottom"/>
          </w:tcPr>
          <w:p>
            <w:pPr>
              <w:spacing w:after="0"/>
              <w:rPr>
                <w:sz w:val="20"/>
                <w:szCs w:val="20"/>
                <w:color w:val="auto"/>
              </w:rPr>
            </w:pPr>
            <w:r>
              <w:rPr>
                <w:rFonts w:ascii="Arial" w:cs="Arial" w:eastAsia="Arial" w:hAnsi="Arial"/>
                <w:sz w:val="13"/>
                <w:szCs w:val="13"/>
                <w:color w:val="auto"/>
              </w:rPr>
              <w:t>Fiscal years ended</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3"/>
                <w:szCs w:val="13"/>
                <w:color w:val="auto"/>
              </w:rPr>
              <w:t>October 31</w:t>
            </w:r>
          </w:p>
        </w:tc>
        <w:tc>
          <w:tcPr>
            <w:tcW w:w="940" w:type="dxa"/>
            <w:vAlign w:val="bottom"/>
          </w:tcPr>
          <w:p>
            <w:pPr>
              <w:jc w:val="right"/>
              <w:spacing w:after="0"/>
              <w:rPr>
                <w:sz w:val="20"/>
                <w:szCs w:val="20"/>
                <w:color w:val="auto"/>
              </w:rPr>
            </w:pPr>
            <w:r>
              <w:rPr>
                <w:rFonts w:ascii="Arial" w:cs="Arial" w:eastAsia="Arial" w:hAnsi="Arial"/>
                <w:sz w:val="13"/>
                <w:szCs w:val="13"/>
                <w:color w:val="auto"/>
              </w:rPr>
              <w:t>Professional</w:t>
            </w:r>
          </w:p>
        </w:tc>
        <w:tc>
          <w:tcPr>
            <w:tcW w:w="780" w:type="dxa"/>
            <w:vAlign w:val="bottom"/>
          </w:tcPr>
          <w:p>
            <w:pPr>
              <w:jc w:val="right"/>
              <w:spacing w:after="0"/>
              <w:rPr>
                <w:sz w:val="20"/>
                <w:szCs w:val="20"/>
                <w:color w:val="auto"/>
              </w:rPr>
            </w:pPr>
            <w:r>
              <w:rPr>
                <w:rFonts w:ascii="Arial" w:cs="Arial" w:eastAsia="Arial" w:hAnsi="Arial"/>
                <w:sz w:val="13"/>
                <w:szCs w:val="13"/>
                <w:color w:val="auto"/>
              </w:rPr>
              <w:t>Residential</w:t>
            </w:r>
          </w:p>
        </w:tc>
        <w:tc>
          <w:tcPr>
            <w:tcW w:w="180" w:type="dxa"/>
            <w:vAlign w:val="bottom"/>
          </w:tcPr>
          <w:p>
            <w:pPr>
              <w:spacing w:after="0"/>
              <w:rPr>
                <w:sz w:val="17"/>
                <w:szCs w:val="17"/>
                <w:color w:val="auto"/>
              </w:rPr>
            </w:pPr>
          </w:p>
        </w:tc>
        <w:tc>
          <w:tcPr>
            <w:tcW w:w="640" w:type="dxa"/>
            <w:vAlign w:val="bottom"/>
          </w:tcPr>
          <w:p>
            <w:pPr>
              <w:jc w:val="right"/>
              <w:ind w:right="31"/>
              <w:spacing w:after="0"/>
              <w:rPr>
                <w:sz w:val="20"/>
                <w:szCs w:val="20"/>
                <w:color w:val="auto"/>
              </w:rPr>
            </w:pPr>
            <w:r>
              <w:rPr>
                <w:rFonts w:ascii="Arial" w:cs="Arial" w:eastAsia="Arial" w:hAnsi="Arial"/>
                <w:sz w:val="13"/>
                <w:szCs w:val="13"/>
                <w:color w:val="auto"/>
              </w:rPr>
              <w:t>Other</w:t>
            </w:r>
          </w:p>
        </w:tc>
        <w:tc>
          <w:tcPr>
            <w:tcW w:w="880" w:type="dxa"/>
            <w:vAlign w:val="bottom"/>
            <w:gridSpan w:val="2"/>
          </w:tcPr>
          <w:p>
            <w:pPr>
              <w:ind w:left="540"/>
              <w:spacing w:after="0"/>
              <w:rPr>
                <w:sz w:val="20"/>
                <w:szCs w:val="20"/>
                <w:color w:val="auto"/>
              </w:rPr>
            </w:pPr>
            <w:r>
              <w:rPr>
                <w:rFonts w:ascii="Arial" w:cs="Arial" w:eastAsia="Arial" w:hAnsi="Arial"/>
                <w:sz w:val="13"/>
                <w:szCs w:val="13"/>
                <w:color w:val="auto"/>
              </w:rPr>
              <w:t>Total</w:t>
            </w:r>
          </w:p>
        </w:tc>
      </w:tr>
      <w:tr>
        <w:trPr>
          <w:trHeight w:val="162"/>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2007</w:t>
            </w:r>
          </w:p>
        </w:tc>
        <w:tc>
          <w:tcPr>
            <w:tcW w:w="9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$ 1,270,530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$ 563,524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rPr>
              <w:t>42,850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$ 1,876,904</w:t>
            </w:r>
          </w:p>
        </w:tc>
        <w:tc>
          <w:tcPr>
            <w:tcW w:w="60" w:type="dxa"/>
            <w:vAlign w:val="bottom"/>
          </w:tcPr>
          <w:p>
            <w:pPr>
              <w:spacing w:after="0"/>
              <w:rPr>
                <w:sz w:val="16"/>
                <w:szCs w:val="16"/>
                <w:color w:val="auto"/>
              </w:rPr>
            </w:pPr>
          </w:p>
        </w:tc>
      </w:tr>
      <w:tr>
        <w:trPr>
          <w:trHeight w:val="149"/>
        </w:trPr>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gross sales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43,727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7,201</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(50,928)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r>
    </w:tbl>
    <w:p>
      <w:pPr>
        <w:sectPr>
          <w:pgSz w:w="11900" w:h="16838" w:orient="portrait"/>
          <w:cols w:equalWidth="0" w:num="1">
            <w:col w:w="11400"/>
          </w:cols>
          <w:pgMar w:left="240" w:top="172" w:right="259" w:bottom="0" w:gutter="0" w:footer="0" w:header="0"/>
        </w:sectPr>
      </w:pPr>
    </w:p>
    <w:bookmarkStart w:id="45" w:name="page46"/>
    <w:bookmarkEnd w:id="45"/>
    <w:p>
      <w:pPr>
        <w:spacing w:after="0" w:line="1" w:lineRule="exact"/>
        <w:rPr>
          <w:sz w:val="20"/>
          <w:szCs w:val="20"/>
          <w:color w:val="auto"/>
        </w:rPr>
      </w:pPr>
    </w:p>
    <w:tbl>
      <w:tblPr>
        <w:tblLayout w:type="fixed"/>
        <w:tblInd w:w="344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Arial" w:cs="Arial" w:eastAsia="Arial" w:hAnsi="Arial"/>
                <w:sz w:val="14"/>
                <w:szCs w:val="14"/>
                <w:b w:val="1"/>
                <w:bCs w:val="1"/>
                <w:color w:val="auto"/>
              </w:rPr>
              <w:t>Earnings (loss)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before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income taxes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254,178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41,828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(82,779)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213,227</w:t>
            </w:r>
          </w:p>
        </w:tc>
        <w:tc>
          <w:tcPr>
            <w:tcW w:w="60" w:type="dxa"/>
            <w:vAlign w:val="bottom"/>
          </w:tcPr>
          <w:p>
            <w:pPr>
              <w:spacing w:after="0"/>
              <w:rPr>
                <w:sz w:val="15"/>
                <w:szCs w:val="15"/>
                <w:color w:val="auto"/>
              </w:rPr>
            </w:pPr>
          </w:p>
        </w:tc>
      </w:tr>
      <w:tr>
        <w:trPr>
          <w:trHeight w:val="162"/>
        </w:trPr>
        <w:tc>
          <w:tcPr>
            <w:tcW w:w="1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500,908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210,082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239,847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950,837</w:t>
            </w:r>
          </w:p>
        </w:tc>
        <w:tc>
          <w:tcPr>
            <w:tcW w:w="60" w:type="dxa"/>
            <w:vAlign w:val="bottom"/>
            <w:shd w:val="clear" w:color="auto" w:fill="CCEEFF"/>
          </w:tcPr>
          <w:p>
            <w:pPr>
              <w:spacing w:after="0"/>
              <w:rPr>
                <w:sz w:val="14"/>
                <w:szCs w:val="14"/>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rPr>
              <w:t>Capital</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expenditures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26,864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8,515</w:t>
            </w:r>
          </w:p>
        </w:tc>
        <w:tc>
          <w:tcPr>
            <w:tcW w:w="18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6,789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42,168</w:t>
            </w:r>
          </w:p>
        </w:tc>
        <w:tc>
          <w:tcPr>
            <w:tcW w:w="60" w:type="dxa"/>
            <w:vAlign w:val="bottom"/>
          </w:tcPr>
          <w:p>
            <w:pPr>
              <w:spacing w:after="0"/>
              <w:rPr>
                <w:sz w:val="15"/>
                <w:szCs w:val="15"/>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Depreciation</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2"/>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and</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5"/>
        </w:trPr>
        <w:tc>
          <w:tcPr>
            <w:tcW w:w="1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amortization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20,980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11,682</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9,443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42,105</w:t>
            </w:r>
          </w:p>
        </w:tc>
        <w:tc>
          <w:tcPr>
            <w:tcW w:w="60" w:type="dxa"/>
            <w:vAlign w:val="bottom"/>
            <w:shd w:val="clear" w:color="auto" w:fill="CCEEFF"/>
          </w:tcPr>
          <w:p>
            <w:pPr>
              <w:spacing w:after="0"/>
              <w:rPr>
                <w:sz w:val="15"/>
                <w:szCs w:val="15"/>
                <w:color w:val="auto"/>
              </w:rPr>
            </w:pPr>
          </w:p>
        </w:tc>
      </w:tr>
      <w:tr>
        <w:trPr>
          <w:trHeight w:val="156"/>
        </w:trPr>
        <w:tc>
          <w:tcPr>
            <w:tcW w:w="1160" w:type="dxa"/>
            <w:vAlign w:val="bottom"/>
          </w:tcPr>
          <w:p>
            <w:pPr>
              <w:spacing w:after="0" w:line="155" w:lineRule="exact"/>
              <w:rPr>
                <w:sz w:val="20"/>
                <w:szCs w:val="20"/>
                <w:color w:val="auto"/>
              </w:rPr>
            </w:pPr>
            <w:r>
              <w:rPr>
                <w:rFonts w:ascii="Arial" w:cs="Arial" w:eastAsia="Arial" w:hAnsi="Arial"/>
                <w:sz w:val="14"/>
                <w:szCs w:val="14"/>
                <w:color w:val="auto"/>
              </w:rPr>
              <w:t>2006</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$ 1,224,775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$ 566,641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44,575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$ 1,835,991</w:t>
            </w:r>
          </w:p>
        </w:tc>
        <w:tc>
          <w:tcPr>
            <w:tcW w:w="60" w:type="dxa"/>
            <w:vAlign w:val="bottom"/>
            <w:shd w:val="clear" w:color="auto" w:fill="CCEEFF"/>
          </w:tcPr>
          <w:p>
            <w:pPr>
              <w:spacing w:after="0"/>
              <w:rPr>
                <w:sz w:val="16"/>
                <w:szCs w:val="16"/>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Intersegment</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gross sales</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48,439</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7,835</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(56,274)</w:t>
            </w:r>
          </w:p>
        </w:tc>
        <w:tc>
          <w:tcPr>
            <w:tcW w:w="8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Earnings (loss)</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before income</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116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taxes</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227,692</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34,094</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(69,032)</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192,754</w:t>
            </w:r>
          </w:p>
        </w:tc>
        <w:tc>
          <w:tcPr>
            <w:tcW w:w="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Total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457,861</w:t>
            </w:r>
          </w:p>
        </w:tc>
        <w:tc>
          <w:tcPr>
            <w:tcW w:w="780" w:type="dxa"/>
            <w:vAlign w:val="bottom"/>
          </w:tcPr>
          <w:p>
            <w:pPr>
              <w:jc w:val="right"/>
              <w:spacing w:after="0"/>
              <w:rPr>
                <w:sz w:val="20"/>
                <w:szCs w:val="20"/>
                <w:color w:val="auto"/>
              </w:rPr>
            </w:pPr>
            <w:r>
              <w:rPr>
                <w:rFonts w:ascii="Arial" w:cs="Arial" w:eastAsia="Arial" w:hAnsi="Arial"/>
                <w:sz w:val="14"/>
                <w:szCs w:val="14"/>
                <w:color w:val="auto"/>
              </w:rPr>
              <w:t>202,306</w:t>
            </w:r>
          </w:p>
        </w:tc>
        <w:tc>
          <w:tcPr>
            <w:tcW w:w="18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258,906</w:t>
            </w:r>
          </w:p>
        </w:tc>
        <w:tc>
          <w:tcPr>
            <w:tcW w:w="820" w:type="dxa"/>
            <w:vAlign w:val="bottom"/>
          </w:tcPr>
          <w:p>
            <w:pPr>
              <w:jc w:val="right"/>
              <w:spacing w:after="0"/>
              <w:rPr>
                <w:sz w:val="20"/>
                <w:szCs w:val="20"/>
                <w:color w:val="auto"/>
              </w:rPr>
            </w:pPr>
            <w:r>
              <w:rPr>
                <w:rFonts w:ascii="Arial" w:cs="Arial" w:eastAsia="Arial" w:hAnsi="Arial"/>
                <w:sz w:val="14"/>
                <w:szCs w:val="14"/>
                <w:color w:val="auto"/>
              </w:rPr>
              <w:t>919,073</w:t>
            </w:r>
          </w:p>
        </w:tc>
        <w:tc>
          <w:tcPr>
            <w:tcW w:w="60" w:type="dxa"/>
            <w:vAlign w:val="bottom"/>
          </w:tcPr>
          <w:p>
            <w:pPr>
              <w:spacing w:after="0"/>
              <w:rPr>
                <w:sz w:val="14"/>
                <w:szCs w:val="14"/>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Capital</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116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expenditures</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18,556</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14,399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6,930</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39,885</w:t>
            </w:r>
          </w:p>
        </w:tc>
        <w:tc>
          <w:tcPr>
            <w:tcW w:w="60" w:type="dxa"/>
            <w:vAlign w:val="bottom"/>
            <w:shd w:val="clear" w:color="auto" w:fill="CCEEFF"/>
          </w:tcPr>
          <w:p>
            <w:pPr>
              <w:spacing w:after="0"/>
              <w:rPr>
                <w:sz w:val="13"/>
                <w:szCs w:val="13"/>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Depreciation and</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116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amortization</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19,701</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12,078</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10,785</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42,564</w:t>
            </w:r>
          </w:p>
        </w:tc>
        <w:tc>
          <w:tcPr>
            <w:tcW w:w="60" w:type="dxa"/>
            <w:vAlign w:val="bottom"/>
            <w:tcBorders>
              <w:bottom w:val="single" w:sz="8" w:color="CCEEFF"/>
            </w:tcBorders>
          </w:tcPr>
          <w:p>
            <w:pPr>
              <w:spacing w:after="0"/>
              <w:rPr>
                <w:sz w:val="13"/>
                <w:szCs w:val="13"/>
                <w:color w:val="auto"/>
              </w:rPr>
            </w:pPr>
          </w:p>
        </w:tc>
      </w:tr>
      <w:tr>
        <w:trPr>
          <w:trHeight w:val="156"/>
        </w:trPr>
        <w:tc>
          <w:tcPr>
            <w:tcW w:w="1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2005</w:t>
            </w: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Net sales</w:t>
            </w:r>
          </w:p>
        </w:tc>
        <w:tc>
          <w:tcPr>
            <w:tcW w:w="920" w:type="dxa"/>
            <w:vAlign w:val="bottom"/>
          </w:tcPr>
          <w:p>
            <w:pPr>
              <w:jc w:val="right"/>
              <w:spacing w:after="0"/>
              <w:rPr>
                <w:sz w:val="20"/>
                <w:szCs w:val="20"/>
                <w:color w:val="auto"/>
              </w:rPr>
            </w:pPr>
            <w:r>
              <w:rPr>
                <w:rFonts w:ascii="Arial" w:cs="Arial" w:eastAsia="Arial" w:hAnsi="Arial"/>
                <w:sz w:val="14"/>
                <w:szCs w:val="14"/>
                <w:color w:val="auto"/>
              </w:rPr>
              <w:t>$ 1,145,361</w:t>
            </w:r>
          </w:p>
        </w:tc>
        <w:tc>
          <w:tcPr>
            <w:tcW w:w="780" w:type="dxa"/>
            <w:vAlign w:val="bottom"/>
          </w:tcPr>
          <w:p>
            <w:pPr>
              <w:jc w:val="right"/>
              <w:spacing w:after="0"/>
              <w:rPr>
                <w:sz w:val="20"/>
                <w:szCs w:val="20"/>
                <w:color w:val="auto"/>
              </w:rPr>
            </w:pPr>
            <w:r>
              <w:rPr>
                <w:rFonts w:ascii="Arial" w:cs="Arial" w:eastAsia="Arial" w:hAnsi="Arial"/>
                <w:sz w:val="14"/>
                <w:szCs w:val="14"/>
                <w:color w:val="auto"/>
              </w:rPr>
              <w:t>$ 583,291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50,735</w:t>
            </w:r>
          </w:p>
        </w:tc>
        <w:tc>
          <w:tcPr>
            <w:tcW w:w="820" w:type="dxa"/>
            <w:vAlign w:val="bottom"/>
          </w:tcPr>
          <w:p>
            <w:pPr>
              <w:jc w:val="right"/>
              <w:spacing w:after="0"/>
              <w:rPr>
                <w:sz w:val="20"/>
                <w:szCs w:val="20"/>
                <w:color w:val="auto"/>
              </w:rPr>
            </w:pPr>
            <w:r>
              <w:rPr>
                <w:rFonts w:ascii="Arial" w:cs="Arial" w:eastAsia="Arial" w:hAnsi="Arial"/>
                <w:sz w:val="14"/>
                <w:szCs w:val="14"/>
                <w:color w:val="auto"/>
              </w:rPr>
              <w:t>$ 1,779,387</w:t>
            </w:r>
          </w:p>
        </w:tc>
        <w:tc>
          <w:tcPr>
            <w:tcW w:w="60" w:type="dxa"/>
            <w:vAlign w:val="bottom"/>
          </w:tcPr>
          <w:p>
            <w:pPr>
              <w:spacing w:after="0"/>
              <w:rPr>
                <w:sz w:val="16"/>
                <w:szCs w:val="16"/>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Intersegment</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116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gross sales</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50,709</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8,043</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(58,752)</w:t>
            </w:r>
          </w:p>
        </w:tc>
        <w:tc>
          <w:tcPr>
            <w:tcW w:w="8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Earnings (loss)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160" w:type="dxa"/>
            <w:vAlign w:val="bottom"/>
          </w:tcPr>
          <w:p>
            <w:pPr>
              <w:ind w:left="180"/>
              <w:spacing w:after="0"/>
              <w:rPr>
                <w:sz w:val="20"/>
                <w:szCs w:val="20"/>
                <w:color w:val="auto"/>
              </w:rPr>
            </w:pPr>
            <w:r>
              <w:rPr>
                <w:rFonts w:ascii="Arial" w:cs="Arial" w:eastAsia="Arial" w:hAnsi="Arial"/>
                <w:sz w:val="14"/>
                <w:szCs w:val="14"/>
                <w:color w:val="auto"/>
              </w:rPr>
              <w:t>before income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taxes</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207,398</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50,160</w:t>
            </w:r>
          </w:p>
        </w:tc>
        <w:tc>
          <w:tcPr>
            <w:tcW w:w="1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(87,286)</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170,272</w:t>
            </w:r>
          </w:p>
        </w:tc>
        <w:tc>
          <w:tcPr>
            <w:tcW w:w="60" w:type="dxa"/>
            <w:vAlign w:val="bottom"/>
          </w:tcPr>
          <w:p>
            <w:pPr>
              <w:spacing w:after="0"/>
              <w:rPr>
                <w:sz w:val="13"/>
                <w:szCs w:val="13"/>
                <w:color w:val="auto"/>
              </w:rPr>
            </w:pPr>
          </w:p>
        </w:tc>
      </w:tr>
      <w:tr>
        <w:trPr>
          <w:trHeight w:val="162"/>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452,274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204,428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258,158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914,860</w:t>
            </w:r>
          </w:p>
        </w:tc>
        <w:tc>
          <w:tcPr>
            <w:tcW w:w="60" w:type="dxa"/>
            <w:vAlign w:val="bottom"/>
            <w:shd w:val="clear" w:color="auto" w:fill="CCEEFF"/>
          </w:tcPr>
          <w:p>
            <w:pPr>
              <w:spacing w:after="0"/>
              <w:rPr>
                <w:sz w:val="14"/>
                <w:szCs w:val="14"/>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Capital</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expenditures</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24,259</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6,067</w:t>
            </w:r>
          </w:p>
        </w:tc>
        <w:tc>
          <w:tcPr>
            <w:tcW w:w="180" w:type="dxa"/>
            <w:vAlign w:val="bottom"/>
          </w:tcPr>
          <w:p>
            <w:pPr>
              <w:spacing w:after="0"/>
              <w:rPr>
                <w:sz w:val="13"/>
                <w:szCs w:val="13"/>
                <w:color w:val="auto"/>
              </w:rPr>
            </w:pP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7,106</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37,432</w:t>
            </w:r>
          </w:p>
        </w:tc>
        <w:tc>
          <w:tcPr>
            <w:tcW w:w="60" w:type="dxa"/>
            <w:vAlign w:val="bottom"/>
          </w:tcPr>
          <w:p>
            <w:pPr>
              <w:spacing w:after="0"/>
              <w:rPr>
                <w:sz w:val="13"/>
                <w:szCs w:val="13"/>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1160" w:type="dxa"/>
            <w:vAlign w:val="bottom"/>
            <w:tcBorders>
              <w:bottom w:val="single" w:sz="8" w:color="auto"/>
            </w:tcBorders>
            <w:shd w:val="clear" w:color="auto" w:fill="CCEEFF"/>
          </w:tcPr>
          <w:p>
            <w:pPr>
              <w:ind w:left="180"/>
              <w:spacing w:after="0" w:line="157" w:lineRule="exact"/>
              <w:rPr>
                <w:sz w:val="20"/>
                <w:szCs w:val="20"/>
                <w:color w:val="auto"/>
              </w:rPr>
            </w:pPr>
            <w:r>
              <w:rPr>
                <w:rFonts w:ascii="Arial" w:cs="Arial" w:eastAsia="Arial" w:hAnsi="Arial"/>
                <w:sz w:val="14"/>
                <w:szCs w:val="14"/>
                <w:color w:val="auto"/>
              </w:rPr>
              <w:t>amortization</w:t>
            </w: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21,272</w:t>
            </w: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11,454</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10,103</w:t>
            </w: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42,829</w:t>
            </w:r>
          </w:p>
        </w:tc>
        <w:tc>
          <w:tcPr>
            <w:tcW w:w="60" w:type="dxa"/>
            <w:vAlign w:val="bottom"/>
            <w:tcBorders>
              <w:bottom w:val="single" w:sz="8" w:color="auto"/>
            </w:tcBorders>
            <w:shd w:val="clear" w:color="auto" w:fill="CCEEFF"/>
          </w:tcPr>
          <w:p>
            <w:pPr>
              <w:spacing w:after="0"/>
              <w:rPr>
                <w:sz w:val="13"/>
                <w:szCs w:val="13"/>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185"/>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2007</w:t>
            </w: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color w:val="auto"/>
              </w:rPr>
              <w:t>2006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Corporate expenses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(86,655)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(78,247)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(90,713)</w:t>
            </w:r>
          </w:p>
        </w:tc>
      </w:tr>
      <w:tr>
        <w:trPr>
          <w:trHeight w:val="189"/>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Interest expense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(19,445)</w:t>
            </w:r>
          </w:p>
        </w:tc>
        <w:tc>
          <w:tcPr>
            <w:tcW w:w="780" w:type="dxa"/>
            <w:vAlign w:val="bottom"/>
          </w:tcPr>
          <w:p>
            <w:pPr>
              <w:jc w:val="right"/>
              <w:spacing w:after="0"/>
              <w:rPr>
                <w:sz w:val="20"/>
                <w:szCs w:val="20"/>
                <w:color w:val="auto"/>
              </w:rPr>
            </w:pPr>
            <w:r>
              <w:rPr>
                <w:rFonts w:ascii="Arial" w:cs="Arial" w:eastAsia="Arial" w:hAnsi="Arial"/>
                <w:sz w:val="14"/>
                <w:szCs w:val="14"/>
                <w:color w:val="auto"/>
              </w:rPr>
              <w:t>(17,672)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(17,733)</w:t>
            </w:r>
          </w:p>
        </w:tc>
      </w:tr>
      <w:tr>
        <w:trPr>
          <w:trHeight w:val="189"/>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1,791</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2,557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80" w:type="dxa"/>
            <w:vAlign w:val="bottom"/>
            <w:shd w:val="clear" w:color="auto" w:fill="CCEEFF"/>
          </w:tcPr>
          <w:p>
            <w:pPr>
              <w:spacing w:after="0"/>
              <w:rPr>
                <w:sz w:val="16"/>
                <w:szCs w:val="16"/>
                <w:color w:val="auto"/>
              </w:rPr>
            </w:pPr>
          </w:p>
        </w:tc>
      </w:tr>
      <w:tr>
        <w:trPr>
          <w:trHeight w:val="189"/>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Elimination of corporate</w:t>
            </w: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00" w:type="dxa"/>
            <w:vAlign w:val="bottom"/>
          </w:tcPr>
          <w:p>
            <w:pPr>
              <w:ind w:left="160"/>
              <w:spacing w:after="0"/>
              <w:rPr>
                <w:sz w:val="20"/>
                <w:szCs w:val="20"/>
                <w:color w:val="auto"/>
              </w:rPr>
            </w:pPr>
            <w:r>
              <w:rPr>
                <w:rFonts w:ascii="Arial" w:cs="Arial" w:eastAsia="Arial" w:hAnsi="Arial"/>
                <w:sz w:val="14"/>
                <w:szCs w:val="14"/>
                <w:b w:val="1"/>
                <w:bCs w:val="1"/>
                <w:color w:val="auto"/>
              </w:rPr>
              <w:t>financing expense</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14,142</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17,657</w:t>
            </w:r>
          </w:p>
        </w:tc>
        <w:tc>
          <w:tcPr>
            <w:tcW w:w="680" w:type="dxa"/>
            <w:vAlign w:val="bottom"/>
          </w:tcPr>
          <w:p>
            <w:pPr>
              <w:jc w:val="right"/>
              <w:spacing w:after="0"/>
              <w:rPr>
                <w:sz w:val="20"/>
                <w:szCs w:val="20"/>
                <w:color w:val="auto"/>
              </w:rPr>
            </w:pPr>
            <w:r>
              <w:rPr>
                <w:rFonts w:ascii="Arial" w:cs="Arial" w:eastAsia="Arial" w:hAnsi="Arial"/>
                <w:sz w:val="14"/>
                <w:szCs w:val="14"/>
                <w:color w:val="auto"/>
              </w:rPr>
              <w:t>17,998</w:t>
            </w: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7,388</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6,673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6"/>
                <w:szCs w:val="16"/>
                <w:color w:val="auto"/>
              </w:rPr>
            </w:pPr>
          </w:p>
        </w:tc>
      </w:tr>
      <w:tr>
        <w:trPr>
          <w:trHeight w:val="183"/>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 (82,779)</w:t>
            </w:r>
          </w:p>
        </w:tc>
        <w:tc>
          <w:tcPr>
            <w:tcW w:w="780" w:type="dxa"/>
            <w:vAlign w:val="bottom"/>
          </w:tcPr>
          <w:p>
            <w:pPr>
              <w:jc w:val="right"/>
              <w:spacing w:after="0"/>
              <w:rPr>
                <w:sz w:val="20"/>
                <w:szCs w:val="20"/>
                <w:color w:val="auto"/>
              </w:rPr>
            </w:pPr>
            <w:r>
              <w:rPr>
                <w:rFonts w:ascii="Arial" w:cs="Arial" w:eastAsia="Arial" w:hAnsi="Arial"/>
                <w:sz w:val="14"/>
                <w:szCs w:val="14"/>
                <w:color w:val="auto"/>
              </w:rPr>
              <w:t>$ (69,032)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 (87,286)</w:t>
            </w:r>
          </w:p>
        </w:tc>
      </w:tr>
      <w:tr>
        <w:trPr>
          <w:trHeight w:val="20"/>
        </w:trPr>
        <w:tc>
          <w:tcPr>
            <w:tcW w:w="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net sales for groups of similar products and services:</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185"/>
        </w:trPr>
        <w:tc>
          <w:tcPr>
            <w:tcW w:w="1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2006</w:t>
            </w: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2005</w:t>
            </w:r>
          </w:p>
        </w:tc>
        <w:tc>
          <w:tcPr>
            <w:tcW w:w="60" w:type="dxa"/>
            <w:vAlign w:val="bottom"/>
            <w:tcBorders>
              <w:bottom w:val="single" w:sz="8" w:color="CCEEFF"/>
            </w:tcBorders>
          </w:tcPr>
          <w:p>
            <w:pPr>
              <w:spacing w:after="0"/>
              <w:rPr>
                <w:sz w:val="16"/>
                <w:szCs w:val="16"/>
                <w:color w:val="auto"/>
              </w:rPr>
            </w:pPr>
          </w:p>
        </w:tc>
      </w:tr>
      <w:tr>
        <w:trPr>
          <w:trHeight w:val="186"/>
        </w:trPr>
        <w:tc>
          <w:tcPr>
            <w:tcW w:w="1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Irrigation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381,097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365,322</w:t>
            </w:r>
          </w:p>
        </w:tc>
        <w:tc>
          <w:tcPr>
            <w:tcW w:w="60" w:type="dxa"/>
            <w:vAlign w:val="bottom"/>
            <w:shd w:val="clear" w:color="auto" w:fill="CCEEFF"/>
          </w:tcPr>
          <w:p>
            <w:pPr>
              <w:spacing w:after="0"/>
              <w:rPr>
                <w:sz w:val="16"/>
                <w:szCs w:val="16"/>
                <w:color w:val="auto"/>
              </w:rPr>
            </w:pPr>
          </w:p>
        </w:tc>
      </w:tr>
      <w:tr>
        <w:trPr>
          <w:trHeight w:val="189"/>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Equipment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1,495,807</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1,462,168</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1,414,065</w:t>
            </w:r>
          </w:p>
        </w:tc>
        <w:tc>
          <w:tcPr>
            <w:tcW w:w="60" w:type="dxa"/>
            <w:vAlign w:val="bottom"/>
            <w:tcBorders>
              <w:bottom w:val="single" w:sz="8" w:color="CCEEFF"/>
            </w:tcBorders>
          </w:tcPr>
          <w:p>
            <w:pPr>
              <w:spacing w:after="0"/>
              <w:rPr>
                <w:sz w:val="16"/>
                <w:szCs w:val="16"/>
                <w:color w:val="auto"/>
              </w:rPr>
            </w:pPr>
          </w:p>
        </w:tc>
      </w:tr>
      <w:tr>
        <w:trPr>
          <w:trHeight w:val="183"/>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1,876,904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1,835,991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1,779,387</w:t>
            </w:r>
          </w:p>
        </w:tc>
        <w:tc>
          <w:tcPr>
            <w:tcW w:w="60" w:type="dxa"/>
            <w:vAlign w:val="bottom"/>
            <w:shd w:val="clear" w:color="auto" w:fill="CCEEFF"/>
          </w:tcPr>
          <w:p>
            <w:pPr>
              <w:spacing w:after="0"/>
              <w:rPr>
                <w:sz w:val="15"/>
                <w:szCs w:val="15"/>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to one customer accounted for 12 percent of consolidated net sales in fiscal 2007, and 13 percent in fiscal 2006 and 2005.</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Geographic Data</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goodwill, intangible assets, and net property, plant, and equipment, which is determined based on physical location in addition to allocated capital tooling from U.S. plant facilities.</w:t>
      </w:r>
    </w:p>
    <w:p>
      <w:pPr>
        <w:spacing w:after="0" w:line="171" w:lineRule="exact"/>
        <w:rPr>
          <w:sz w:val="20"/>
          <w:szCs w:val="20"/>
          <w:color w:val="auto"/>
        </w:rPr>
      </w:pPr>
    </w:p>
    <w:tbl>
      <w:tblPr>
        <w:tblLayout w:type="fixed"/>
        <w:tblInd w:w="3420" w:type="dxa"/>
        <w:tblCellMar>
          <w:top w:w="0" w:type="dxa"/>
          <w:left w:w="0" w:type="dxa"/>
          <w:bottom w:w="0" w:type="dxa"/>
          <w:right w:w="0" w:type="dxa"/>
        </w:tblCellMar>
      </w:tblPr>
      <w:tr>
        <w:trPr>
          <w:trHeight w:val="189"/>
        </w:trPr>
        <w:tc>
          <w:tcPr>
            <w:tcW w:w="19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United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Foreign</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97"/>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States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Countries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2007</w:t>
            </w: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8"/>
        </w:trPr>
        <w:tc>
          <w:tcPr>
            <w:tcW w:w="198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tcPr>
          <w:p>
            <w:pPr>
              <w:jc w:val="right"/>
              <w:ind w:right="12"/>
              <w:spacing w:after="0"/>
              <w:rPr>
                <w:sz w:val="20"/>
                <w:szCs w:val="20"/>
                <w:color w:val="auto"/>
              </w:rPr>
            </w:pPr>
            <w:r>
              <w:rPr>
                <w:rFonts w:ascii="Arial" w:cs="Arial" w:eastAsia="Arial" w:hAnsi="Arial"/>
                <w:sz w:val="14"/>
                <w:szCs w:val="14"/>
                <w:b w:val="1"/>
                <w:bCs w:val="1"/>
                <w:color w:val="auto"/>
              </w:rPr>
              <w:t>$ 1,333,305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$ 543,599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1,876,904</w:t>
            </w:r>
          </w:p>
        </w:tc>
      </w:tr>
      <w:tr>
        <w:trPr>
          <w:trHeight w:val="194"/>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230,246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41,325</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271,571</w:t>
            </w:r>
          </w:p>
        </w:tc>
      </w:tr>
      <w:tr>
        <w:trPr>
          <w:trHeight w:val="181"/>
        </w:trPr>
        <w:tc>
          <w:tcPr>
            <w:tcW w:w="1980" w:type="dxa"/>
            <w:vAlign w:val="bottom"/>
          </w:tcPr>
          <w:p>
            <w:pPr>
              <w:spacing w:after="0"/>
              <w:rPr>
                <w:sz w:val="20"/>
                <w:szCs w:val="20"/>
                <w:color w:val="auto"/>
              </w:rPr>
            </w:pPr>
            <w:r>
              <w:rPr>
                <w:rFonts w:ascii="Arial" w:cs="Arial" w:eastAsia="Arial" w:hAnsi="Arial"/>
                <w:sz w:val="14"/>
                <w:szCs w:val="14"/>
                <w:color w:val="auto"/>
              </w:rPr>
              <w:t>2006</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6"/>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$ 1,339,998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$ 495,993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1,835,991</w:t>
            </w:r>
          </w:p>
        </w:tc>
      </w:tr>
      <w:tr>
        <w:trPr>
          <w:trHeight w:val="183"/>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213,896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39,121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253,017</w:t>
            </w: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2005</w:t>
            </w: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Net sales</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$ 1,338,743</w:t>
            </w:r>
          </w:p>
        </w:tc>
        <w:tc>
          <w:tcPr>
            <w:tcW w:w="780" w:type="dxa"/>
            <w:vAlign w:val="bottom"/>
          </w:tcPr>
          <w:p>
            <w:pPr>
              <w:jc w:val="right"/>
              <w:spacing w:after="0"/>
              <w:rPr>
                <w:sz w:val="20"/>
                <w:szCs w:val="20"/>
                <w:color w:val="auto"/>
              </w:rPr>
            </w:pPr>
            <w:r>
              <w:rPr>
                <w:rFonts w:ascii="Arial" w:cs="Arial" w:eastAsia="Arial" w:hAnsi="Arial"/>
                <w:sz w:val="14"/>
                <w:szCs w:val="14"/>
                <w:color w:val="auto"/>
              </w:rPr>
              <w:t>$ 440,644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1,779,387</w:t>
            </w:r>
          </w:p>
        </w:tc>
      </w:tr>
      <w:tr>
        <w:trPr>
          <w:trHeight w:val="190"/>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214,726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39,200</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253,926</w:t>
            </w:r>
          </w:p>
        </w:tc>
      </w:tr>
    </w:tbl>
    <w:p>
      <w:pPr>
        <w:spacing w:after="0" w:line="188" w:lineRule="auto"/>
        <w:rPr>
          <w:sz w:val="20"/>
          <w:szCs w:val="20"/>
          <w:color w:val="auto"/>
        </w:rPr>
      </w:pPr>
      <w:r>
        <w:rPr>
          <w:rFonts w:ascii="Arial" w:cs="Arial" w:eastAsia="Arial" w:hAnsi="Arial"/>
          <w:sz w:val="65"/>
          <w:szCs w:val="65"/>
          <w:b w:val="1"/>
          <w:bCs w:val="1"/>
          <w:color w:val="4673B6"/>
        </w:rPr>
        <w:t xml:space="preserve">12 </w:t>
      </w:r>
      <w:r>
        <w:rPr>
          <w:rFonts w:ascii="Arial" w:cs="Arial" w:eastAsia="Arial" w:hAnsi="Arial"/>
          <w:sz w:val="21"/>
          <w:szCs w:val="21"/>
          <w:b w:val="1"/>
          <w:bCs w:val="1"/>
          <w:color w:val="4673B6"/>
        </w:rPr>
        <w:t>COMMITMENTS AND</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673B6"/>
        </w:rPr>
        <w:t>CONTINGENT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Leases</w:t>
      </w:r>
    </w:p>
    <w:p>
      <w:pPr>
        <w:spacing w:after="0" w:line="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Total rental expense for operating leases was $19,677, $19,448, and $19,698 for the fiscal years ended October 31, 2007, 2006, and 2005, respectively. As of October 31, 2007, future minimum lease payments under noncancelable operating leases amounted to $27,763 as follows: 2008, $13,706; 2009, $7,693; 2010, $3,920; 2011, $1,948; 2012, $414; and after 2012, $82.</w:t>
      </w:r>
    </w:p>
    <w:p>
      <w:pPr>
        <w:sectPr>
          <w:pgSz w:w="11900" w:h="16838" w:orient="portrait"/>
          <w:cols w:equalWidth="0" w:num="1">
            <w:col w:w="11360"/>
          </w:cols>
          <w:pgMar w:left="240" w:top="126" w:right="29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Customer Financing</w:t>
      </w:r>
    </w:p>
    <w:p>
      <w:pPr>
        <w:sectPr>
          <w:pgSz w:w="11900" w:h="16838" w:orient="portrait"/>
          <w:cols w:equalWidth="0" w:num="1">
            <w:col w:w="11360"/>
          </w:cols>
          <w:pgMar w:left="240" w:top="126" w:right="299" w:bottom="0" w:gutter="0" w:footer="0" w:header="0"/>
          <w:type w:val="continuous"/>
        </w:sectPr>
      </w:pPr>
    </w:p>
    <w:bookmarkStart w:id="46" w:name="page47"/>
    <w:bookmarkEnd w:id="46"/>
    <w:p>
      <w:pPr>
        <w:spacing w:after="0" w:line="9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Independent Toro dealers that do not finance through Toro Credit Company finance their inventories with third party</w:t>
      </w:r>
      <w:r>
        <w:rPr>
          <w:rFonts w:ascii="Arial" w:cs="Arial" w:eastAsia="Arial" w:hAnsi="Arial"/>
          <w:sz w:val="18"/>
          <w:szCs w:val="18"/>
          <w:b w:val="1"/>
          <w:bCs w:val="1"/>
          <w:color w:val="4673B6"/>
        </w:rPr>
        <w:t xml:space="preserve"> </w:t>
      </w:r>
      <w:r>
        <w:rPr>
          <w:rFonts w:ascii="Arial" w:cs="Arial" w:eastAsia="Arial" w:hAnsi="Arial"/>
          <w:sz w:val="18"/>
          <w:szCs w:val="18"/>
          <w:color w:val="000000"/>
        </w:rPr>
        <w:t>financing sources. Exmark and international products sold to dealers are financed primarily with third party financing sources or by the distributor. Third party financing companies purchased $164,614 of receivables from the company during fiscal 2007, of which $57,739 was outstanding as of October 31, 2007. The company’s maximum exposure for credit recourse with a third party financing company related to receivables under these financing arrangements was $550 as of October 31, 2007.</w:t>
      </w:r>
    </w:p>
    <w:p>
      <w:pPr>
        <w:spacing w:after="0" w:line="1" w:lineRule="exact"/>
        <w:rPr>
          <w:sz w:val="20"/>
          <w:szCs w:val="20"/>
          <w:color w:val="auto"/>
        </w:rPr>
      </w:pPr>
    </w:p>
    <w:p>
      <w:pPr>
        <w:ind w:right="20" w:firstLine="180"/>
        <w:spacing w:after="0" w:line="270" w:lineRule="auto"/>
        <w:rPr>
          <w:sz w:val="20"/>
          <w:szCs w:val="20"/>
          <w:color w:val="auto"/>
        </w:rPr>
      </w:pPr>
      <w:r>
        <w:rPr>
          <w:rFonts w:ascii="Arial" w:cs="Arial" w:eastAsia="Arial" w:hAnsi="Arial"/>
          <w:sz w:val="18"/>
          <w:szCs w:val="18"/>
          <w:color w:val="auto"/>
        </w:rPr>
        <w:t>Toro also enters into limited inventory repurchase agreements with third party financing companies, which includes receivables sold by the company to third party financing companies as well as receivables sold by the company’s distributors to the third party financing companies. As of October 31, 2007, the company was contingently liable to repurchase up to $5,788 of inventory related to receivables under these financing arrangements. Toro has repurchased only immaterial amounts of inventory from third party financing companies over the last three years.</w:t>
      </w:r>
    </w:p>
    <w:p>
      <w:pPr>
        <w:spacing w:after="0" w:line="73"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The company has agreements with a third party financing company to provide lease-financing options to golf course</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sports fields and grounds equipment customers in North America, Europe, and Australia. During fiscal 2007, the company entered into an amended agreement that eliminated the company’s contingent liability for any residual value risk on the underlying equipment financed under this program. In addition, under the terms of the amended agreement, the company is only contingently liable for a portion of the credit collection risk for leases entered into prior to the effective date of the amended agreement. The company’s maximum exposure for credit collection as of October 31, 2007 was $7,172. The company has established a reserve for the estimated exposure related to the credit collection risk, which was $907 and $2,310 as of October 31, 2007 and 2006, respectively.</w:t>
      </w:r>
    </w:p>
    <w:p>
      <w:pPr>
        <w:spacing w:after="0" w:line="5"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The company entered into an agreement to sell certain accounts receivable and notes to a third party. The total amount of receivables and notes outstanding under this agreement may not exceed $10,000 at any time. During fiscal 2007, the company sold $1,051 of receivables and notes under the terms of this agreement.</w:t>
      </w:r>
    </w:p>
    <w:p>
      <w:pPr>
        <w:spacing w:after="0" w:line="1" w:lineRule="exact"/>
        <w:rPr>
          <w:sz w:val="20"/>
          <w:szCs w:val="20"/>
          <w:color w:val="auto"/>
        </w:rPr>
      </w:pPr>
    </w:p>
    <w:p>
      <w:pPr>
        <w:ind w:right="80" w:firstLine="180"/>
        <w:spacing w:after="0" w:line="270" w:lineRule="auto"/>
        <w:rPr>
          <w:sz w:val="20"/>
          <w:szCs w:val="20"/>
          <w:color w:val="auto"/>
        </w:rPr>
      </w:pPr>
      <w:r>
        <w:rPr>
          <w:rFonts w:ascii="Arial" w:cs="Arial" w:eastAsia="Arial" w:hAnsi="Arial"/>
          <w:sz w:val="18"/>
          <w:szCs w:val="18"/>
          <w:color w:val="auto"/>
        </w:rPr>
        <w:t>In the normal course of business, the company has arrangements with other financial institutions to provide various forms of financing options to end-user customers. From time to time, Toro’s wholly owned subsidiaries also guarantee the residual value at the end of leases with third party financing companies for product sold to customers. The amount of this potential contingent liability as of October 31, 2007 and 2006 was $4,393 and $3,962,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Purchase Commitments</w:t>
      </w:r>
    </w:p>
    <w:p>
      <w:pPr>
        <w:spacing w:after="0" w:line="4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October 31, 2007, the company had $2,877 of purchase commitments with some suppliers for materials and supplies as part of the normal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Letters of Credit</w:t>
      </w:r>
    </w:p>
    <w:p>
      <w:pPr>
        <w:spacing w:after="0" w:line="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2007 and 2006, the company had $11,689 and $11,655, respectively, in outstanding letters of credit.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Customs Duties</w:t>
      </w:r>
    </w:p>
    <w:p>
      <w:pPr>
        <w:spacing w:after="0" w:line="4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company is liable for customs duties for certain products that are imported and exported between countries. The company has determined that it has a potential liability for unpaid customs duties on certain products. The company accrued an estimate of this liability and is currently working to resolve the matter with the appropriate governmental officials. Although the ultimate resolution of this matter could potentially be different than the original estimate, the matter is not expected to have a material impact on the consolidated operating results or financial position of the company.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Litigation</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operating results or financial position of the company.</w:t>
      </w:r>
    </w:p>
    <w:p>
      <w:pPr>
        <w:spacing w:after="0" w:line="1"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To prevent possible infringement of its patents by others, the company periodically reviews competitors’ products. To avoid potential liability with respect to others’ patents, the company regularly reviews patents issued by the United States Patent and Trademark Office (USPTO) and foreign patent offices. This patent program, consisting of both types of activities, helps the company minimize risk of patent infringement litigation. The company is currently involved in commercial disputes and patent litigation cases, both where it is asserting patents and where it is defending against charges of infringement. While the ultimate results of the current cases are unknown at this time, management believes that the outcome of these cases is unlikely to have a material adverse effect on the consolidated results of operation or financial condition of the company.</w:t>
      </w:r>
    </w:p>
    <w:p>
      <w:pPr>
        <w:spacing w:after="0" w:line="1"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w:t>
      </w:r>
    </w:p>
    <w:p>
      <w:pPr>
        <w:spacing w:after="0" w:line="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the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the company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Management continues to evaluate this lawsuit and is unable to reasonably estimate the likelihood of loss or the amount or range of potential loss that could result from</w:t>
      </w:r>
    </w:p>
    <w:p>
      <w:pPr>
        <w:sectPr>
          <w:pgSz w:w="11900" w:h="16930" w:orient="portrait"/>
          <w:cols w:equalWidth="0" w:num="1">
            <w:col w:w="11420"/>
          </w:cols>
          <w:pgMar w:left="240" w:top="130" w:right="239" w:bottom="0" w:gutter="0" w:footer="0" w:header="0"/>
        </w:sectPr>
      </w:pPr>
    </w:p>
    <w:bookmarkStart w:id="47" w:name="page48"/>
    <w:bookmarkEnd w:id="47"/>
    <w:p>
      <w:pPr>
        <w:ind w:right="180"/>
        <w:spacing w:after="0" w:line="281" w:lineRule="auto"/>
        <w:rPr>
          <w:sz w:val="20"/>
          <w:szCs w:val="20"/>
          <w:color w:val="auto"/>
        </w:rPr>
      </w:pPr>
      <w:r>
        <w:rPr>
          <w:rFonts w:ascii="Arial" w:cs="Arial" w:eastAsia="Arial" w:hAnsi="Arial"/>
          <w:sz w:val="17"/>
          <w:szCs w:val="17"/>
          <w:color w:val="auto"/>
        </w:rPr>
        <w:t>this litigation. Therefore, no accrual has been established for potential loss in connection with this lawsuit. Management is also unable to assess at this time whether the lawsuit will have a material adverse effect on the company’s annual consolidated operating results or financial condition, although an unfavorable resolution could be material to the company’s consolidated operating results for a particular period.</w:t>
      </w:r>
    </w:p>
    <w:p>
      <w:pPr>
        <w:spacing w:after="0" w:line="2" w:lineRule="exact"/>
        <w:rPr>
          <w:sz w:val="20"/>
          <w:szCs w:val="20"/>
          <w:color w:val="auto"/>
        </w:rPr>
      </w:pPr>
    </w:p>
    <w:p>
      <w:pPr>
        <w:ind w:right="60" w:firstLine="180"/>
        <w:spacing w:after="0" w:line="260" w:lineRule="auto"/>
        <w:rPr>
          <w:sz w:val="20"/>
          <w:szCs w:val="20"/>
          <w:color w:val="auto"/>
        </w:rPr>
      </w:pPr>
      <w:r>
        <w:rPr>
          <w:rFonts w:ascii="Arial" w:cs="Arial" w:eastAsia="Arial" w:hAnsi="Arial"/>
          <w:sz w:val="18"/>
          <w:szCs w:val="18"/>
          <w:color w:val="auto"/>
        </w:rPr>
        <w:t>In July 2005, Textron Innovations Inc., the patent holding company of Textron, Inc., filed a lawsuit in Delaware Federal District Court against the company for patent infringement. Textron alleges that Toro willfully infringes certain claims of three Textron patents by selling its Groundsmaster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In April 2007, the Court granted the company’s motion to stay the litigation and, in June 2007, denied Textron’s motion for reconsideration of the Court’s order staying the proceedings. Management continues to evaluate this lawsuit and is unable to reasonably estimate the likelihood of loss or the amount or range of potential loss that could result from the litigation. Therefore, no accrual has been established for potential loss in connection with this lawsuit. While management does not believe that the lawsuit will have a material adverse effect on the company’s consolidated financial condition, an unfavorable resolution could be material to the company’s consolidated operating results for a particular period.</w:t>
      </w:r>
    </w:p>
    <w:p>
      <w:pPr>
        <w:spacing w:after="0" w:line="5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13 </w:t>
      </w:r>
      <w:r>
        <w:rPr>
          <w:rFonts w:ascii="Arial" w:cs="Arial" w:eastAsia="Arial" w:hAnsi="Arial"/>
          <w:sz w:val="21"/>
          <w:szCs w:val="21"/>
          <w:b w:val="1"/>
          <w:bCs w:val="1"/>
          <w:color w:val="4673B6"/>
        </w:rPr>
        <w:t>FINANCIAL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Concentrations of Credit Risk</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two business segments: professional and residential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Derivative Instruments and Hedging Activities</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company uses derivative instruments to manage exposure to foreign currency exchange rates. Toro uses derivative instruments only in an attempt to limit underlying exposure from currency rate fluctuations, and not for trading purposes. The company documents all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effective in offsetting changes in cash flows of the hedged item.</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sales or cost of sales. During fiscal 2007, 2006, and 2005, the amount of losses treated as a reduction of net sales for contracts to hedge sales were $2,240, $446, and $3,016, respectively. During fiscal 2007, 2006, and 2005, the amount of gains treated as a reduction to cost of sales for contracts to hedge inventory purchases were $1,002, $61, and $1,280, respectively. The unrecognized after-tax (loss) gain portion of the fair value of the contracts recorded in accumulated other comprehensive loss as of October 31, 2007 and 2006 was $(3,763) and $420, respectively.</w:t>
      </w:r>
    </w:p>
    <w:p>
      <w:pPr>
        <w:spacing w:after="0" w:line="2" w:lineRule="exact"/>
        <w:rPr>
          <w:sz w:val="20"/>
          <w:szCs w:val="20"/>
          <w:color w:val="auto"/>
        </w:rPr>
      </w:pPr>
    </w:p>
    <w:p>
      <w:pPr>
        <w:ind w:firstLine="180"/>
        <w:spacing w:after="0" w:line="276" w:lineRule="auto"/>
        <w:rPr>
          <w:sz w:val="20"/>
          <w:szCs w:val="20"/>
          <w:color w:val="auto"/>
        </w:rPr>
      </w:pPr>
      <w:r>
        <w:rPr>
          <w:rFonts w:ascii="Arial" w:cs="Arial" w:eastAsia="Arial" w:hAnsi="Arial"/>
          <w:sz w:val="18"/>
          <w:szCs w:val="18"/>
          <w:color w:val="auto"/>
        </w:rPr>
        <w:t xml:space="preserve">During the second quarter of fiscal 2007, the company entered into three treasury lock agreements </w:t>
      </w:r>
      <w:r>
        <w:rPr>
          <w:rFonts w:ascii="Arial" w:cs="Arial" w:eastAsia="Arial" w:hAnsi="Arial"/>
          <w:sz w:val="17"/>
          <w:szCs w:val="17"/>
          <w:color w:val="auto"/>
        </w:rPr>
        <w:t>based on a 30-year U.S. Treasury security</w:t>
      </w:r>
      <w:r>
        <w:rPr>
          <w:rFonts w:ascii="Arial" w:cs="Arial" w:eastAsia="Arial" w:hAnsi="Arial"/>
          <w:sz w:val="18"/>
          <w:szCs w:val="18"/>
          <w:color w:val="auto"/>
        </w:rPr>
        <w:t xml:space="preserve"> </w:t>
      </w:r>
      <w:r>
        <w:rPr>
          <w:rFonts w:ascii="Arial" w:cs="Arial" w:eastAsia="Arial" w:hAnsi="Arial"/>
          <w:sz w:val="17"/>
          <w:szCs w:val="17"/>
          <w:color w:val="auto"/>
        </w:rPr>
        <w:t>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accumulated other comprehensive loss, and will be amortized to interest expense over the 30-year term of the senior notes. The unrecognized loss portion of the fair value of these agreements in accumulated other comprehensive loss as of October 31, 2007 was $179.</w:t>
      </w:r>
    </w:p>
    <w:p>
      <w:pPr>
        <w:spacing w:after="0" w:line="2" w:lineRule="exact"/>
        <w:rPr>
          <w:sz w:val="20"/>
          <w:szCs w:val="20"/>
          <w:color w:val="auto"/>
        </w:rPr>
      </w:pPr>
    </w:p>
    <w:p>
      <w:pPr>
        <w:ind w:right="180" w:firstLine="180"/>
        <w:spacing w:after="0" w:line="271" w:lineRule="auto"/>
        <w:rPr>
          <w:sz w:val="20"/>
          <w:szCs w:val="20"/>
          <w:color w:val="auto"/>
        </w:rPr>
      </w:pPr>
      <w:r>
        <w:rPr>
          <w:rFonts w:ascii="Arial" w:cs="Arial" w:eastAsia="Arial" w:hAnsi="Arial"/>
          <w:sz w:val="18"/>
          <w:szCs w:val="18"/>
          <w:color w:val="auto"/>
        </w:rPr>
        <w:t>The company also enters into other foreign currency exchange contracts to hedge intracompany financing transactions and other activities, which do not meet the hedge accounting criteria of SFAS No. 133, “Accounting for Derivative Instruments and Hedging Activities;” therefore, changes in fair value of these instruments are recorded in 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Fair Value</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 The estimate of fair value for the company’s foreign currency contracts was a net liability of $7,178 and $361 as of October 31, 2007 and 2006, respectively.</w:t>
      </w:r>
    </w:p>
    <w:p>
      <w:pPr>
        <w:spacing w:after="0" w:line="1" w:lineRule="exact"/>
        <w:rPr>
          <w:sz w:val="20"/>
          <w:szCs w:val="20"/>
          <w:color w:val="auto"/>
        </w:rPr>
      </w:pPr>
    </w:p>
    <w:p>
      <w:pPr>
        <w:jc w:val="both"/>
        <w:ind w:right="300" w:firstLine="180"/>
        <w:spacing w:after="0" w:line="270" w:lineRule="auto"/>
        <w:rPr>
          <w:sz w:val="20"/>
          <w:szCs w:val="20"/>
          <w:color w:val="auto"/>
        </w:rPr>
      </w:pPr>
      <w:r>
        <w:rPr>
          <w:rFonts w:ascii="Arial" w:cs="Arial" w:eastAsia="Arial" w:hAnsi="Arial"/>
          <w:sz w:val="18"/>
          <w:szCs w:val="18"/>
          <w:color w:val="auto"/>
        </w:rPr>
        <w:t>As of October 31, 2007, the estimated fair value of long-term debt with fixed interest rates was $241,607 compared to its carrying value of $229,209. As of October 31, 2006, the estimated fair value of long-term debt with fixed interest rates was $184,910 compared to its carrying value of $175,000. The fair value is estimated by discounting the projected cash flows using the rate at which similar amounts of debt could currently be borrowed.</w:t>
      </w:r>
    </w:p>
    <w:p>
      <w:pPr>
        <w:spacing w:after="0" w:line="182" w:lineRule="auto"/>
        <w:rPr>
          <w:sz w:val="20"/>
          <w:szCs w:val="20"/>
          <w:color w:val="auto"/>
        </w:rPr>
      </w:pPr>
      <w:r>
        <w:rPr>
          <w:rFonts w:ascii="Arial" w:cs="Arial" w:eastAsia="Arial" w:hAnsi="Arial"/>
          <w:sz w:val="58"/>
          <w:szCs w:val="58"/>
          <w:b w:val="1"/>
          <w:bCs w:val="1"/>
          <w:color w:val="4673B6"/>
        </w:rPr>
        <w:t xml:space="preserve">14 </w:t>
      </w:r>
      <w:r>
        <w:rPr>
          <w:rFonts w:ascii="Arial" w:cs="Arial" w:eastAsia="Arial" w:hAnsi="Arial"/>
          <w:sz w:val="20"/>
          <w:szCs w:val="20"/>
          <w:b w:val="1"/>
          <w:bCs w:val="1"/>
          <w:color w:val="4673B6"/>
        </w:rPr>
        <w:t>QUARTERLY FINANCIAL DATA</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673B6"/>
        </w:rPr>
        <w:t>(unaudited)</w:t>
      </w:r>
    </w:p>
    <w:p>
      <w:pPr>
        <w:sectPr>
          <w:pgSz w:w="11900" w:h="16838" w:orient="portrait"/>
          <w:cols w:equalWidth="0" w:num="1">
            <w:col w:w="11420"/>
          </w:cols>
          <w:pgMar w:left="240" w:top="152" w:right="239"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fiscal 2007 and 2006 are as follows:</w:t>
      </w:r>
    </w:p>
    <w:p>
      <w:pPr>
        <w:sectPr>
          <w:pgSz w:w="11900" w:h="16838" w:orient="portrait"/>
          <w:cols w:equalWidth="0" w:num="1">
            <w:col w:w="11420"/>
          </w:cols>
          <w:pgMar w:left="240" w:top="152" w:right="239" w:bottom="0" w:gutter="0" w:footer="0" w:header="0"/>
          <w:type w:val="continuous"/>
        </w:sectPr>
      </w:pPr>
    </w:p>
    <w:bookmarkStart w:id="48" w:name="page49"/>
    <w:bookmarkEnd w:id="48"/>
    <w:tbl>
      <w:tblPr>
        <w:tblLayout w:type="fixed"/>
        <w:tblInd w:w="3420" w:type="dxa"/>
        <w:tblCellMar>
          <w:top w:w="0" w:type="dxa"/>
          <w:left w:w="0" w:type="dxa"/>
          <w:bottom w:w="0" w:type="dxa"/>
          <w:right w:w="0" w:type="dxa"/>
        </w:tblCellMar>
      </w:tblPr>
      <w:tr>
        <w:trPr>
          <w:trHeight w:val="204"/>
        </w:trPr>
        <w:tc>
          <w:tcPr>
            <w:tcW w:w="14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Fiscal year ended</w:t>
            </w: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Arial" w:cs="Arial" w:eastAsia="Arial" w:hAnsi="Arial"/>
                <w:sz w:val="14"/>
                <w:szCs w:val="14"/>
                <w:color w:val="auto"/>
              </w:rPr>
              <w:t>October 31, 2007</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Second</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Third</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Arial" w:cs="Arial" w:eastAsia="Arial" w:hAnsi="Arial"/>
                <w:sz w:val="14"/>
                <w:szCs w:val="14"/>
                <w:color w:val="auto"/>
              </w:rPr>
              <w:t>Quarter</w:t>
            </w: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$379,088</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$ 686,653</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$ 478,707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$ 332,456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140,065</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244,716</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177,443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116,151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18,450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74,966</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42,486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Arial" w:cs="Arial" w:eastAsia="Arial" w:hAnsi="Arial"/>
                <w:sz w:val="14"/>
                <w:szCs w:val="14"/>
                <w:b w:val="1"/>
                <w:bCs w:val="1"/>
                <w:color w:val="auto"/>
              </w:rPr>
              <w:t>Basic net earnings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color w:val="auto"/>
                <w:vertAlign w:val="superscript"/>
              </w:rPr>
              <w:t>1</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0.45</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1.82</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1.05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net earnings</w:t>
            </w: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color w:val="auto"/>
                <w:vertAlign w:val="superscript"/>
              </w:rPr>
              <w:t>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0.44</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1.77</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20"/>
                <w:szCs w:val="20"/>
                <w:color w:val="auto"/>
              </w:rPr>
            </w:pPr>
            <w:r>
              <w:rPr>
                <w:rFonts w:ascii="Arial" w:cs="Arial" w:eastAsia="Arial" w:hAnsi="Arial"/>
                <w:sz w:val="14"/>
                <w:szCs w:val="14"/>
                <w:color w:val="auto"/>
              </w:rPr>
              <w:t>Fiscal year ended</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Arial" w:cs="Arial" w:eastAsia="Arial" w:hAnsi="Arial"/>
                <w:sz w:val="14"/>
                <w:szCs w:val="14"/>
                <w:color w:val="auto"/>
              </w:rPr>
              <w:t>October 31, 2006</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Arial" w:cs="Arial" w:eastAsia="Arial" w:hAnsi="Arial"/>
                <w:sz w:val="14"/>
                <w:szCs w:val="14"/>
                <w:color w:val="auto"/>
              </w:rPr>
              <w:t>Quarter</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Second</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183"/>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sales</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$369,640</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$ 659,004</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$ 477,861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$ 329,486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Arial" w:cs="Arial" w:eastAsia="Arial" w:hAnsi="Arial"/>
                <w:sz w:val="14"/>
                <w:szCs w:val="14"/>
                <w:color w:val="auto"/>
              </w:rPr>
              <w:t>Gross profit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131,874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230,256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170,336</w:t>
            </w:r>
          </w:p>
        </w:tc>
        <w:tc>
          <w:tcPr>
            <w:tcW w:w="740" w:type="dxa"/>
            <w:vAlign w:val="bottom"/>
          </w:tcPr>
          <w:p>
            <w:pPr>
              <w:jc w:val="right"/>
              <w:spacing w:after="0"/>
              <w:rPr>
                <w:sz w:val="20"/>
                <w:szCs w:val="20"/>
                <w:color w:val="auto"/>
              </w:rPr>
            </w:pPr>
            <w:r>
              <w:rPr>
                <w:rFonts w:ascii="Arial" w:cs="Arial" w:eastAsia="Arial" w:hAnsi="Arial"/>
                <w:sz w:val="14"/>
                <w:szCs w:val="14"/>
                <w:color w:val="auto"/>
              </w:rPr>
              <w:t>110,850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14,279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70,082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20"/>
                <w:szCs w:val="20"/>
                <w:color w:val="auto"/>
              </w:rPr>
            </w:pPr>
            <w:r>
              <w:rPr>
                <w:rFonts w:ascii="Arial" w:cs="Arial" w:eastAsia="Arial" w:hAnsi="Arial"/>
                <w:sz w:val="14"/>
                <w:szCs w:val="14"/>
                <w:color w:val="auto"/>
              </w:rPr>
              <w:t>Basic net earnings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180"/>
              <w:spacing w:after="0"/>
              <w:rPr>
                <w:sz w:val="20"/>
                <w:szCs w:val="20"/>
                <w:color w:val="auto"/>
              </w:rPr>
            </w:pPr>
            <w:r>
              <w:rPr>
                <w:rFonts w:ascii="Arial" w:cs="Arial" w:eastAsia="Arial" w:hAnsi="Arial"/>
                <w:sz w:val="14"/>
                <w:szCs w:val="14"/>
                <w:color w:val="auto"/>
              </w:rPr>
              <w:t>per share</w:t>
            </w:r>
            <w:r>
              <w:rPr>
                <w:rFonts w:ascii="Arial" w:cs="Arial" w:eastAsia="Arial" w:hAnsi="Arial"/>
                <w:sz w:val="17"/>
                <w:szCs w:val="17"/>
                <w:color w:val="auto"/>
                <w:vertAlign w:val="superscript"/>
              </w:rPr>
              <w:t>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0.94</w:t>
            </w:r>
          </w:p>
        </w:tc>
        <w:tc>
          <w:tcPr>
            <w:tcW w:w="740" w:type="dxa"/>
            <w:vAlign w:val="bottom"/>
          </w:tcPr>
          <w:p>
            <w:pPr>
              <w:jc w:val="right"/>
              <w:spacing w:after="0"/>
              <w:rPr>
                <w:sz w:val="20"/>
                <w:szCs w:val="20"/>
                <w:color w:val="auto"/>
              </w:rPr>
            </w:pPr>
            <w:r>
              <w:rPr>
                <w:rFonts w:ascii="Arial" w:cs="Arial" w:eastAsia="Arial" w:hAnsi="Arial"/>
                <w:sz w:val="14"/>
                <w:szCs w:val="14"/>
                <w:color w:val="auto"/>
              </w:rPr>
              <w:t>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Diluted net earnings</w:t>
            </w: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per share</w:t>
            </w:r>
            <w:r>
              <w:rPr>
                <w:rFonts w:ascii="Arial" w:cs="Arial" w:eastAsia="Arial" w:hAnsi="Arial"/>
                <w:sz w:val="17"/>
                <w:szCs w:val="17"/>
                <w:color w:val="auto"/>
                <w:vertAlign w:val="superscript"/>
              </w:rPr>
              <w:t>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0.32</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20" w:hanging="112"/>
        <w:spacing w:after="0" w:line="220" w:lineRule="auto"/>
        <w:tabs>
          <w:tab w:leader="none" w:pos="1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223" w:lineRule="exact"/>
        <w:rPr>
          <w:sz w:val="20"/>
          <w:szCs w:val="20"/>
          <w:color w:val="auto"/>
        </w:rPr>
      </w:pPr>
    </w:p>
    <w:p>
      <w:pPr>
        <w:ind w:left="800" w:right="640" w:hanging="791"/>
        <w:spacing w:after="0" w:line="299" w:lineRule="auto"/>
        <w:rPr>
          <w:sz w:val="20"/>
          <w:szCs w:val="20"/>
          <w:color w:val="auto"/>
        </w:rPr>
      </w:pPr>
      <w:r>
        <w:rPr>
          <w:rFonts w:ascii="Arial" w:cs="Arial" w:eastAsia="Arial" w:hAnsi="Arial"/>
          <w:sz w:val="22"/>
          <w:szCs w:val="22"/>
          <w:b w:val="1"/>
          <w:bCs w:val="1"/>
          <w:color w:val="4673B6"/>
        </w:rPr>
        <w:t>ITEM 9. CHANGES IN AND DISAGREEMENTS WITH ACCOUNTANTS ON ACCOUNTING AND FINANCIAL DISCLOSURE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9A. CONTROLS AND PROCEDURES</w:t>
      </w:r>
    </w:p>
    <w:p>
      <w:pPr>
        <w:spacing w:after="0" w:line="23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in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Toro and its consolidated subsidiaries is made known to management, including the Chief Executive Officer and Chief Financial Officer, particularly during the period when our periodic reports are being prepared.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2007 that has materially affected, or is reasonably likely to materially affect, the company’s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PART III</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10. DIRECTORS, EXECUTIVE OFFICERS AND CORPORATE GOVERNANCE</w:t>
      </w:r>
    </w:p>
    <w:p>
      <w:pPr>
        <w:spacing w:after="0" w:line="13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“Stock Ownership – Section 16(a) Beneficial Ownership Reporting Compliance”, “Proposal One</w:t>
      </w:r>
    </w:p>
    <w:p>
      <w:pPr>
        <w:spacing w:after="0" w:line="1"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 xml:space="preserve">– Election of Directors – Information About Board Nominees and Continuing Directors”, “Corporate Governance – Code of Conduct and Code of Ethics for the CEO and Senior Financial Officers”, and “Corporate Governance – Board Committees – </w:t>
      </w:r>
      <w:r>
        <w:rPr>
          <w:rFonts w:ascii="Arial" w:cs="Arial" w:eastAsia="Arial" w:hAnsi="Arial"/>
          <w:sz w:val="18"/>
          <w:szCs w:val="18"/>
          <w:i w:val="1"/>
          <w:iCs w:val="1"/>
          <w:color w:val="auto"/>
        </w:rPr>
        <w:t>Audit Committee</w:t>
      </w:r>
      <w:r>
        <w:rPr>
          <w:rFonts w:ascii="Arial" w:cs="Arial" w:eastAsia="Arial" w:hAnsi="Arial"/>
          <w:sz w:val="18"/>
          <w:szCs w:val="18"/>
          <w:color w:val="auto"/>
        </w:rPr>
        <w:t>”, in the company’s 2008 proxy statement to be filed with the Securities and Exchange Commission.</w:t>
      </w:r>
    </w:p>
    <w:p>
      <w:pPr>
        <w:sectPr>
          <w:pgSz w:w="11900" w:h="16838" w:orient="portrait"/>
          <w:cols w:equalWidth="0" w:num="1">
            <w:col w:w="11400"/>
          </w:cols>
          <w:pgMar w:left="240" w:top="120" w:right="259" w:bottom="0" w:gutter="0" w:footer="0" w:header="0"/>
        </w:sectPr>
      </w:pPr>
    </w:p>
    <w:bookmarkStart w:id="49" w:name="page50"/>
    <w:bookmarkEnd w:id="49"/>
    <w:p>
      <w:pPr>
        <w:spacing w:after="0" w:line="42" w:lineRule="exact"/>
        <w:rPr>
          <w:sz w:val="20"/>
          <w:szCs w:val="20"/>
          <w:color w:val="auto"/>
        </w:rPr>
      </w:pPr>
    </w:p>
    <w:p>
      <w:pPr>
        <w:ind w:right="100" w:firstLine="180"/>
        <w:spacing w:after="0" w:line="270" w:lineRule="auto"/>
        <w:rPr>
          <w:sz w:val="20"/>
          <w:szCs w:val="20"/>
          <w:color w:val="auto"/>
        </w:rPr>
      </w:pPr>
      <w:r>
        <w:rPr>
          <w:rFonts w:ascii="Arial" w:cs="Arial" w:eastAsia="Arial" w:hAnsi="Arial"/>
          <w:sz w:val="18"/>
          <w:szCs w:val="18"/>
          <w:color w:val="auto"/>
        </w:rPr>
        <w:t xml:space="preserve">During the fourth quarter of fiscal 2007, the company made no material changes to the procedures by which stockholders may recommend nominees to the board of directors, as described in the company’s most recent proxy statement. The company intends to satisfy disclosure requirements regarding its code of ethics, including amendments to or waivers from the code, by posting such information on our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 select the “Investor Information” link and then the “Corporate Governance” link.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11. EXECUTIVE COMPENSATION</w:t>
      </w:r>
    </w:p>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Officer Compensation” and “Corporate Governance – Director Compensation” in the company’s 2008 proxy statement to be filed with the Securities and Exchange Commission.</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0" w:right="380" w:hanging="791"/>
        <w:spacing w:after="0" w:line="248" w:lineRule="auto"/>
        <w:rPr>
          <w:sz w:val="20"/>
          <w:szCs w:val="20"/>
          <w:color w:val="auto"/>
        </w:rPr>
      </w:pPr>
      <w:r>
        <w:rPr>
          <w:rFonts w:ascii="Arial" w:cs="Arial" w:eastAsia="Arial" w:hAnsi="Arial"/>
          <w:sz w:val="22"/>
          <w:szCs w:val="22"/>
          <w:b w:val="1"/>
          <w:bCs w:val="1"/>
          <w:color w:val="4673B6"/>
        </w:rPr>
        <w:t>ITEM 12. SECURITY OWNERSHIP OF CERTAIN BENEFICIAL OWNERS AND MANAGEMENT AND RELATED STOCKHOLDER MATTERS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“Equity Compensation Plan Information” in the company’s 2008 proxy statement to be filed with the Securities and Exchange Commission.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13. CERTAIN RELATIONSHIPS AND RELATED TRANSACTIONS, AND DIRECTOR INDEPENDENCE</w:t>
      </w:r>
    </w:p>
    <w:p>
      <w:pPr>
        <w:spacing w:after="0" w:line="13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2008 proxy statement to be filed with the Securities and Exchange Commission.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14. PRINCIPAL ACCOUNTING FEES AND SERVICES</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Three – Ratification of Selection of Independent Registered Public Accounting Firm – Audit, Audit-Related, Tax and Other Fees” and “Proposal Three – Ratification of Selection of Independent Registered Public Accounting Firm – Pre-Approval Policies and Procedures” in the company’s 2008 proxy statement to be filed with the Securities and Exchange Commission.</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4673B6"/>
        </w:rPr>
        <w:t>PART IV</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15. 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1.  List of Financial Statements</w:t>
      </w:r>
    </w:p>
    <w:p>
      <w:pPr>
        <w:spacing w:after="0" w:line="4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consolidated financial statements of The Toro Company and its subsidiaries are included in Part II, Item 8, “Financial Statements and Supplementary Data” of this report:</w:t>
      </w:r>
    </w:p>
    <w:p>
      <w:pPr>
        <w:spacing w:after="0" w:line="14" w:lineRule="exact"/>
        <w:rPr>
          <w:sz w:val="20"/>
          <w:szCs w:val="20"/>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2007, 2006, and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Balance Sheets as of October 31, 2007 and 2006.</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2007, 2006, and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for the fiscal years ended October 31, 2007, 2006, and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2.  List of Financial Statement Schedules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3" w:lineRule="exact"/>
        <w:rPr>
          <w:sz w:val="20"/>
          <w:szCs w:val="20"/>
          <w:color w:val="auto"/>
        </w:rPr>
      </w:pPr>
    </w:p>
    <w:p>
      <w:pPr>
        <w:ind w:left="160" w:hanging="152"/>
        <w:spacing w:after="0"/>
        <w:tabs>
          <w:tab w:leader="none" w:pos="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w:t>
      </w:r>
      <w:r>
        <w:rPr>
          <w:rFonts w:ascii="Arial" w:cs="Arial" w:eastAsia="Arial" w:hAnsi="Arial"/>
          <w:sz w:val="17"/>
          <w:szCs w:val="17"/>
          <w:b w:val="1"/>
          <w:bCs w:val="1"/>
          <w:color w:val="4673B6"/>
        </w:rPr>
        <w:t>) 3.  List of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26" w:lineRule="exact"/>
        <w:rPr>
          <w:sz w:val="20"/>
          <w:szCs w:val="20"/>
          <w:color w:val="auto"/>
        </w:rPr>
      </w:pPr>
    </w:p>
    <w:p>
      <w:pPr>
        <w:spacing w:after="0"/>
        <w:tabs>
          <w:tab w:leader="none" w:pos="67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3(i) and 4(a) </w:t>
      </w:r>
      <w:r>
        <w:rPr>
          <w:rFonts w:ascii="Arial" w:cs="Arial" w:eastAsia="Arial" w:hAnsi="Arial"/>
          <w:sz w:val="18"/>
          <w:szCs w:val="18"/>
          <w:color w:val="auto"/>
        </w:rPr>
        <w:t>The Toro Company Amended and Restated Certificate of Incorporation (incorporated by reference to Exhibit 3(i)(a) and 4(a)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March 15, 2005, Commission File No. 1-8649).</w:t>
      </w:r>
    </w:p>
    <w:p>
      <w:pPr>
        <w:spacing w:after="0" w:line="45" w:lineRule="exact"/>
        <w:rPr>
          <w:sz w:val="20"/>
          <w:szCs w:val="20"/>
          <w:color w:val="auto"/>
        </w:rPr>
      </w:pPr>
    </w:p>
    <w:p>
      <w:pPr>
        <w:ind w:right="660"/>
        <w:spacing w:after="0" w:line="303" w:lineRule="auto"/>
        <w:rPr>
          <w:sz w:val="20"/>
          <w:szCs w:val="20"/>
          <w:color w:val="auto"/>
        </w:rPr>
      </w:pPr>
      <w:r>
        <w:rPr>
          <w:rFonts w:ascii="Arial" w:cs="Arial" w:eastAsia="Arial" w:hAnsi="Arial"/>
          <w:sz w:val="18"/>
          <w:szCs w:val="18"/>
          <w:b w:val="1"/>
          <w:bCs w:val="1"/>
          <w:color w:val="auto"/>
        </w:rPr>
        <w:t xml:space="preserve">3(ii) and 4(b) </w:t>
      </w:r>
      <w:r>
        <w:rPr>
          <w:rFonts w:ascii="Arial" w:cs="Arial" w:eastAsia="Arial" w:hAnsi="Arial"/>
          <w:sz w:val="18"/>
          <w:szCs w:val="18"/>
          <w:color w:val="auto"/>
        </w:rPr>
        <w:t>Bylaws of The Toro Company (incorporated by reference to Exhibit 3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4(c) </w:t>
      </w:r>
      <w:r>
        <w:rPr>
          <w:rFonts w:ascii="Arial" w:cs="Arial" w:eastAsia="Arial" w:hAnsi="Arial"/>
          <w:sz w:val="18"/>
          <w:szCs w:val="18"/>
          <w:color w:val="auto"/>
        </w:rPr>
        <w:t>Specimen Form of Common Stock Certificate (incorporated by reference to Exhibit 4(c) to Registrant’s Annual Report on Form 10-K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ended October 31, 2006).</w:t>
      </w:r>
    </w:p>
    <w:p>
      <w:pPr>
        <w:spacing w:after="0" w:line="45" w:lineRule="exact"/>
        <w:rPr>
          <w:sz w:val="20"/>
          <w:szCs w:val="20"/>
          <w:color w:val="auto"/>
        </w:rPr>
      </w:pPr>
    </w:p>
    <w:p>
      <w:pPr>
        <w:ind w:right="320"/>
        <w:spacing w:after="0" w:line="335" w:lineRule="auto"/>
        <w:rPr>
          <w:sz w:val="20"/>
          <w:szCs w:val="20"/>
          <w:color w:val="auto"/>
        </w:rPr>
      </w:pPr>
      <w:r>
        <w:rPr>
          <w:rFonts w:ascii="Arial" w:cs="Arial" w:eastAsia="Arial" w:hAnsi="Arial"/>
          <w:sz w:val="17"/>
          <w:szCs w:val="17"/>
          <w:b w:val="1"/>
          <w:bCs w:val="1"/>
          <w:color w:val="auto"/>
        </w:rPr>
        <w:t xml:space="preserve">4(d) </w:t>
      </w:r>
      <w:r>
        <w:rPr>
          <w:rFonts w:ascii="Arial" w:cs="Arial" w:eastAsia="Arial" w:hAnsi="Arial"/>
          <w:sz w:val="17"/>
          <w:szCs w:val="17"/>
          <w:color w:val="auto"/>
        </w:rPr>
        <w:t>Rights Agreement dated as of May 20, 1998, between The Toro Company and Wells Fargo Bank, N.A. relating to rights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B Junior Participating Voting Preferred Stock, as amended (incorporated by reference to Exhibit 1 to Registrant’s Current Report on</w:t>
      </w:r>
    </w:p>
    <w:p>
      <w:pPr>
        <w:sectPr>
          <w:pgSz w:w="11900" w:h="16880" w:orient="portrait"/>
          <w:cols w:equalWidth="0" w:num="1">
            <w:col w:w="11320"/>
          </w:cols>
          <w:pgMar w:left="240" w:top="152" w:right="3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Form 8-K dated May 20, 1998, Commission File No. 1-8649).</w:t>
      </w:r>
    </w:p>
    <w:p>
      <w:pPr>
        <w:spacing w:after="0" w:line="109"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b w:val="1"/>
          <w:bCs w:val="1"/>
          <w:color w:val="auto"/>
        </w:rPr>
        <w:t xml:space="preserve">4(e) </w:t>
      </w:r>
      <w:r>
        <w:rPr>
          <w:rFonts w:ascii="Arial" w:cs="Arial" w:eastAsia="Arial" w:hAnsi="Arial"/>
          <w:sz w:val="18"/>
          <w:szCs w:val="18"/>
          <w:color w:val="auto"/>
        </w:rPr>
        <w:t>Certificate of Adjusted Purchase Price or Number of Shares dated April 14, 2003 filed by The Toro Company with Wells Fargo Bank,</w:t>
      </w:r>
      <w:r>
        <w:rPr>
          <w:rFonts w:ascii="Arial" w:cs="Arial" w:eastAsia="Arial" w:hAnsi="Arial"/>
          <w:sz w:val="18"/>
          <w:szCs w:val="18"/>
          <w:b w:val="1"/>
          <w:bCs w:val="1"/>
          <w:color w:val="auto"/>
        </w:rPr>
        <w:t xml:space="preserve"> </w:t>
      </w:r>
      <w:r>
        <w:rPr>
          <w:rFonts w:ascii="Arial" w:cs="Arial" w:eastAsia="Arial" w:hAnsi="Arial"/>
          <w:sz w:val="18"/>
          <w:szCs w:val="18"/>
          <w:color w:val="auto"/>
        </w:rPr>
        <w:t>N.A., as Rights Agent, in connection with Rights Agreement dated as of May 20, 1998 (incorporated by reference to Exhibit 2 to Registrant’s Amendment No. 1 to Registration Statement on Form 8-A/A dated April 14, 2003, Commission File No. 1-8649).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auto"/>
        </w:rPr>
        <w:t xml:space="preserve">4(f) </w:t>
      </w:r>
      <w:r>
        <w:rPr>
          <w:rFonts w:ascii="Arial" w:cs="Arial" w:eastAsia="Arial" w:hAnsi="Arial"/>
          <w:sz w:val="18"/>
          <w:szCs w:val="18"/>
          <w:color w:val="auto"/>
        </w:rPr>
        <w:t>Certificate of Adjusted Purchase Price or Number of Shares dated April 12, 2005 filed by The Toro Company with Wells Fargo Bank, N.A.,</w:t>
      </w:r>
      <w:r>
        <w:rPr>
          <w:rFonts w:ascii="Arial" w:cs="Arial" w:eastAsia="Arial" w:hAnsi="Arial"/>
          <w:sz w:val="18"/>
          <w:szCs w:val="18"/>
          <w:b w:val="1"/>
          <w:bCs w:val="1"/>
          <w:color w:val="auto"/>
        </w:rPr>
        <w:t xml:space="preserve"> </w:t>
      </w:r>
      <w:r>
        <w:rPr>
          <w:rFonts w:ascii="Arial" w:cs="Arial" w:eastAsia="Arial" w:hAnsi="Arial"/>
          <w:sz w:val="18"/>
          <w:szCs w:val="18"/>
          <w:color w:val="auto"/>
        </w:rPr>
        <w:t>as Rights Agent, in connection with Rights Agreement dated as of May 20, 1998 (incorporated by reference to Exhibit 2 to Registrant’s Amendment No. 2 to Registration Statement on Form 8-A/A dated March 21, 2005, Commission File No. 1-8649).</w:t>
      </w:r>
    </w:p>
    <w:p>
      <w:pPr>
        <w:spacing w:after="0" w:line="62"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 xml:space="preserve">4(g) </w:t>
      </w:r>
      <w:r>
        <w:rPr>
          <w:rFonts w:ascii="Arial" w:cs="Arial" w:eastAsia="Arial" w:hAnsi="Arial"/>
          <w:sz w:val="18"/>
          <w:szCs w:val="18"/>
          <w:color w:val="auto"/>
        </w:rPr>
        <w:t>Indenture dated as of January 31, 1997, between The Toro Company and First National Trust Association, as Trustee,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Toro Company’s June 15, 2007 and its 7.80% Debentures due June 15, 2027 (incorporated by reference to Exhibit 4(a) to Registrant’s Current Report on Form 8-K for June 24, 1997, Commission File No. 1-8649).</w:t>
      </w:r>
    </w:p>
    <w:p>
      <w:pPr>
        <w:spacing w:after="0" w:line="62"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b w:val="1"/>
          <w:bCs w:val="1"/>
          <w:color w:val="auto"/>
        </w:rPr>
        <w:t xml:space="preserve">4(h) </w:t>
      </w:r>
      <w:r>
        <w:rPr>
          <w:rFonts w:ascii="Arial" w:cs="Arial" w:eastAsia="Arial" w:hAnsi="Arial"/>
          <w:sz w:val="18"/>
          <w:szCs w:val="18"/>
          <w:color w:val="auto"/>
        </w:rPr>
        <w:t>Indenture dated as of April 20, 2007, between The Toro Company, as issuer, and The Bank of New York Trust Company, N.A.,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relating to The Toro Company’s 6.625% Notes due May 1, 2037 (incorporated by reference to Exhibit 4.3 to Registrant’s Registration Statement on Form S-3 as filed with the Securities and Exchange Commission on April 23, 2007, Registration No. 333-142282).</w:t>
      </w:r>
    </w:p>
    <w:p>
      <w:pPr>
        <w:spacing w:after="0" w:line="62" w:lineRule="exact"/>
        <w:rPr>
          <w:sz w:val="20"/>
          <w:szCs w:val="20"/>
          <w:color w:val="auto"/>
        </w:rPr>
      </w:pPr>
    </w:p>
    <w:p>
      <w:pPr>
        <w:jc w:val="both"/>
        <w:ind w:right="640"/>
        <w:spacing w:after="0" w:line="284" w:lineRule="auto"/>
        <w:rPr>
          <w:sz w:val="20"/>
          <w:szCs w:val="20"/>
          <w:color w:val="auto"/>
        </w:rPr>
      </w:pPr>
      <w:r>
        <w:rPr>
          <w:rFonts w:ascii="Arial" w:cs="Arial" w:eastAsia="Arial" w:hAnsi="Arial"/>
          <w:sz w:val="18"/>
          <w:szCs w:val="18"/>
          <w:b w:val="1"/>
          <w:bCs w:val="1"/>
          <w:color w:val="auto"/>
        </w:rPr>
        <w:t xml:space="preserve">4(i) </w:t>
      </w:r>
      <w:r>
        <w:rPr>
          <w:rFonts w:ascii="Arial" w:cs="Arial" w:eastAsia="Arial" w:hAnsi="Arial"/>
          <w:sz w:val="18"/>
          <w:szCs w:val="18"/>
          <w:color w:val="auto"/>
        </w:rPr>
        <w:t>First Supplemental Indenture dated as of April 26, 2007, between The Toro Company, as issuer, and The Bank of New York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N.A., as Trustee, relating to The Toro Company’s 6.625% Notes due May 1, 2037 (incorporated by reference to Exhibit 4.1 to Registrant’s Current Report on Form 8-K dated April 23, 2007, Commission File No. 1-8649).</w:t>
      </w:r>
    </w:p>
    <w:p>
      <w:pPr>
        <w:spacing w:after="0" w:line="62"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color w:val="auto"/>
        </w:rPr>
        <w:t xml:space="preserve">4(j) </w:t>
      </w:r>
      <w:r>
        <w:rPr>
          <w:rFonts w:ascii="Arial" w:cs="Arial" w:eastAsia="Arial" w:hAnsi="Arial"/>
          <w:sz w:val="18"/>
          <w:szCs w:val="18"/>
          <w:color w:val="auto"/>
        </w:rPr>
        <w:t>Form of The Toro Company 6.625% Note due May 1, 2037 (incorporated by reference to Exhibit 4.2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April 23, 2007, Commission File No. 1-8649).</w:t>
      </w:r>
    </w:p>
    <w:p>
      <w:pPr>
        <w:spacing w:after="0" w:line="45" w:lineRule="exact"/>
        <w:rPr>
          <w:sz w:val="20"/>
          <w:szCs w:val="20"/>
          <w:color w:val="auto"/>
        </w:rPr>
      </w:pPr>
    </w:p>
    <w:p>
      <w:pPr>
        <w:ind w:right="460"/>
        <w:spacing w:after="0" w:line="303" w:lineRule="auto"/>
        <w:rPr>
          <w:sz w:val="20"/>
          <w:szCs w:val="20"/>
          <w:color w:val="auto"/>
        </w:rPr>
      </w:pPr>
      <w:r>
        <w:rPr>
          <w:rFonts w:ascii="Arial" w:cs="Arial" w:eastAsia="Arial" w:hAnsi="Arial"/>
          <w:sz w:val="18"/>
          <w:szCs w:val="18"/>
          <w:b w:val="1"/>
          <w:bCs w:val="1"/>
          <w:color w:val="auto"/>
        </w:rPr>
        <w:t xml:space="preserve">10(a) </w:t>
      </w:r>
      <w:r>
        <w:rPr>
          <w:rFonts w:ascii="Arial" w:cs="Arial" w:eastAsia="Arial" w:hAnsi="Arial"/>
          <w:sz w:val="18"/>
          <w:szCs w:val="18"/>
          <w:color w:val="auto"/>
        </w:rPr>
        <w:t>Form of Employment Agreement in effect for executive officers of The Toro Company (incorporated by reference to Exhibit 10(a)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July 30, 1999).*</w:t>
      </w:r>
    </w:p>
    <w:p>
      <w:pPr>
        <w:spacing w:after="0" w:line="45"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 xml:space="preserve">10(b) </w:t>
      </w:r>
      <w:r>
        <w:rPr>
          <w:rFonts w:ascii="Arial" w:cs="Arial" w:eastAsia="Arial" w:hAnsi="Arial"/>
          <w:sz w:val="18"/>
          <w:szCs w:val="18"/>
          <w:color w:val="auto"/>
        </w:rPr>
        <w:t>The Toro Company Annual Management Incentive Plan II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April 29, 2005).*</w:t>
      </w:r>
    </w:p>
    <w:p>
      <w:pPr>
        <w:spacing w:after="0" w:line="45"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 xml:space="preserve">10(c)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w:t>
      </w:r>
    </w:p>
    <w:p>
      <w:pPr>
        <w:spacing w:after="0" w:line="45"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10(d) </w:t>
      </w:r>
      <w:r>
        <w:rPr>
          <w:rFonts w:ascii="Arial" w:cs="Arial" w:eastAsia="Arial" w:hAnsi="Arial"/>
          <w:sz w:val="18"/>
          <w:szCs w:val="18"/>
          <w:color w:val="auto"/>
        </w:rPr>
        <w:t>The Toro Company Performance Share Plan (incorporated by reference to Exhibit 10(e) to Registrant’s Quarterly Report on Form 10-Q</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quarter ended February 2, 2007).*</w:t>
      </w:r>
    </w:p>
    <w:p>
      <w:pPr>
        <w:spacing w:after="0" w:line="4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10(e) </w:t>
      </w:r>
      <w:r>
        <w:rPr>
          <w:rFonts w:ascii="Arial" w:cs="Arial" w:eastAsia="Arial" w:hAnsi="Arial"/>
          <w:sz w:val="18"/>
          <w:szCs w:val="18"/>
          <w:color w:val="auto"/>
        </w:rPr>
        <w:t>The Toro Company 2000 Stock Option Plan, as amended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May 5, 2006).*</w:t>
      </w:r>
    </w:p>
    <w:p>
      <w:pPr>
        <w:spacing w:after="0" w:line="45"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color w:val="auto"/>
        </w:rPr>
        <w:t xml:space="preserve">10(f) </w:t>
      </w:r>
      <w:r>
        <w:rPr>
          <w:rFonts w:ascii="Arial" w:cs="Arial" w:eastAsia="Arial" w:hAnsi="Arial"/>
          <w:sz w:val="18"/>
          <w:szCs w:val="18"/>
          <w:color w:val="auto"/>
        </w:rPr>
        <w:t>The Toro Company Supplemental Benefit Plan (formerly The Toro Company Supplement Management Retirement Plan)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to Exhibit 10(h) to Registrant’s Quarterly Report on Form 10-Q for the quarter ended July 30, 1999).*</w:t>
      </w:r>
    </w:p>
    <w:p>
      <w:pPr>
        <w:spacing w:after="0" w:line="45"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 xml:space="preserve">10(g) </w:t>
      </w:r>
      <w:r>
        <w:rPr>
          <w:rFonts w:ascii="Arial" w:cs="Arial" w:eastAsia="Arial" w:hAnsi="Arial"/>
          <w:sz w:val="18"/>
          <w:szCs w:val="18"/>
          <w:color w:val="auto"/>
        </w:rPr>
        <w:t>Amendment to The Toro Company Supplemental Benefit Plan (formerly The Toro Company Supplement Management Retirement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July 30, 2004).*</w:t>
      </w:r>
    </w:p>
    <w:p>
      <w:pPr>
        <w:spacing w:after="0" w:line="4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10(h) </w:t>
      </w:r>
      <w:r>
        <w:rPr>
          <w:rFonts w:ascii="Arial" w:cs="Arial" w:eastAsia="Arial" w:hAnsi="Arial"/>
          <w:sz w:val="18"/>
          <w:szCs w:val="18"/>
          <w:color w:val="auto"/>
        </w:rPr>
        <w:t>Amendment No. 2 to The Toro Company Supplemental Benefit Plan (incorporated by reference to Exhibit 10(g)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45" w:lineRule="exact"/>
        <w:rPr>
          <w:sz w:val="20"/>
          <w:szCs w:val="20"/>
          <w:color w:val="auto"/>
        </w:rPr>
      </w:pPr>
    </w:p>
    <w:p>
      <w:pPr>
        <w:ind w:right="740"/>
        <w:spacing w:after="0" w:line="303" w:lineRule="auto"/>
        <w:rPr>
          <w:sz w:val="20"/>
          <w:szCs w:val="20"/>
          <w:color w:val="auto"/>
        </w:rPr>
      </w:pPr>
      <w:r>
        <w:rPr>
          <w:rFonts w:ascii="Arial" w:cs="Arial" w:eastAsia="Arial" w:hAnsi="Arial"/>
          <w:sz w:val="18"/>
          <w:szCs w:val="18"/>
          <w:b w:val="1"/>
          <w:bCs w:val="1"/>
          <w:color w:val="auto"/>
        </w:rPr>
        <w:t xml:space="preserve">10(i) </w:t>
      </w:r>
      <w:r>
        <w:rPr>
          <w:rFonts w:ascii="Arial" w:cs="Arial" w:eastAsia="Arial" w:hAnsi="Arial"/>
          <w:sz w:val="18"/>
          <w:szCs w:val="18"/>
          <w:color w:val="auto"/>
        </w:rPr>
        <w:t>The Toro Company Deferred Compensation Plan (formerly The Toro Company Supplemental Retirement Plan)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10(i) to Registrant’s Quarterly Report on Form 10-Q for the quarter ended July 30, 1999).*</w:t>
      </w:r>
    </w:p>
    <w:p>
      <w:pPr>
        <w:spacing w:after="0" w:line="45" w:lineRule="exact"/>
        <w:rPr>
          <w:sz w:val="20"/>
          <w:szCs w:val="20"/>
          <w:color w:val="auto"/>
        </w:rPr>
      </w:pPr>
    </w:p>
    <w:p>
      <w:pPr>
        <w:ind w:right="680"/>
        <w:spacing w:after="0" w:line="303" w:lineRule="auto"/>
        <w:rPr>
          <w:sz w:val="20"/>
          <w:szCs w:val="20"/>
          <w:color w:val="auto"/>
        </w:rPr>
      </w:pPr>
      <w:r>
        <w:rPr>
          <w:rFonts w:ascii="Arial" w:cs="Arial" w:eastAsia="Arial" w:hAnsi="Arial"/>
          <w:sz w:val="18"/>
          <w:szCs w:val="18"/>
          <w:b w:val="1"/>
          <w:bCs w:val="1"/>
          <w:color w:val="auto"/>
        </w:rPr>
        <w:t xml:space="preserve">10(j) </w:t>
      </w:r>
      <w:r>
        <w:rPr>
          <w:rFonts w:ascii="Arial" w:cs="Arial" w:eastAsia="Arial" w:hAnsi="Arial"/>
          <w:sz w:val="18"/>
          <w:szCs w:val="18"/>
          <w:color w:val="auto"/>
        </w:rPr>
        <w:t>Amendment No. 1 to The Toro Company Deferred Compensation Plan (incorporated by reference to Exhibit 10(h)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February 2, 2007).*</w:t>
      </w:r>
    </w:p>
    <w:p>
      <w:pPr>
        <w:spacing w:after="0" w:line="45"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 xml:space="preserve">10(k) </w:t>
      </w:r>
      <w:r>
        <w:rPr>
          <w:rFonts w:ascii="Arial" w:cs="Arial" w:eastAsia="Arial" w:hAnsi="Arial"/>
          <w:sz w:val="18"/>
          <w:szCs w:val="18"/>
          <w:color w:val="auto"/>
        </w:rPr>
        <w:t>Post-Retirement Consulting and Noncompetition Agreement dated as of December 31, 2005 between The Toro Company and Kendrick</w:t>
      </w:r>
      <w:r>
        <w:rPr>
          <w:rFonts w:ascii="Arial" w:cs="Arial" w:eastAsia="Arial" w:hAnsi="Arial"/>
          <w:sz w:val="18"/>
          <w:szCs w:val="18"/>
          <w:b w:val="1"/>
          <w:bCs w:val="1"/>
          <w:color w:val="auto"/>
        </w:rPr>
        <w:t xml:space="preserve"> </w:t>
      </w:r>
      <w:r>
        <w:rPr>
          <w:rFonts w:ascii="Arial" w:cs="Arial" w:eastAsia="Arial" w:hAnsi="Arial"/>
          <w:sz w:val="18"/>
          <w:szCs w:val="18"/>
          <w:color w:val="auto"/>
        </w:rPr>
        <w:t>B. Melrose (incorporated by reference to Exhibit 1 to Registrant’s Current Report on Form 8-K dated December 31, 2005, Commission File No. 1-8649).*</w:t>
      </w:r>
    </w:p>
    <w:p>
      <w:pPr>
        <w:spacing w:after="0" w:line="6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10(l) </w:t>
      </w:r>
      <w:r>
        <w:rPr>
          <w:rFonts w:ascii="Arial" w:cs="Arial" w:eastAsia="Arial" w:hAnsi="Arial"/>
          <w:sz w:val="18"/>
          <w:szCs w:val="18"/>
          <w:color w:val="auto"/>
        </w:rPr>
        <w:t>The Toro Company Deferred Compensation Plan for Officers (incorporated by reference to Exhibit 10(k)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2002).*</w:t>
      </w:r>
    </w:p>
    <w:p>
      <w:pPr>
        <w:spacing w:after="0" w:line="45" w:lineRule="exact"/>
        <w:rPr>
          <w:sz w:val="20"/>
          <w:szCs w:val="20"/>
          <w:color w:val="auto"/>
        </w:rPr>
      </w:pPr>
    </w:p>
    <w:p>
      <w:pPr>
        <w:ind w:right="700"/>
        <w:spacing w:after="0" w:line="303" w:lineRule="auto"/>
        <w:rPr>
          <w:sz w:val="20"/>
          <w:szCs w:val="20"/>
          <w:color w:val="auto"/>
        </w:rPr>
      </w:pPr>
      <w:r>
        <w:rPr>
          <w:rFonts w:ascii="Arial" w:cs="Arial" w:eastAsia="Arial" w:hAnsi="Arial"/>
          <w:sz w:val="18"/>
          <w:szCs w:val="18"/>
          <w:b w:val="1"/>
          <w:bCs w:val="1"/>
          <w:color w:val="auto"/>
        </w:rPr>
        <w:t xml:space="preserve">10(m) </w:t>
      </w:r>
      <w:r>
        <w:rPr>
          <w:rFonts w:ascii="Arial" w:cs="Arial" w:eastAsia="Arial" w:hAnsi="Arial"/>
          <w:sz w:val="18"/>
          <w:szCs w:val="18"/>
          <w:color w:val="auto"/>
        </w:rPr>
        <w:t>Amendment No. 1 to The Toro Company Deferred Compensation Plan for Officers (incorporated by reference to Exhibit 10(i)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February 2, 2007).*</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10(n) </w:t>
      </w:r>
      <w:r>
        <w:rPr>
          <w:rFonts w:ascii="Arial" w:cs="Arial" w:eastAsia="Arial" w:hAnsi="Arial"/>
          <w:sz w:val="18"/>
          <w:szCs w:val="18"/>
          <w:color w:val="auto"/>
        </w:rPr>
        <w:t>The Toro Company Deferred Compensation Plan for Non-Employee Directors, as amended (incorporated by reference to Exhibit 10(l)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July 28, 2000).*</w:t>
      </w:r>
    </w:p>
    <w:p>
      <w:pPr>
        <w:spacing w:after="0" w:line="59"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b w:val="1"/>
          <w:bCs w:val="1"/>
          <w:color w:val="auto"/>
        </w:rPr>
        <w:t xml:space="preserve">10(o) </w:t>
      </w:r>
      <w:r>
        <w:rPr>
          <w:rFonts w:ascii="Arial" w:cs="Arial" w:eastAsia="Arial" w:hAnsi="Arial"/>
          <w:sz w:val="18"/>
          <w:szCs w:val="18"/>
          <w:color w:val="auto"/>
        </w:rPr>
        <w:t>Amendment No. 1 to The Toro Company Deferred Compensation Plan for Non-Employee Directors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10(j) to Registrant’s Quarterly Report on Form 10-Q for the quarter ended February 2, 2007).*</w:t>
      </w:r>
    </w:p>
    <w:p>
      <w:pPr>
        <w:spacing w:after="0" w:line="45"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 xml:space="preserve">10(p) </w:t>
      </w:r>
      <w:r>
        <w:rPr>
          <w:rFonts w:ascii="Arial" w:cs="Arial" w:eastAsia="Arial" w:hAnsi="Arial"/>
          <w:sz w:val="18"/>
          <w:szCs w:val="18"/>
          <w:color w:val="auto"/>
        </w:rPr>
        <w:t>The Toro Company 2000 Directors Stock Plan (incorporated by reference to Exhibit 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 2005, Commission File No. 1-8649).*</w:t>
      </w:r>
    </w:p>
    <w:p>
      <w:pPr>
        <w:sectPr>
          <w:pgSz w:w="11900" w:h="16838" w:orient="portrait"/>
          <w:cols w:equalWidth="0" w:num="1">
            <w:col w:w="11420"/>
          </w:cols>
          <w:pgMar w:left="240" w:top="152" w:right="239" w:bottom="165"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2" w:right="239" w:bottom="165" w:gutter="0" w:footer="0" w:header="0"/>
          <w:type w:val="continuous"/>
        </w:sectPr>
      </w:pPr>
    </w:p>
    <w:bookmarkStart w:id="51" w:name="page52"/>
    <w:bookmarkEnd w:id="51"/>
    <w:p>
      <w:pPr>
        <w:ind w:right="40"/>
        <w:spacing w:after="0" w:line="303" w:lineRule="auto"/>
        <w:rPr>
          <w:sz w:val="20"/>
          <w:szCs w:val="20"/>
          <w:color w:val="auto"/>
        </w:rPr>
      </w:pPr>
      <w:r>
        <w:rPr>
          <w:rFonts w:ascii="Arial" w:cs="Arial" w:eastAsia="Arial" w:hAnsi="Arial"/>
          <w:sz w:val="18"/>
          <w:szCs w:val="18"/>
          <w:b w:val="1"/>
          <w:bCs w:val="1"/>
          <w:color w:val="auto"/>
        </w:rPr>
        <w:t xml:space="preserve">10(q) </w:t>
      </w:r>
      <w:r>
        <w:rPr>
          <w:rFonts w:ascii="Arial" w:cs="Arial" w:eastAsia="Arial" w:hAnsi="Arial"/>
          <w:sz w:val="18"/>
          <w:szCs w:val="18"/>
          <w:color w:val="auto"/>
        </w:rPr>
        <w:t>Form of Nonqualified Stock Option Agreement between The Toro Company and its Non-Employee Directors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 to Registrant’s Current Report on Form 8-K dated September 20, 2005, Commission File No. 1-8649).*</w:t>
      </w:r>
    </w:p>
    <w:p>
      <w:pPr>
        <w:spacing w:after="0" w:line="45"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auto"/>
        </w:rPr>
        <w:t xml:space="preserve">10(r) </w:t>
      </w:r>
      <w:r>
        <w:rPr>
          <w:rFonts w:ascii="Arial" w:cs="Arial" w:eastAsia="Arial" w:hAnsi="Arial"/>
          <w:sz w:val="18"/>
          <w:szCs w:val="18"/>
          <w:color w:val="auto"/>
        </w:rPr>
        <w:t>Form of Nonqualified Stock Option Agreement between The Toro Company and its Officers (incorporated by reference to Exhibit 2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December 2, 2004, Commission File No. 1-8649).*</w:t>
      </w:r>
    </w:p>
    <w:p>
      <w:pPr>
        <w:spacing w:after="0" w:line="4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10(s) </w:t>
      </w:r>
      <w:r>
        <w:rPr>
          <w:rFonts w:ascii="Arial" w:cs="Arial" w:eastAsia="Arial" w:hAnsi="Arial"/>
          <w:sz w:val="18"/>
          <w:szCs w:val="18"/>
          <w:color w:val="auto"/>
        </w:rPr>
        <w:t>Form of Nonqualified Stock Option Agreement (incorporated by reference to Exhibit 1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10(t)  </w:t>
      </w:r>
      <w:r>
        <w:rPr>
          <w:rFonts w:ascii="Arial" w:cs="Arial" w:eastAsia="Arial" w:hAnsi="Arial"/>
          <w:sz w:val="18"/>
          <w:szCs w:val="18"/>
          <w:color w:val="auto"/>
        </w:rPr>
        <w:t>Form of Performance Share Award Agreement.*</w:t>
      </w:r>
    </w:p>
    <w:p>
      <w:pPr>
        <w:spacing w:after="0" w:line="131"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color w:val="auto"/>
        </w:rPr>
        <w:t xml:space="preserve">10(u) </w:t>
      </w:r>
      <w:r>
        <w:rPr>
          <w:rFonts w:ascii="Arial" w:cs="Arial" w:eastAsia="Arial" w:hAnsi="Arial"/>
          <w:sz w:val="18"/>
          <w:szCs w:val="18"/>
          <w:color w:val="auto"/>
        </w:rPr>
        <w:t>Indemnification Agreement with the members of the Board of Directors (incorporated by reference to Exhibit 10(u)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2006).*</w:t>
      </w:r>
    </w:p>
    <w:p>
      <w:pPr>
        <w:spacing w:after="0" w:line="45"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 xml:space="preserve">10(v) </w:t>
      </w:r>
      <w:r>
        <w:rPr>
          <w:rFonts w:ascii="Arial" w:cs="Arial" w:eastAsia="Arial" w:hAnsi="Arial"/>
          <w:sz w:val="18"/>
          <w:szCs w:val="18"/>
          <w:color w:val="auto"/>
        </w:rPr>
        <w:t>Summary of Employment Inducement Award – Timothy P. Dordell (incorporated by reference to Exhibit 10(c)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45"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 xml:space="preserve">10(w) </w:t>
      </w:r>
      <w:r>
        <w:rPr>
          <w:rFonts w:ascii="Arial" w:cs="Arial" w:eastAsia="Arial" w:hAnsi="Arial"/>
          <w:sz w:val="18"/>
          <w:szCs w:val="18"/>
          <w:color w:val="auto"/>
        </w:rPr>
        <w:t>Summary of Employment Inducement Award – Peter M. Ramstad (incorporated by reference to Exhibit 10(d)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4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 xml:space="preserve">10(x) </w:t>
      </w:r>
      <w:r>
        <w:rPr>
          <w:rFonts w:ascii="Arial" w:cs="Arial" w:eastAsia="Arial" w:hAnsi="Arial"/>
          <w:sz w:val="18"/>
          <w:szCs w:val="18"/>
          <w:color w:val="auto"/>
        </w:rPr>
        <w:t>Credit Agreement dated as of September 8, 2004, among The Toro Company, Toro Credit Company, Toro Manufacturing LLC, Exmark</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and Banc of America Securities LLC (incorporated by reference to Exhibit 10(a) to Registrant’s Current Report on Form 8-K dated September 8, 2004, Commission File No. 1-8649).</w:t>
      </w:r>
    </w:p>
    <w:p>
      <w:pPr>
        <w:spacing w:after="0" w:line="6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 xml:space="preserve">10(y) </w:t>
      </w:r>
      <w:r>
        <w:rPr>
          <w:rFonts w:ascii="Arial" w:cs="Arial" w:eastAsia="Arial" w:hAnsi="Arial"/>
          <w:sz w:val="18"/>
          <w:szCs w:val="18"/>
          <w:color w:val="auto"/>
        </w:rPr>
        <w:t>Amendment No. 1 to Credit Agreement dated as of October 25, 2005,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(incorporated by reference to Exhibit 10(s) to Registrant’s Annual Report on Form 10-K for the fiscal year ended October 31, 2005).</w:t>
      </w:r>
    </w:p>
    <w:p>
      <w:pPr>
        <w:spacing w:after="0" w:line="6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 xml:space="preserve">10(z) </w:t>
      </w:r>
      <w:r>
        <w:rPr>
          <w:rFonts w:ascii="Arial" w:cs="Arial" w:eastAsia="Arial" w:hAnsi="Arial"/>
          <w:sz w:val="18"/>
          <w:szCs w:val="18"/>
          <w:color w:val="auto"/>
        </w:rPr>
        <w:t>Amendment No. 2 to Credit Agreement dated as of January 10, 2007,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LLC, Exmark Manufacturing Company Incorporated, and certain subsidiaries, as Borrowers, the lenders from time to time party thereto, Bank of America, N.A., as Administrative Agent, Swingline Lender and Letter of Credit Issuer (incorporated by reference to Exhibit 10(a) to Registrant’s Current Report on Form 8-K dated January 10, 2007, Commission File No. 1-8649).</w:t>
      </w:r>
    </w:p>
    <w:p>
      <w:pPr>
        <w:spacing w:after="0" w:line="6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10(aa) </w:t>
      </w:r>
      <w:r>
        <w:rPr>
          <w:rFonts w:ascii="Arial" w:cs="Arial" w:eastAsia="Arial" w:hAnsi="Arial"/>
          <w:sz w:val="18"/>
          <w:szCs w:val="18"/>
          <w:color w:val="auto"/>
        </w:rPr>
        <w:t>Amendment No. 3 to Credit Agreement executed and delivered as of April 10, 2007 but effective as of February 28, 2007,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Toro Company, Toro Credit Company, Toro Manufacturing LLC, Exmark Manufacturing Company Incorporated, and certain subsidiaries, as Borrowers, the lenders from time to time party thereto, Bank of America, N.A., as Administrative Agent, Swingline Lender and Letter of Credit Issuer (incorporated by reference to Exhibit 10.1 to Registrant’s Current Report on Form 8-K dated April 10, 2007, Commission File No. 1-8649).</w:t>
      </w:r>
    </w:p>
    <w:p>
      <w:pPr>
        <w:spacing w:after="0" w:line="70"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 xml:space="preserve">10(bb) </w:t>
      </w:r>
      <w:r>
        <w:rPr>
          <w:rFonts w:ascii="Arial" w:cs="Arial" w:eastAsia="Arial" w:hAnsi="Arial"/>
          <w:sz w:val="18"/>
          <w:szCs w:val="18"/>
          <w:color w:val="auto"/>
        </w:rPr>
        <w:t>Underwriting Agreement, dated as of April 23, 2007, between The Toro Company and Banc of America Securities LLC, as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several underwriters named therein (incorporated by reference to Exhibit 1.1 to Registrant’s Current Report on Form 8-K dated April 23, 2007, Commission File No. 1-8649).</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 xml:space="preserve">10(cc) </w:t>
      </w:r>
      <w:r>
        <w:rPr>
          <w:rFonts w:ascii="Arial" w:cs="Arial" w:eastAsia="Arial" w:hAnsi="Arial"/>
          <w:sz w:val="18"/>
          <w:szCs w:val="18"/>
          <w:color w:val="auto"/>
        </w:rPr>
        <w:t>Asset Purchase Agreement, dated as of February 8, 2005, by and among Editland Limited, Toro Hayter (Guernsey) Limited, Hayter</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and The Toro Company (incorporated by reference to Exhibit 99.1 to Registrant’s Current Report on Form 8-K dated February 8, 2005, Commission File No. 1-8649).</w:t>
      </w:r>
    </w:p>
    <w:p>
      <w:pPr>
        <w:spacing w:after="0" w:line="84" w:lineRule="exact"/>
        <w:rPr>
          <w:sz w:val="20"/>
          <w:szCs w:val="20"/>
          <w:color w:val="auto"/>
        </w:rPr>
      </w:pPr>
    </w:p>
    <w:p>
      <w:pPr>
        <w:ind w:left="360" w:hanging="352"/>
        <w:spacing w:after="0"/>
        <w:tabs>
          <w:tab w:leader="none" w:pos="3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w:t>
      </w:r>
    </w:p>
    <w:p>
      <w:pPr>
        <w:spacing w:after="0" w:line="131"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Subsidiaries of Registrant</w:t>
      </w:r>
    </w:p>
    <w:p>
      <w:pPr>
        <w:spacing w:after="0" w:line="131"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31(a)  </w:t>
      </w:r>
      <w:r>
        <w:rPr>
          <w:rFonts w:ascii="Arial" w:cs="Arial" w:eastAsia="Arial" w:hAnsi="Arial"/>
          <w:sz w:val="18"/>
          <w:szCs w:val="18"/>
          <w:color w:val="auto"/>
        </w:rPr>
        <w:t>Certification Pursuant to Rule 13a-14(a)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31(b)  </w:t>
      </w:r>
      <w:r>
        <w:rPr>
          <w:rFonts w:ascii="Arial" w:cs="Arial" w:eastAsia="Arial" w:hAnsi="Arial"/>
          <w:sz w:val="18"/>
          <w:szCs w:val="18"/>
          <w:color w:val="auto"/>
        </w:rPr>
        <w:t>Certification Pursuant to Rule 13a-14(a) (Section 302 of the Sarbanes-Oxley Act of 2002).</w:t>
      </w:r>
    </w:p>
    <w:p>
      <w:pPr>
        <w:spacing w:after="0" w:line="153"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 required to be filed as an exhibit to this Annual Report on Form 10-K pursuant to Item 15(b).</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w:t>
      </w:r>
      <w:r>
        <w:rPr>
          <w:rFonts w:ascii="Arial" w:cs="Arial" w:eastAsia="Arial" w:hAnsi="Arial"/>
          <w:sz w:val="17"/>
          <w:szCs w:val="17"/>
          <w:b w:val="1"/>
          <w:bCs w:val="1"/>
          <w:color w:val="4673B6"/>
        </w:rPr>
        <w:t>)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w:t>
      </w:r>
      <w:r>
        <w:rPr>
          <w:rFonts w:ascii="Arial" w:cs="Arial" w:eastAsia="Arial" w:hAnsi="Arial"/>
          <w:sz w:val="17"/>
          <w:szCs w:val="17"/>
          <w:b w:val="1"/>
          <w:bCs w:val="1"/>
          <w:color w:val="4673B6"/>
        </w:rPr>
        <w:t>)</w:t>
      </w:r>
      <w:r>
        <w:rPr>
          <w:rFonts w:ascii="Arial" w:cs="Arial" w:eastAsia="Arial" w:hAnsi="Arial"/>
          <w:sz w:val="20"/>
          <w:szCs w:val="20"/>
          <w:b w:val="1"/>
          <w:bCs w:val="1"/>
          <w:color w:val="4673B6"/>
        </w:rPr>
        <w:t xml:space="preserve">  Financial Statement Schedules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SCHEDULE II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THE TORO COMPANY AND SUBSIDIARIES</w:t>
      </w:r>
    </w:p>
    <w:p>
      <w:pPr>
        <w:sectPr>
          <w:pgSz w:w="11900" w:h="16838" w:orient="portrait"/>
          <w:cols w:equalWidth="0" w:num="1">
            <w:col w:w="11380"/>
          </w:cols>
          <w:pgMar w:left="240" w:top="373" w:right="279" w:bottom="0" w:gutter="0" w:footer="0" w:header="0"/>
        </w:sectPr>
      </w:pPr>
    </w:p>
    <w:p>
      <w:pPr>
        <w:jc w:val="center"/>
        <w:ind w:right="-59"/>
        <w:spacing w:after="0"/>
        <w:rPr>
          <w:sz w:val="20"/>
          <w:szCs w:val="20"/>
          <w:color w:val="auto"/>
        </w:rPr>
      </w:pPr>
      <w:r>
        <w:rPr>
          <w:rFonts w:ascii="Arial" w:cs="Arial" w:eastAsia="Arial" w:hAnsi="Arial"/>
          <w:sz w:val="21"/>
          <w:szCs w:val="21"/>
          <w:b w:val="1"/>
          <w:bCs w:val="1"/>
          <w:color w:val="4673B6"/>
        </w:rPr>
        <w:t>Valuation and Qualifying Accounts</w:t>
      </w:r>
    </w:p>
    <w:p>
      <w:pPr>
        <w:sectPr>
          <w:pgSz w:w="11900" w:h="16838" w:orient="portrait"/>
          <w:cols w:equalWidth="0" w:num="1">
            <w:col w:w="11380"/>
          </w:cols>
          <w:pgMar w:left="240" w:top="373" w:right="279" w:bottom="0" w:gutter="0" w:footer="0" w:header="0"/>
          <w:type w:val="continuous"/>
        </w:sectPr>
      </w:pPr>
    </w:p>
    <w:bookmarkStart w:id="52" w:name="page53"/>
    <w:bookmarkEnd w:id="5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Balance as of</w:t>
            </w: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Charged to</w:t>
            </w:r>
          </w:p>
        </w:tc>
        <w:tc>
          <w:tcPr>
            <w:tcW w:w="6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Balance as of</w:t>
            </w:r>
          </w:p>
        </w:tc>
        <w:tc>
          <w:tcPr>
            <w:tcW w:w="20" w:type="dxa"/>
            <w:vAlign w:val="bottom"/>
          </w:tcPr>
          <w:p>
            <w:pPr>
              <w:spacing w:after="0"/>
              <w:rPr>
                <w:sz w:val="19"/>
                <w:szCs w:val="19"/>
                <w:color w:val="auto"/>
              </w:rPr>
            </w:pPr>
          </w:p>
        </w:tc>
      </w:tr>
      <w:tr>
        <w:trPr>
          <w:trHeight w:val="187"/>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the beginning</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costs and</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the end of</w:t>
            </w:r>
          </w:p>
        </w:tc>
        <w:tc>
          <w:tcPr>
            <w:tcW w:w="20" w:type="dxa"/>
            <w:vAlign w:val="bottom"/>
          </w:tcPr>
          <w:p>
            <w:pPr>
              <w:spacing w:after="0"/>
              <w:rPr>
                <w:sz w:val="16"/>
                <w:szCs w:val="16"/>
                <w:color w:val="auto"/>
              </w:rPr>
            </w:pPr>
          </w:p>
        </w:tc>
      </w:tr>
      <w:tr>
        <w:trPr>
          <w:trHeight w:val="200"/>
        </w:trPr>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40" w:type="dxa"/>
            <w:vAlign w:val="bottom"/>
            <w:gridSpan w:val="2"/>
          </w:tcPr>
          <w:p>
            <w:pPr>
              <w:ind w:left="40"/>
              <w:spacing w:after="0"/>
              <w:rPr>
                <w:sz w:val="20"/>
                <w:szCs w:val="20"/>
                <w:color w:val="auto"/>
              </w:rPr>
            </w:pPr>
            <w:r>
              <w:rPr>
                <w:rFonts w:ascii="Arial" w:cs="Arial" w:eastAsia="Arial" w:hAnsi="Arial"/>
                <w:sz w:val="14"/>
                <w:szCs w:val="14"/>
                <w:color w:val="auto"/>
              </w:rPr>
              <w:t>(Dollars in thousands)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of the fiscal year</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expenses</w:t>
            </w:r>
            <w:r>
              <w:rPr>
                <w:rFonts w:ascii="Arial" w:cs="Arial" w:eastAsia="Arial" w:hAnsi="Arial"/>
                <w:sz w:val="14"/>
                <w:szCs w:val="14"/>
                <w:color w:val="auto"/>
                <w:vertAlign w:val="superscript"/>
              </w:rPr>
              <w:t>1</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Other</w:t>
            </w:r>
            <w:r>
              <w:rPr>
                <w:rFonts w:ascii="Arial" w:cs="Arial" w:eastAsia="Arial" w:hAnsi="Arial"/>
                <w:sz w:val="14"/>
                <w:szCs w:val="14"/>
                <w:color w:val="auto"/>
                <w:vertAlign w:val="superscript"/>
              </w:rPr>
              <w:t>2</w:t>
            </w: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Deductions</w:t>
            </w:r>
            <w:r>
              <w:rPr>
                <w:rFonts w:ascii="Arial" w:cs="Arial" w:eastAsia="Arial" w:hAnsi="Arial"/>
                <w:sz w:val="14"/>
                <w:szCs w:val="14"/>
                <w:color w:val="auto"/>
                <w:vertAlign w:val="superscript"/>
              </w:rPr>
              <w:t>3</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the fiscal year</w:t>
            </w:r>
          </w:p>
        </w:tc>
        <w:tc>
          <w:tcPr>
            <w:tcW w:w="20" w:type="dxa"/>
            <w:vAlign w:val="bottom"/>
          </w:tcPr>
          <w:p>
            <w:pPr>
              <w:spacing w:after="0"/>
              <w:rPr>
                <w:sz w:val="17"/>
                <w:szCs w:val="17"/>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2007</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54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$ 2,839</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$ 1,237</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$ 186</w:t>
            </w:r>
          </w:p>
        </w:tc>
        <w:tc>
          <w:tcPr>
            <w:tcW w:w="4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$ 115</w:t>
            </w: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$ 4,147</w:t>
            </w:r>
          </w:p>
        </w:tc>
        <w:tc>
          <w:tcPr>
            <w:tcW w:w="2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2006</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540" w:type="dxa"/>
            <w:vAlign w:val="bottom"/>
            <w:gridSpan w:val="2"/>
          </w:tcPr>
          <w:p>
            <w:pPr>
              <w:ind w:left="40"/>
              <w:spacing w:after="0"/>
              <w:rPr>
                <w:sz w:val="20"/>
                <w:szCs w:val="20"/>
                <w:color w:val="auto"/>
              </w:rPr>
            </w:pPr>
            <w:r>
              <w:rPr>
                <w:rFonts w:ascii="Arial" w:cs="Arial" w:eastAsia="Arial" w:hAnsi="Arial"/>
                <w:sz w:val="14"/>
                <w:szCs w:val="14"/>
                <w:color w:val="auto"/>
              </w:rPr>
              <w:t>Allowance for doubtful accounts and notes receivable reserves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2,349</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723</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233</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2,839</w:t>
            </w:r>
          </w:p>
        </w:tc>
        <w:tc>
          <w:tcPr>
            <w:tcW w:w="2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2005</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540" w:type="dxa"/>
            <w:vAlign w:val="bottom"/>
            <w:gridSpan w:val="2"/>
          </w:tcPr>
          <w:p>
            <w:pPr>
              <w:ind w:left="40"/>
              <w:spacing w:after="0"/>
              <w:rPr>
                <w:sz w:val="20"/>
                <w:szCs w:val="20"/>
                <w:color w:val="auto"/>
              </w:rPr>
            </w:pPr>
            <w:r>
              <w:rPr>
                <w:rFonts w:ascii="Arial" w:cs="Arial" w:eastAsia="Arial" w:hAnsi="Arial"/>
                <w:sz w:val="14"/>
                <w:szCs w:val="14"/>
                <w:color w:val="auto"/>
              </w:rPr>
              <w:t>Allowance for doubtful accounts and notes receivable reserves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2,195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4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563</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2,349</w:t>
            </w:r>
          </w:p>
        </w:tc>
        <w:tc>
          <w:tcPr>
            <w:tcW w:w="20" w:type="dxa"/>
            <w:vAlign w:val="bottom"/>
          </w:tcPr>
          <w:p>
            <w:pPr>
              <w:spacing w:after="0"/>
              <w:rPr>
                <w:sz w:val="16"/>
                <w:szCs w:val="16"/>
                <w:color w:val="auto"/>
              </w:rPr>
            </w:pPr>
          </w:p>
        </w:tc>
      </w:tr>
      <w:tr>
        <w:trPr>
          <w:trHeight w:val="184"/>
        </w:trPr>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1</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45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2</w:t>
            </w:r>
          </w:p>
        </w:tc>
        <w:tc>
          <w:tcPr>
            <w:tcW w:w="5260" w:type="dxa"/>
            <w:vAlign w:val="bottom"/>
            <w:gridSpan w:val="3"/>
          </w:tcPr>
          <w:p>
            <w:pPr>
              <w:ind w:left="40"/>
              <w:spacing w:after="0"/>
              <w:rPr>
                <w:sz w:val="20"/>
                <w:szCs w:val="20"/>
                <w:color w:val="auto"/>
              </w:rPr>
            </w:pPr>
            <w:r>
              <w:rPr>
                <w:rFonts w:ascii="Arial" w:cs="Arial" w:eastAsia="Arial" w:hAnsi="Arial"/>
                <w:sz w:val="14"/>
                <w:szCs w:val="14"/>
                <w:color w:val="auto"/>
              </w:rPr>
              <w:t>Addition, net due to acquisitions and divestitures.</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3</w:t>
            </w:r>
          </w:p>
        </w:tc>
        <w:tc>
          <w:tcPr>
            <w:tcW w:w="5260" w:type="dxa"/>
            <w:vAlign w:val="bottom"/>
            <w:gridSpan w:val="3"/>
          </w:tcPr>
          <w:p>
            <w:pPr>
              <w:ind w:left="40"/>
              <w:spacing w:after="0"/>
              <w:rPr>
                <w:sz w:val="20"/>
                <w:szCs w:val="20"/>
                <w:color w:val="auto"/>
              </w:rPr>
            </w:pPr>
            <w:r>
              <w:rPr>
                <w:rFonts w:ascii="Arial" w:cs="Arial" w:eastAsia="Arial" w:hAnsi="Arial"/>
                <w:sz w:val="14"/>
                <w:szCs w:val="14"/>
                <w:color w:val="auto"/>
              </w:rPr>
              <w:t>Uncollectible accounts charged off.</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01"/>
        </w:trPr>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Balance as of</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Charged to</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Balance as of</w:t>
            </w:r>
          </w:p>
        </w:tc>
        <w:tc>
          <w:tcPr>
            <w:tcW w:w="20" w:type="dxa"/>
            <w:vAlign w:val="bottom"/>
          </w:tcPr>
          <w:p>
            <w:pPr>
              <w:spacing w:after="0"/>
              <w:rPr>
                <w:sz w:val="17"/>
                <w:szCs w:val="17"/>
                <w:color w:val="auto"/>
              </w:rPr>
            </w:pPr>
          </w:p>
        </w:tc>
      </w:tr>
      <w:tr>
        <w:trPr>
          <w:trHeight w:val="187"/>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the beginning</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costs and</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the end of</w:t>
            </w:r>
          </w:p>
        </w:tc>
        <w:tc>
          <w:tcPr>
            <w:tcW w:w="20" w:type="dxa"/>
            <w:vAlign w:val="bottom"/>
          </w:tcPr>
          <w:p>
            <w:pPr>
              <w:spacing w:after="0"/>
              <w:rPr>
                <w:sz w:val="16"/>
                <w:szCs w:val="16"/>
                <w:color w:val="auto"/>
              </w:rPr>
            </w:pPr>
          </w:p>
        </w:tc>
      </w:tr>
      <w:tr>
        <w:trPr>
          <w:trHeight w:val="200"/>
        </w:trPr>
        <w:tc>
          <w:tcPr>
            <w:tcW w:w="80" w:type="dxa"/>
            <w:vAlign w:val="bottom"/>
          </w:tcPr>
          <w:p>
            <w:pPr>
              <w:spacing w:after="0"/>
              <w:rPr>
                <w:sz w:val="17"/>
                <w:szCs w:val="17"/>
                <w:color w:val="auto"/>
              </w:rPr>
            </w:pPr>
          </w:p>
        </w:tc>
        <w:tc>
          <w:tcPr>
            <w:tcW w:w="5260" w:type="dxa"/>
            <w:vAlign w:val="bottom"/>
            <w:gridSpan w:val="3"/>
          </w:tcPr>
          <w:p>
            <w:pPr>
              <w:ind w:left="720"/>
              <w:spacing w:after="0"/>
              <w:rPr>
                <w:sz w:val="20"/>
                <w:szCs w:val="20"/>
                <w:color w:val="auto"/>
              </w:rPr>
            </w:pPr>
            <w:r>
              <w:rPr>
                <w:rFonts w:ascii="Arial" w:cs="Arial" w:eastAsia="Arial" w:hAnsi="Arial"/>
                <w:sz w:val="14"/>
                <w:szCs w:val="14"/>
                <w:color w:val="auto"/>
              </w:rPr>
              <w:t>(Dollars in thousands)</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of the fiscal year</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expenses</w:t>
            </w:r>
            <w:r>
              <w:rPr>
                <w:rFonts w:ascii="Arial" w:cs="Arial" w:eastAsia="Arial" w:hAnsi="Arial"/>
                <w:sz w:val="14"/>
                <w:szCs w:val="14"/>
                <w:color w:val="auto"/>
                <w:vertAlign w:val="superscript"/>
              </w:rPr>
              <w:t>1</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Deductions</w:t>
            </w:r>
            <w:r>
              <w:rPr>
                <w:rFonts w:ascii="Arial" w:cs="Arial" w:eastAsia="Arial" w:hAnsi="Arial"/>
                <w:sz w:val="14"/>
                <w:szCs w:val="14"/>
                <w:color w:val="auto"/>
                <w:vertAlign w:val="superscript"/>
              </w:rPr>
              <w:t>2</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Other</w:t>
            </w:r>
            <w:r>
              <w:rPr>
                <w:rFonts w:ascii="Arial" w:cs="Arial" w:eastAsia="Arial" w:hAnsi="Arial"/>
                <w:sz w:val="14"/>
                <w:szCs w:val="14"/>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4"/>
                <w:szCs w:val="14"/>
                <w:color w:val="auto"/>
              </w:rPr>
              <w:t>the fiscal year</w:t>
            </w:r>
          </w:p>
        </w:tc>
        <w:tc>
          <w:tcPr>
            <w:tcW w:w="20" w:type="dxa"/>
            <w:vAlign w:val="bottom"/>
          </w:tcPr>
          <w:p>
            <w:pPr>
              <w:spacing w:after="0"/>
              <w:rPr>
                <w:sz w:val="17"/>
                <w:szCs w:val="17"/>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2007</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5260" w:type="dxa"/>
            <w:vAlign w:val="bottom"/>
            <w:gridSpan w:val="3"/>
          </w:tcPr>
          <w:p>
            <w:pPr>
              <w:ind w:left="720"/>
              <w:spacing w:after="0"/>
              <w:rPr>
                <w:sz w:val="20"/>
                <w:szCs w:val="20"/>
                <w:color w:val="auto"/>
              </w:rPr>
            </w:pPr>
            <w:r>
              <w:rPr>
                <w:rFonts w:ascii="Arial" w:cs="Arial" w:eastAsia="Arial" w:hAnsi="Arial"/>
                <w:sz w:val="14"/>
                <w:szCs w:val="14"/>
                <w:b w:val="1"/>
                <w:bCs w:val="1"/>
                <w:color w:val="auto"/>
              </w:rPr>
              <w:t>Accrued advertising and marketing programs</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$ 50,124</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$ 203,806</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$ 200,165</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   –</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$ 53,765</w:t>
            </w:r>
          </w:p>
        </w:tc>
        <w:tc>
          <w:tcPr>
            <w:tcW w:w="2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2006</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5260" w:type="dxa"/>
            <w:vAlign w:val="bottom"/>
            <w:gridSpan w:val="3"/>
          </w:tcPr>
          <w:p>
            <w:pPr>
              <w:ind w:left="720"/>
              <w:spacing w:after="0"/>
              <w:rPr>
                <w:sz w:val="20"/>
                <w:szCs w:val="20"/>
                <w:color w:val="auto"/>
              </w:rPr>
            </w:pPr>
            <w:r>
              <w:rPr>
                <w:rFonts w:ascii="Arial" w:cs="Arial" w:eastAsia="Arial" w:hAnsi="Arial"/>
                <w:sz w:val="14"/>
                <w:szCs w:val="14"/>
                <w:color w:val="auto"/>
              </w:rPr>
              <w:t>Accrued advertising and marketing programs</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48,367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189,607</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187,850</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50,124</w:t>
            </w:r>
          </w:p>
        </w:tc>
        <w:tc>
          <w:tcPr>
            <w:tcW w:w="2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2005</w:t>
            </w: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r>
      <w:tr>
        <w:trPr>
          <w:trHeight w:val="191"/>
        </w:trPr>
        <w:tc>
          <w:tcPr>
            <w:tcW w:w="80" w:type="dxa"/>
            <w:vAlign w:val="bottom"/>
          </w:tcPr>
          <w:p>
            <w:pPr>
              <w:spacing w:after="0"/>
              <w:rPr>
                <w:sz w:val="16"/>
                <w:szCs w:val="16"/>
                <w:color w:val="auto"/>
              </w:rPr>
            </w:pPr>
          </w:p>
        </w:tc>
        <w:tc>
          <w:tcPr>
            <w:tcW w:w="5260" w:type="dxa"/>
            <w:vAlign w:val="bottom"/>
            <w:gridSpan w:val="3"/>
          </w:tcPr>
          <w:p>
            <w:pPr>
              <w:ind w:left="720"/>
              <w:spacing w:after="0"/>
              <w:rPr>
                <w:sz w:val="20"/>
                <w:szCs w:val="20"/>
                <w:color w:val="auto"/>
              </w:rPr>
            </w:pPr>
            <w:r>
              <w:rPr>
                <w:rFonts w:ascii="Arial" w:cs="Arial" w:eastAsia="Arial" w:hAnsi="Arial"/>
                <w:sz w:val="14"/>
                <w:szCs w:val="14"/>
                <w:color w:val="auto"/>
              </w:rPr>
              <w:t>Accrued advertising and marketing programs</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41,973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174,106</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168,301</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589</w:t>
            </w:r>
          </w:p>
        </w:tc>
        <w:tc>
          <w:tcPr>
            <w:tcW w:w="1120" w:type="dxa"/>
            <w:vAlign w:val="bottom"/>
          </w:tcPr>
          <w:p>
            <w:pPr>
              <w:jc w:val="right"/>
              <w:spacing w:after="0"/>
              <w:rPr>
                <w:sz w:val="20"/>
                <w:szCs w:val="20"/>
                <w:color w:val="auto"/>
              </w:rPr>
            </w:pPr>
            <w:r>
              <w:rPr>
                <w:rFonts w:ascii="Arial" w:cs="Arial" w:eastAsia="Arial" w:hAnsi="Arial"/>
                <w:sz w:val="14"/>
                <w:szCs w:val="14"/>
                <w:color w:val="auto"/>
              </w:rPr>
              <w:t>48,367</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0</wp:posOffset>
            </wp:positionV>
            <wp:extent cx="6234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10" w:lineRule="exact"/>
        <w:rPr>
          <w:sz w:val="20"/>
          <w:szCs w:val="20"/>
          <w:color w:val="auto"/>
        </w:rPr>
      </w:pPr>
    </w:p>
    <w:p>
      <w:pPr>
        <w:ind w:left="120" w:hanging="112"/>
        <w:spacing w:after="0"/>
        <w:tabs>
          <w:tab w:leader="none" w:pos="120" w:val="left"/>
        </w:tabs>
        <w:numPr>
          <w:ilvl w:val="0"/>
          <w:numId w:val="93"/>
        </w:numPr>
        <w:rPr>
          <w:rFonts w:ascii="Arial" w:cs="Arial" w:eastAsia="Arial" w:hAnsi="Arial"/>
          <w:sz w:val="14"/>
          <w:szCs w:val="14"/>
          <w:color w:val="auto"/>
          <w:vertAlign w:val="superscript"/>
        </w:rPr>
      </w:pPr>
      <w:r>
        <w:rPr>
          <w:rFonts w:ascii="Arial" w:cs="Arial" w:eastAsia="Arial" w:hAnsi="Arial"/>
          <w:sz w:val="14"/>
          <w:szCs w:val="14"/>
          <w:color w:val="auto"/>
        </w:rPr>
        <w:t>Provision consists of rebates, cooperative advertising, floor planning costs, commissions, and other promotional program expenses. The expense of each program is either</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classified as a reduction of net sales or as a component of selling, general, and administrative expense.</w:t>
      </w:r>
    </w:p>
    <w:p>
      <w:pPr>
        <w:spacing w:after="0" w:line="28" w:lineRule="exact"/>
        <w:rPr>
          <w:sz w:val="20"/>
          <w:szCs w:val="20"/>
          <w:color w:val="auto"/>
        </w:rPr>
      </w:pPr>
    </w:p>
    <w:p>
      <w:pPr>
        <w:ind w:left="120" w:hanging="112"/>
        <w:spacing w:after="0"/>
        <w:tabs>
          <w:tab w:leader="none" w:pos="120" w:val="left"/>
        </w:tabs>
        <w:numPr>
          <w:ilvl w:val="0"/>
          <w:numId w:val="94"/>
        </w:numPr>
        <w:rPr>
          <w:rFonts w:ascii="Arial" w:cs="Arial" w:eastAsia="Arial" w:hAnsi="Arial"/>
          <w:sz w:val="14"/>
          <w:szCs w:val="14"/>
          <w:color w:val="auto"/>
          <w:vertAlign w:val="superscript"/>
        </w:rPr>
      </w:pPr>
      <w:r>
        <w:rPr>
          <w:rFonts w:ascii="Arial" w:cs="Arial" w:eastAsia="Arial" w:hAnsi="Arial"/>
          <w:sz w:val="14"/>
          <w:szCs w:val="14"/>
          <w:color w:val="auto"/>
        </w:rPr>
        <w:t>Claims paid.</w:t>
      </w:r>
    </w:p>
    <w:p>
      <w:pPr>
        <w:spacing w:after="0" w:line="69" w:lineRule="exact"/>
        <w:rPr>
          <w:sz w:val="20"/>
          <w:szCs w:val="20"/>
          <w:color w:val="auto"/>
        </w:rPr>
      </w:pPr>
    </w:p>
    <w:p>
      <w:pPr>
        <w:ind w:left="120" w:hanging="112"/>
        <w:spacing w:after="0"/>
        <w:tabs>
          <w:tab w:leader="none" w:pos="120" w:val="left"/>
        </w:tabs>
        <w:numPr>
          <w:ilvl w:val="0"/>
          <w:numId w:val="95"/>
        </w:numPr>
        <w:rPr>
          <w:rFonts w:ascii="Arial" w:cs="Arial" w:eastAsia="Arial" w:hAnsi="Arial"/>
          <w:sz w:val="14"/>
          <w:szCs w:val="14"/>
          <w:color w:val="auto"/>
          <w:vertAlign w:val="superscript"/>
        </w:rPr>
      </w:pPr>
      <w:r>
        <w:rPr>
          <w:rFonts w:ascii="Arial" w:cs="Arial" w:eastAsia="Arial" w:hAnsi="Arial"/>
          <w:sz w:val="14"/>
          <w:szCs w:val="14"/>
          <w:color w:val="auto"/>
        </w:rPr>
        <w:t>Addition due to acquisition.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SIGNATURES</w:t>
      </w:r>
    </w:p>
    <w:p>
      <w:pPr>
        <w:spacing w:after="0" w:line="3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TORO COMPANY</w:t>
            </w:r>
          </w:p>
        </w:tc>
        <w:tc>
          <w:tcPr>
            <w:tcW w:w="6980" w:type="dxa"/>
            <w:vAlign w:val="bottom"/>
          </w:tcPr>
          <w:p>
            <w:pPr>
              <w:spacing w:after="0"/>
              <w:rPr>
                <w:sz w:val="18"/>
                <w:szCs w:val="18"/>
                <w:color w:val="auto"/>
              </w:rPr>
            </w:pPr>
          </w:p>
        </w:tc>
      </w:tr>
      <w:tr>
        <w:trPr>
          <w:trHeight w:val="168"/>
        </w:trPr>
        <w:tc>
          <w:tcPr>
            <w:tcW w:w="680" w:type="dxa"/>
            <w:vAlign w:val="bottom"/>
          </w:tcPr>
          <w:p>
            <w:pPr>
              <w:spacing w:after="0"/>
              <w:rPr>
                <w:sz w:val="14"/>
                <w:szCs w:val="14"/>
                <w:color w:val="auto"/>
              </w:rPr>
            </w:pPr>
          </w:p>
        </w:tc>
        <w:tc>
          <w:tcPr>
            <w:tcW w:w="3740" w:type="dxa"/>
            <w:vAlign w:val="bottom"/>
          </w:tcPr>
          <w:p>
            <w:pPr>
              <w:spacing w:after="0" w:line="169" w:lineRule="exact"/>
              <w:rPr>
                <w:sz w:val="20"/>
                <w:szCs w:val="20"/>
                <w:color w:val="auto"/>
              </w:rPr>
            </w:pPr>
            <w:r>
              <w:rPr>
                <w:rFonts w:ascii="Arial" w:cs="Arial" w:eastAsia="Arial" w:hAnsi="Arial"/>
                <w:sz w:val="18"/>
                <w:szCs w:val="18"/>
                <w:color w:val="auto"/>
              </w:rPr>
              <w:t>(Registrant)</w:t>
            </w:r>
          </w:p>
        </w:tc>
        <w:tc>
          <w:tcPr>
            <w:tcW w:w="6980" w:type="dxa"/>
            <w:vAlign w:val="bottom"/>
          </w:tcPr>
          <w:p>
            <w:pPr>
              <w:spacing w:after="0"/>
              <w:rPr>
                <w:sz w:val="14"/>
                <w:szCs w:val="14"/>
                <w:color w:val="auto"/>
              </w:rPr>
            </w:pPr>
          </w:p>
        </w:tc>
      </w:tr>
      <w:tr>
        <w:trPr>
          <w:trHeight w:val="203"/>
        </w:trPr>
        <w:tc>
          <w:tcPr>
            <w:tcW w:w="68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Stephen P. Wolfe</w:t>
            </w:r>
          </w:p>
        </w:tc>
        <w:tc>
          <w:tcPr>
            <w:tcW w:w="6980" w:type="dxa"/>
            <w:vAlign w:val="bottom"/>
          </w:tcPr>
          <w:p>
            <w:pPr>
              <w:ind w:left="4820"/>
              <w:spacing w:after="0" w:line="203" w:lineRule="exact"/>
              <w:rPr>
                <w:sz w:val="20"/>
                <w:szCs w:val="20"/>
                <w:color w:val="auto"/>
              </w:rPr>
            </w:pPr>
            <w:r>
              <w:rPr>
                <w:rFonts w:ascii="Arial" w:cs="Arial" w:eastAsia="Arial" w:hAnsi="Arial"/>
                <w:sz w:val="18"/>
                <w:szCs w:val="18"/>
                <w:color w:val="auto"/>
                <w:w w:val="99"/>
              </w:rPr>
              <w:t>Dated: December 21, 2007</w:t>
            </w:r>
          </w:p>
        </w:tc>
      </w:tr>
      <w:tr>
        <w:trPr>
          <w:trHeight w:val="168"/>
        </w:trPr>
        <w:tc>
          <w:tcPr>
            <w:tcW w:w="680" w:type="dxa"/>
            <w:vAlign w:val="bottom"/>
          </w:tcPr>
          <w:p>
            <w:pPr>
              <w:spacing w:after="0"/>
              <w:rPr>
                <w:sz w:val="14"/>
                <w:szCs w:val="14"/>
                <w:color w:val="auto"/>
              </w:rPr>
            </w:pPr>
          </w:p>
        </w:tc>
        <w:tc>
          <w:tcPr>
            <w:tcW w:w="3740" w:type="dxa"/>
            <w:vAlign w:val="bottom"/>
          </w:tcPr>
          <w:p>
            <w:pPr>
              <w:spacing w:after="0" w:line="169" w:lineRule="exact"/>
              <w:rPr>
                <w:sz w:val="20"/>
                <w:szCs w:val="20"/>
                <w:color w:val="auto"/>
              </w:rPr>
            </w:pPr>
            <w:r>
              <w:rPr>
                <w:rFonts w:ascii="Arial" w:cs="Arial" w:eastAsia="Arial" w:hAnsi="Arial"/>
                <w:sz w:val="18"/>
                <w:szCs w:val="18"/>
                <w:color w:val="auto"/>
              </w:rPr>
              <w:t>Stephen P. Wolfe</w:t>
            </w:r>
          </w:p>
        </w:tc>
        <w:tc>
          <w:tcPr>
            <w:tcW w:w="6980" w:type="dxa"/>
            <w:vAlign w:val="bottom"/>
          </w:tcPr>
          <w:p>
            <w:pPr>
              <w:spacing w:after="0"/>
              <w:rPr>
                <w:sz w:val="14"/>
                <w:szCs w:val="14"/>
                <w:color w:val="auto"/>
              </w:rPr>
            </w:pPr>
          </w:p>
        </w:tc>
      </w:tr>
      <w:tr>
        <w:trPr>
          <w:trHeight w:val="189"/>
        </w:trPr>
        <w:tc>
          <w:tcPr>
            <w:tcW w:w="680" w:type="dxa"/>
            <w:vAlign w:val="bottom"/>
          </w:tcPr>
          <w:p>
            <w:pPr>
              <w:spacing w:after="0"/>
              <w:rPr>
                <w:sz w:val="16"/>
                <w:szCs w:val="16"/>
                <w:color w:val="auto"/>
              </w:rPr>
            </w:pPr>
          </w:p>
        </w:tc>
        <w:tc>
          <w:tcPr>
            <w:tcW w:w="3740" w:type="dxa"/>
            <w:vAlign w:val="bottom"/>
          </w:tcPr>
          <w:p>
            <w:pPr>
              <w:spacing w:after="0" w:line="189" w:lineRule="exact"/>
              <w:rPr>
                <w:sz w:val="20"/>
                <w:szCs w:val="20"/>
                <w:color w:val="auto"/>
              </w:rPr>
            </w:pPr>
            <w:r>
              <w:rPr>
                <w:rFonts w:ascii="Arial" w:cs="Arial" w:eastAsia="Arial" w:hAnsi="Arial"/>
                <w:sz w:val="18"/>
                <w:szCs w:val="18"/>
                <w:color w:val="auto"/>
              </w:rPr>
              <w:t>Vice President, Finance and</w:t>
            </w:r>
          </w:p>
        </w:tc>
        <w:tc>
          <w:tcPr>
            <w:tcW w:w="6980" w:type="dxa"/>
            <w:vAlign w:val="bottom"/>
          </w:tcPr>
          <w:p>
            <w:pPr>
              <w:spacing w:after="0"/>
              <w:rPr>
                <w:sz w:val="16"/>
                <w:szCs w:val="16"/>
                <w:color w:val="auto"/>
              </w:rPr>
            </w:pPr>
          </w:p>
        </w:tc>
      </w:tr>
      <w:tr>
        <w:trPr>
          <w:trHeight w:val="217"/>
        </w:trPr>
        <w:tc>
          <w:tcPr>
            <w:tcW w:w="6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980" w:type="dxa"/>
            <w:vAlign w:val="bottom"/>
          </w:tcPr>
          <w:p>
            <w:pPr>
              <w:spacing w:after="0"/>
              <w:rPr>
                <w:sz w:val="18"/>
                <w:szCs w:val="18"/>
                <w:color w:val="auto"/>
              </w:rPr>
            </w:pPr>
          </w:p>
        </w:tc>
      </w:tr>
    </w:tbl>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43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Title</w:t>
            </w:r>
          </w:p>
        </w:tc>
        <w:tc>
          <w:tcPr>
            <w:tcW w:w="23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r>
      <w:tr>
        <w:trPr>
          <w:trHeight w:val="176"/>
        </w:trPr>
        <w:tc>
          <w:tcPr>
            <w:tcW w:w="2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8"/>
                <w:szCs w:val="18"/>
                <w:color w:val="auto"/>
              </w:rPr>
              <w:t>Michael J. Hoffman</w:t>
            </w:r>
          </w:p>
        </w:tc>
        <w:tc>
          <w:tcPr>
            <w:tcW w:w="4300" w:type="dxa"/>
            <w:vAlign w:val="bottom"/>
          </w:tcPr>
          <w:p>
            <w:pPr>
              <w:ind w:left="800"/>
              <w:spacing w:after="0" w:line="169" w:lineRule="exact"/>
              <w:rPr>
                <w:sz w:val="20"/>
                <w:szCs w:val="20"/>
                <w:color w:val="auto"/>
              </w:rPr>
            </w:pPr>
            <w:r>
              <w:rPr>
                <w:rFonts w:ascii="Arial" w:cs="Arial" w:eastAsia="Arial" w:hAnsi="Arial"/>
                <w:sz w:val="18"/>
                <w:szCs w:val="18"/>
                <w:color w:val="auto"/>
              </w:rPr>
              <w:t>Chairman of the Board, President and</w:t>
            </w:r>
          </w:p>
        </w:tc>
        <w:tc>
          <w:tcPr>
            <w:tcW w:w="2300" w:type="dxa"/>
            <w:vAlign w:val="bottom"/>
          </w:tcPr>
          <w:p>
            <w:pPr>
              <w:ind w:left="320"/>
              <w:spacing w:after="0" w:line="169" w:lineRule="exact"/>
              <w:rPr>
                <w:sz w:val="20"/>
                <w:szCs w:val="20"/>
                <w:color w:val="auto"/>
              </w:rPr>
            </w:pPr>
            <w:r>
              <w:rPr>
                <w:rFonts w:ascii="Arial" w:cs="Arial" w:eastAsia="Arial" w:hAnsi="Arial"/>
                <w:sz w:val="18"/>
                <w:szCs w:val="18"/>
                <w:color w:val="auto"/>
              </w:rPr>
              <w:t>December 21, 2007</w:t>
            </w:r>
          </w:p>
        </w:tc>
      </w:tr>
      <w:tr>
        <w:trPr>
          <w:trHeight w:val="161"/>
        </w:trPr>
        <w:tc>
          <w:tcPr>
            <w:tcW w:w="2860" w:type="dxa"/>
            <w:vAlign w:val="bottom"/>
            <w:gridSpan w:val="2"/>
          </w:tcPr>
          <w:p>
            <w:pPr>
              <w:spacing w:after="0" w:line="161" w:lineRule="exact"/>
              <w:rPr>
                <w:sz w:val="20"/>
                <w:szCs w:val="20"/>
                <w:color w:val="auto"/>
              </w:rPr>
            </w:pPr>
            <w:r>
              <w:rPr>
                <w:rFonts w:ascii="Arial" w:cs="Arial" w:eastAsia="Arial" w:hAnsi="Arial"/>
                <w:sz w:val="18"/>
                <w:szCs w:val="18"/>
                <w:color w:val="auto"/>
              </w:rPr>
              <w:t>Michael J. Hoffman</w:t>
            </w:r>
          </w:p>
        </w:tc>
        <w:tc>
          <w:tcPr>
            <w:tcW w:w="4300" w:type="dxa"/>
            <w:vAlign w:val="bottom"/>
          </w:tcPr>
          <w:p>
            <w:pPr>
              <w:ind w:left="800"/>
              <w:spacing w:after="0" w:line="161" w:lineRule="exact"/>
              <w:rPr>
                <w:sz w:val="20"/>
                <w:szCs w:val="20"/>
                <w:color w:val="auto"/>
              </w:rPr>
            </w:pPr>
            <w:r>
              <w:rPr>
                <w:rFonts w:ascii="Arial" w:cs="Arial" w:eastAsia="Arial" w:hAnsi="Arial"/>
                <w:sz w:val="18"/>
                <w:szCs w:val="18"/>
                <w:color w:val="auto"/>
              </w:rPr>
              <w:t>Chief Executive Officer and Director</w:t>
            </w:r>
          </w:p>
        </w:tc>
        <w:tc>
          <w:tcPr>
            <w:tcW w:w="2300" w:type="dxa"/>
            <w:vAlign w:val="bottom"/>
          </w:tcPr>
          <w:p>
            <w:pPr>
              <w:spacing w:after="0"/>
              <w:rPr>
                <w:sz w:val="14"/>
                <w:szCs w:val="14"/>
                <w:color w:val="auto"/>
              </w:rPr>
            </w:pPr>
          </w:p>
        </w:tc>
      </w:tr>
      <w:tr>
        <w:trPr>
          <w:trHeight w:val="217"/>
        </w:trPr>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18"/>
                <w:szCs w:val="18"/>
                <w:color w:val="auto"/>
              </w:rPr>
            </w:pPr>
          </w:p>
        </w:tc>
      </w:tr>
      <w:tr>
        <w:trPr>
          <w:trHeight w:val="277"/>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Stephen P. Wolfe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Finance and</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161"/>
        </w:trPr>
        <w:tc>
          <w:tcPr>
            <w:tcW w:w="2860" w:type="dxa"/>
            <w:vAlign w:val="bottom"/>
            <w:gridSpan w:val="2"/>
          </w:tcPr>
          <w:p>
            <w:pPr>
              <w:spacing w:after="0" w:line="161" w:lineRule="exact"/>
              <w:rPr>
                <w:sz w:val="20"/>
                <w:szCs w:val="20"/>
                <w:color w:val="auto"/>
              </w:rPr>
            </w:pPr>
            <w:r>
              <w:rPr>
                <w:rFonts w:ascii="Arial" w:cs="Arial" w:eastAsia="Arial" w:hAnsi="Arial"/>
                <w:sz w:val="18"/>
                <w:szCs w:val="18"/>
                <w:color w:val="auto"/>
              </w:rPr>
              <w:t>Stephen P. Wolfe</w:t>
            </w:r>
          </w:p>
        </w:tc>
        <w:tc>
          <w:tcPr>
            <w:tcW w:w="4300" w:type="dxa"/>
            <w:vAlign w:val="bottom"/>
          </w:tcPr>
          <w:p>
            <w:pPr>
              <w:ind w:left="800"/>
              <w:spacing w:after="0" w:line="161" w:lineRule="exact"/>
              <w:rPr>
                <w:sz w:val="20"/>
                <w:szCs w:val="20"/>
                <w:color w:val="auto"/>
              </w:rPr>
            </w:pPr>
            <w:r>
              <w:rPr>
                <w:rFonts w:ascii="Arial" w:cs="Arial" w:eastAsia="Arial" w:hAnsi="Arial"/>
                <w:sz w:val="18"/>
                <w:szCs w:val="18"/>
                <w:color w:val="auto"/>
              </w:rPr>
              <w:t>Chief Financial Officer</w:t>
            </w:r>
          </w:p>
        </w:tc>
        <w:tc>
          <w:tcPr>
            <w:tcW w:w="2300" w:type="dxa"/>
            <w:vAlign w:val="bottom"/>
          </w:tcPr>
          <w:p>
            <w:pPr>
              <w:spacing w:after="0"/>
              <w:rPr>
                <w:sz w:val="14"/>
                <w:szCs w:val="14"/>
                <w:color w:val="auto"/>
              </w:rPr>
            </w:pPr>
          </w:p>
        </w:tc>
      </w:tr>
      <w:tr>
        <w:trPr>
          <w:trHeight w:val="217"/>
        </w:trPr>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(principal financial officer)</w:t>
            </w:r>
          </w:p>
        </w:tc>
        <w:tc>
          <w:tcPr>
            <w:tcW w:w="2300" w:type="dxa"/>
            <w:vAlign w:val="bottom"/>
          </w:tcPr>
          <w:p>
            <w:pPr>
              <w:spacing w:after="0"/>
              <w:rPr>
                <w:sz w:val="18"/>
                <w:szCs w:val="18"/>
                <w:color w:val="auto"/>
              </w:rPr>
            </w:pPr>
          </w:p>
        </w:tc>
      </w:tr>
      <w:tr>
        <w:trPr>
          <w:trHeight w:val="277"/>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Blake M. Grams</w:t>
            </w:r>
          </w:p>
        </w:tc>
        <w:tc>
          <w:tcPr>
            <w:tcW w:w="4300" w:type="dxa"/>
            <w:vAlign w:val="bottom"/>
          </w:tcPr>
          <w:p>
            <w:pPr>
              <w:ind w:left="800"/>
              <w:spacing w:after="0"/>
              <w:rPr>
                <w:sz w:val="20"/>
                <w:szCs w:val="20"/>
                <w:color w:val="auto"/>
              </w:rPr>
            </w:pPr>
            <w:r>
              <w:rPr>
                <w:rFonts w:ascii="Arial" w:cs="Arial" w:eastAsia="Arial" w:hAnsi="Arial"/>
                <w:sz w:val="18"/>
                <w:szCs w:val="18"/>
                <w:color w:val="auto"/>
              </w:rPr>
              <w:t>Managing Director, Corporate Controller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Blake M. Grams</w:t>
            </w:r>
          </w:p>
        </w:tc>
        <w:tc>
          <w:tcPr>
            <w:tcW w:w="4300" w:type="dxa"/>
            <w:vAlign w:val="bottom"/>
          </w:tcPr>
          <w:p>
            <w:pPr>
              <w:ind w:left="800"/>
              <w:spacing w:after="0" w:line="189" w:lineRule="exact"/>
              <w:rPr>
                <w:sz w:val="20"/>
                <w:szCs w:val="20"/>
                <w:color w:val="auto"/>
              </w:rPr>
            </w:pPr>
            <w:r>
              <w:rPr>
                <w:rFonts w:ascii="Arial" w:cs="Arial" w:eastAsia="Arial" w:hAnsi="Arial"/>
                <w:sz w:val="18"/>
                <w:szCs w:val="18"/>
                <w:color w:val="auto"/>
              </w:rPr>
              <w:t>(principal accounting officer)</w:t>
            </w: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Ronald O. Baukol</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Ronald O. Baukol</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C. Buhrmaster</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Robert C. Buhrmaster</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Winslow H. Buxton</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Winslow H. Buxton</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Janet K. Cooper</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Janet K. Cooper</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Gary L. Ellis</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Gary L. Ellis</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Katherine J. Harless</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Katherine J. Harless</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H. Nassau</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Robert H. Nassau</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Gregg W. Steinhafel</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Inge G. Thulin</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December 21, 2007</w:t>
            </w:r>
          </w:p>
        </w:tc>
      </w:tr>
      <w:tr>
        <w:trPr>
          <w:trHeight w:val="210"/>
        </w:trPr>
        <w:tc>
          <w:tcPr>
            <w:tcW w:w="2860" w:type="dxa"/>
            <w:vAlign w:val="bottom"/>
            <w:gridSpan w:val="2"/>
          </w:tcPr>
          <w:p>
            <w:pPr>
              <w:spacing w:after="0"/>
              <w:rPr>
                <w:sz w:val="20"/>
                <w:szCs w:val="20"/>
                <w:color w:val="auto"/>
              </w:rPr>
            </w:pPr>
            <w:r>
              <w:rPr>
                <w:rFonts w:ascii="Arial" w:cs="Arial" w:eastAsia="Arial" w:hAnsi="Arial"/>
                <w:sz w:val="18"/>
                <w:szCs w:val="18"/>
                <w:color w:val="auto"/>
              </w:rPr>
              <w:t>Inge G. Thulin</w:t>
            </w:r>
          </w:p>
        </w:tc>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r>
    </w:tbl>
    <w:p>
      <w:pPr>
        <w:sectPr>
          <w:pgSz w:w="11900" w:h="16871" w:orient="portrait"/>
          <w:cols w:equalWidth="0" w:num="1">
            <w:col w:w="11400"/>
          </w:cols>
          <w:pgMar w:left="240" w:top="120" w:right="25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 Twomey</w:t>
            </w:r>
          </w:p>
        </w:tc>
        <w:tc>
          <w:tcPr>
            <w:tcW w:w="1600" w:type="dxa"/>
            <w:vAlign w:val="bottom"/>
          </w:tcPr>
          <w:p>
            <w:pPr>
              <w:ind w:left="800"/>
              <w:spacing w:after="0"/>
              <w:rPr>
                <w:sz w:val="20"/>
                <w:szCs w:val="20"/>
                <w:color w:val="auto"/>
              </w:rPr>
            </w:pPr>
            <w:r>
              <w:rPr>
                <w:rFonts w:ascii="Arial" w:cs="Arial" w:eastAsia="Arial" w:hAnsi="Arial"/>
                <w:sz w:val="18"/>
                <w:szCs w:val="18"/>
                <w:color w:val="auto"/>
              </w:rPr>
              <w:t>Director</w:t>
            </w:r>
          </w:p>
        </w:tc>
        <w:tc>
          <w:tcPr>
            <w:tcW w:w="6020" w:type="dxa"/>
            <w:vAlign w:val="bottom"/>
          </w:tcPr>
          <w:p>
            <w:pPr>
              <w:jc w:val="right"/>
              <w:ind w:right="1310"/>
              <w:spacing w:after="0"/>
              <w:rPr>
                <w:sz w:val="20"/>
                <w:szCs w:val="20"/>
                <w:color w:val="auto"/>
              </w:rPr>
            </w:pPr>
            <w:r>
              <w:rPr>
                <w:rFonts w:ascii="Arial" w:cs="Arial" w:eastAsia="Arial" w:hAnsi="Arial"/>
                <w:sz w:val="18"/>
                <w:szCs w:val="18"/>
                <w:color w:val="auto"/>
              </w:rPr>
              <w:t>December 21, 2007</w:t>
            </w:r>
          </w:p>
        </w:tc>
      </w:tr>
      <w:tr>
        <w:trPr>
          <w:trHeight w:val="210"/>
        </w:trPr>
        <w:tc>
          <w:tcPr>
            <w:tcW w:w="9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Christopher A. Twomey</w:t>
            </w:r>
          </w:p>
        </w:tc>
        <w:tc>
          <w:tcPr>
            <w:tcW w:w="160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688"/>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20" w:type="dxa"/>
            <w:vAlign w:val="bottom"/>
          </w:tcPr>
          <w:p>
            <w:pPr>
              <w:jc w:val="right"/>
              <w:ind w:right="5550"/>
              <w:spacing w:after="0"/>
              <w:rPr>
                <w:sz w:val="20"/>
                <w:szCs w:val="20"/>
                <w:color w:val="auto"/>
              </w:rPr>
            </w:pPr>
            <w:r>
              <w:rPr>
                <w:rFonts w:ascii="Arial" w:cs="Arial" w:eastAsia="Arial" w:hAnsi="Arial"/>
                <w:sz w:val="18"/>
                <w:szCs w:val="18"/>
                <w:color w:val="auto"/>
              </w:rPr>
              <w:t>63</w:t>
            </w:r>
          </w:p>
        </w:tc>
      </w:tr>
      <w:tr>
        <w:trPr>
          <w:trHeight w:val="375"/>
        </w:trPr>
        <w:tc>
          <w:tcPr>
            <w:tcW w:w="98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6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43" w:right="199" w:bottom="1440" w:gutter="0" w:footer="0" w:header="0"/>
        </w:sectPr>
      </w:pPr>
    </w:p>
    <w:bookmarkStart w:id="54" w:name="page55"/>
    <w:bookmarkEnd w:id="54"/>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PERFORMANCE </w:t>
      </w:r>
      <w:r>
        <w:rPr>
          <w:rFonts w:ascii="Arial" w:cs="Arial" w:eastAsia="Arial" w:hAnsi="Arial"/>
          <w:sz w:val="17"/>
          <w:szCs w:val="17"/>
          <w:b w:val="1"/>
          <w:bCs w:val="1"/>
          <w:color w:val="auto"/>
        </w:rPr>
        <w:t>SHARE AWARD AGREEMENT</w:t>
      </w:r>
    </w:p>
    <w:p>
      <w:pPr>
        <w:spacing w:after="0" w:line="207"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entered into as of by and between (“Employee” or “you”) and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(“Toro” or “we”), to set forth the terms and conditions of a Performance Share Award granted to you by the Compensation and Human Resources Committee of the Board of Directors of Toro (the “Committee”) pursuant to The Toro Company Performance Share Plan (the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460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Performance Share Award. </w:t>
            </w:r>
            <w:r>
              <w:rPr>
                <w:rFonts w:ascii="Arial" w:cs="Arial" w:eastAsia="Arial" w:hAnsi="Arial"/>
                <w:sz w:val="18"/>
                <w:szCs w:val="18"/>
                <w:color w:val="auto"/>
              </w:rPr>
              <w:t>Toro hereby grants you</w:t>
            </w: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w w:val="91"/>
              </w:rPr>
              <w:t>Performance Shares (your “Maximum Potential Payout”) for Fiscal Years</w:t>
            </w:r>
          </w:p>
        </w:tc>
        <w:tc>
          <w:tcPr>
            <w:tcW w:w="66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to</w:t>
            </w:r>
          </w:p>
        </w:tc>
        <w:tc>
          <w:tcPr>
            <w:tcW w:w="400" w:type="dxa"/>
            <w:vAlign w:val="bottom"/>
          </w:tcPr>
          <w:p>
            <w:pPr>
              <w:spacing w:after="0"/>
              <w:rPr>
                <w:sz w:val="20"/>
                <w:szCs w:val="20"/>
                <w:color w:val="auto"/>
              </w:rPr>
            </w:pPr>
          </w:p>
        </w:tc>
        <w:tc>
          <w:tcPr>
            <w:tcW w:w="10620" w:type="dxa"/>
            <w:vAlign w:val="bottom"/>
            <w:gridSpan w:val="4"/>
          </w:tcPr>
          <w:p>
            <w:pPr>
              <w:ind w:left="20"/>
              <w:spacing w:after="0"/>
              <w:rPr>
                <w:sz w:val="20"/>
                <w:szCs w:val="20"/>
                <w:color w:val="auto"/>
              </w:rPr>
            </w:pPr>
            <w:r>
              <w:rPr>
                <w:rFonts w:ascii="Arial" w:cs="Arial" w:eastAsia="Arial" w:hAnsi="Arial"/>
                <w:sz w:val="18"/>
                <w:szCs w:val="18"/>
                <w:color w:val="auto"/>
                <w:w w:val="94"/>
              </w:rPr>
              <w:t>(the “Award Term”), subject to the terms and conditions of this Agreement and of the Plan and to your consent to those terms and conditions.</w:t>
            </w:r>
          </w:p>
        </w:tc>
      </w:tr>
      <w:tr>
        <w:trPr>
          <w:trHeight w:val="418"/>
        </w:trPr>
        <w:tc>
          <w:tcPr>
            <w:tcW w:w="40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79"/>
              </w:rPr>
              <w:t>a.</w:t>
            </w:r>
          </w:p>
        </w:tc>
        <w:tc>
          <w:tcPr>
            <w:tcW w:w="10620" w:type="dxa"/>
            <w:vAlign w:val="bottom"/>
            <w:gridSpan w:val="4"/>
          </w:tcPr>
          <w:p>
            <w:pPr>
              <w:ind w:left="480"/>
              <w:spacing w:after="0"/>
              <w:rPr>
                <w:sz w:val="20"/>
                <w:szCs w:val="20"/>
                <w:color w:val="auto"/>
              </w:rPr>
            </w:pPr>
            <w:r>
              <w:rPr>
                <w:rFonts w:ascii="Arial" w:cs="Arial" w:eastAsia="Arial" w:hAnsi="Arial"/>
                <w:sz w:val="18"/>
                <w:szCs w:val="18"/>
                <w:b w:val="1"/>
                <w:bCs w:val="1"/>
                <w:i w:val="1"/>
                <w:iCs w:val="1"/>
                <w:color w:val="auto"/>
                <w:w w:val="90"/>
              </w:rPr>
              <w:t xml:space="preserve">Performance Share Definition. </w:t>
            </w:r>
            <w:r>
              <w:rPr>
                <w:rFonts w:ascii="Arial" w:cs="Arial" w:eastAsia="Arial" w:hAnsi="Arial"/>
                <w:sz w:val="18"/>
                <w:szCs w:val="18"/>
                <w:color w:val="auto"/>
                <w:w w:val="90"/>
              </w:rPr>
              <w:t>A Performance Share is a right to receive one share of Toro Common Stock, par value $1.00 per share, and</w:t>
            </w:r>
          </w:p>
        </w:tc>
      </w:tr>
      <w:tr>
        <w:trPr>
          <w:trHeight w:val="230"/>
        </w:trPr>
        <w:tc>
          <w:tcPr>
            <w:tcW w:w="400" w:type="dxa"/>
            <w:vAlign w:val="bottom"/>
          </w:tcPr>
          <w:p>
            <w:pPr>
              <w:spacing w:after="0"/>
              <w:rPr>
                <w:sz w:val="20"/>
                <w:szCs w:val="20"/>
                <w:color w:val="auto"/>
              </w:rPr>
            </w:pPr>
          </w:p>
        </w:tc>
        <w:tc>
          <w:tcPr>
            <w:tcW w:w="10360" w:type="dxa"/>
            <w:vAlign w:val="bottom"/>
            <w:gridSpan w:val="4"/>
          </w:tcPr>
          <w:p>
            <w:pPr>
              <w:ind w:left="260"/>
              <w:spacing w:after="0"/>
              <w:rPr>
                <w:sz w:val="20"/>
                <w:szCs w:val="20"/>
                <w:color w:val="auto"/>
              </w:rPr>
            </w:pPr>
            <w:r>
              <w:rPr>
                <w:rFonts w:ascii="Arial" w:cs="Arial" w:eastAsia="Arial" w:hAnsi="Arial"/>
                <w:sz w:val="18"/>
                <w:szCs w:val="18"/>
                <w:color w:val="auto"/>
                <w:w w:val="98"/>
              </w:rPr>
              <w:t>Preferred Share Purchase Rights attached thereto, (the “Common Stock”), contingent on the achievement of Performance Goals.</w:t>
            </w:r>
          </w:p>
        </w:tc>
        <w:tc>
          <w:tcPr>
            <w:tcW w:w="66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79"/>
              </w:rPr>
              <w:t>b.</w:t>
            </w:r>
          </w:p>
        </w:tc>
        <w:tc>
          <w:tcPr>
            <w:tcW w:w="10620" w:type="dxa"/>
            <w:vAlign w:val="bottom"/>
            <w:gridSpan w:val="4"/>
          </w:tcPr>
          <w:p>
            <w:pPr>
              <w:ind w:left="480"/>
              <w:spacing w:after="0"/>
              <w:rPr>
                <w:sz w:val="20"/>
                <w:szCs w:val="20"/>
                <w:color w:val="auto"/>
              </w:rPr>
            </w:pPr>
            <w:r>
              <w:rPr>
                <w:rFonts w:ascii="Arial" w:cs="Arial" w:eastAsia="Arial" w:hAnsi="Arial"/>
                <w:sz w:val="18"/>
                <w:szCs w:val="18"/>
                <w:b w:val="1"/>
                <w:bCs w:val="1"/>
                <w:i w:val="1"/>
                <w:iCs w:val="1"/>
                <w:color w:val="auto"/>
                <w:w w:val="93"/>
              </w:rPr>
              <w:t xml:space="preserve">Performance Goal Achievement Required. </w:t>
            </w:r>
            <w:r>
              <w:rPr>
                <w:rFonts w:ascii="Arial" w:cs="Arial" w:eastAsia="Arial" w:hAnsi="Arial"/>
                <w:sz w:val="18"/>
                <w:szCs w:val="18"/>
                <w:color w:val="auto"/>
                <w:w w:val="93"/>
              </w:rPr>
              <w:t>You will receive shares of Common Stock for Performance Shares under this Performance</w:t>
            </w:r>
          </w:p>
        </w:tc>
      </w:tr>
      <w:tr>
        <w:trPr>
          <w:trHeight w:val="216"/>
        </w:trPr>
        <w:tc>
          <w:tcPr>
            <w:tcW w:w="400" w:type="dxa"/>
            <w:vAlign w:val="bottom"/>
          </w:tcPr>
          <w:p>
            <w:pPr>
              <w:spacing w:after="0"/>
              <w:rPr>
                <w:sz w:val="18"/>
                <w:szCs w:val="18"/>
                <w:color w:val="auto"/>
              </w:rPr>
            </w:pPr>
          </w:p>
        </w:tc>
        <w:tc>
          <w:tcPr>
            <w:tcW w:w="11020" w:type="dxa"/>
            <w:vAlign w:val="bottom"/>
            <w:gridSpan w:val="5"/>
          </w:tcPr>
          <w:p>
            <w:pPr>
              <w:ind w:left="260"/>
              <w:spacing w:after="0"/>
              <w:rPr>
                <w:sz w:val="20"/>
                <w:szCs w:val="20"/>
                <w:color w:val="auto"/>
              </w:rPr>
            </w:pPr>
            <w:r>
              <w:rPr>
                <w:rFonts w:ascii="Arial" w:cs="Arial" w:eastAsia="Arial" w:hAnsi="Arial"/>
                <w:sz w:val="18"/>
                <w:szCs w:val="18"/>
                <w:color w:val="auto"/>
                <w:w w:val="91"/>
              </w:rPr>
              <w:t>Share Award only if Toro achieves Performance Goals for the Award Term established by the Committee and the Committee certifies in writing that</w:t>
            </w:r>
          </w:p>
        </w:tc>
      </w:tr>
      <w:tr>
        <w:trPr>
          <w:trHeight w:val="216"/>
        </w:trPr>
        <w:tc>
          <w:tcPr>
            <w:tcW w:w="400" w:type="dxa"/>
            <w:vAlign w:val="bottom"/>
          </w:tcPr>
          <w:p>
            <w:pPr>
              <w:spacing w:after="0"/>
              <w:rPr>
                <w:sz w:val="18"/>
                <w:szCs w:val="18"/>
                <w:color w:val="auto"/>
              </w:rPr>
            </w:pPr>
          </w:p>
        </w:tc>
        <w:tc>
          <w:tcPr>
            <w:tcW w:w="11020" w:type="dxa"/>
            <w:vAlign w:val="bottom"/>
            <w:gridSpan w:val="5"/>
          </w:tcPr>
          <w:p>
            <w:pPr>
              <w:ind w:left="260"/>
              <w:spacing w:after="0"/>
              <w:rPr>
                <w:sz w:val="20"/>
                <w:szCs w:val="20"/>
                <w:color w:val="auto"/>
              </w:rPr>
            </w:pPr>
            <w:r>
              <w:rPr>
                <w:rFonts w:ascii="Arial" w:cs="Arial" w:eastAsia="Arial" w:hAnsi="Arial"/>
                <w:sz w:val="18"/>
                <w:szCs w:val="18"/>
                <w:color w:val="auto"/>
                <w:w w:val="90"/>
              </w:rPr>
              <w:t>the Performance Goals have been achieved. If the Performance Goals are not achieved, a portion or all of your Performance Shares will be canceled</w:t>
            </w:r>
          </w:p>
        </w:tc>
      </w:tr>
      <w:tr>
        <w:trPr>
          <w:trHeight w:val="230"/>
        </w:trPr>
        <w:tc>
          <w:tcPr>
            <w:tcW w:w="400" w:type="dxa"/>
            <w:vAlign w:val="bottom"/>
          </w:tcPr>
          <w:p>
            <w:pPr>
              <w:spacing w:after="0"/>
              <w:rPr>
                <w:sz w:val="20"/>
                <w:szCs w:val="20"/>
                <w:color w:val="auto"/>
              </w:rPr>
            </w:pP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w w:val="90"/>
              </w:rPr>
              <w:t>and you will receive no Common Stock for canceled shares.</w:t>
            </w:r>
          </w:p>
        </w:tc>
        <w:tc>
          <w:tcPr>
            <w:tcW w:w="3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85"/>
              </w:rPr>
              <w:t>c.</w:t>
            </w:r>
          </w:p>
        </w:tc>
        <w:tc>
          <w:tcPr>
            <w:tcW w:w="9960" w:type="dxa"/>
            <w:vAlign w:val="bottom"/>
            <w:gridSpan w:val="3"/>
          </w:tcPr>
          <w:p>
            <w:pPr>
              <w:ind w:left="480"/>
              <w:spacing w:after="0"/>
              <w:rPr>
                <w:sz w:val="20"/>
                <w:szCs w:val="20"/>
                <w:color w:val="auto"/>
              </w:rPr>
            </w:pPr>
            <w:r>
              <w:rPr>
                <w:rFonts w:ascii="Arial" w:cs="Arial" w:eastAsia="Arial" w:hAnsi="Arial"/>
                <w:sz w:val="18"/>
                <w:szCs w:val="18"/>
                <w:b w:val="1"/>
                <w:bCs w:val="1"/>
                <w:i w:val="1"/>
                <w:iCs w:val="1"/>
                <w:color w:val="auto"/>
                <w:w w:val="97"/>
              </w:rPr>
              <w:t xml:space="preserve">Performance Goals. </w:t>
            </w:r>
            <w:r>
              <w:rPr>
                <w:rFonts w:ascii="Arial" w:cs="Arial" w:eastAsia="Arial" w:hAnsi="Arial"/>
                <w:sz w:val="18"/>
                <w:szCs w:val="18"/>
                <w:color w:val="auto"/>
                <w:w w:val="97"/>
              </w:rPr>
              <w:t>The Performance Goals to be achieved with respect to the Award Term are corporate revenue of $&lt;</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w w:val="77"/>
              </w:rPr>
              <w:t>&gt;,</w:t>
            </w:r>
          </w:p>
        </w:tc>
      </w:tr>
      <w:tr>
        <w:trPr>
          <w:trHeight w:val="230"/>
        </w:trPr>
        <w:tc>
          <w:tcPr>
            <w:tcW w:w="400" w:type="dxa"/>
            <w:vAlign w:val="bottom"/>
          </w:tcPr>
          <w:p>
            <w:pPr>
              <w:spacing w:after="0"/>
              <w:rPr>
                <w:sz w:val="20"/>
                <w:szCs w:val="20"/>
                <w:color w:val="auto"/>
              </w:rPr>
            </w:pP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cumulative net income plus after-tax interest of $&lt;</w:t>
            </w:r>
          </w:p>
        </w:tc>
        <w:tc>
          <w:tcPr>
            <w:tcW w:w="3700" w:type="dxa"/>
            <w:vAlign w:val="bottom"/>
          </w:tcPr>
          <w:p>
            <w:pPr>
              <w:ind w:left="20"/>
              <w:spacing w:after="0"/>
              <w:rPr>
                <w:sz w:val="20"/>
                <w:szCs w:val="20"/>
                <w:color w:val="auto"/>
              </w:rPr>
            </w:pPr>
            <w:r>
              <w:rPr>
                <w:rFonts w:ascii="Arial" w:cs="Arial" w:eastAsia="Arial" w:hAnsi="Arial"/>
                <w:sz w:val="18"/>
                <w:szCs w:val="18"/>
                <w:color w:val="auto"/>
              </w:rPr>
              <w:t>&gt; and cumulative average net asset turns of &lt;</w:t>
            </w:r>
          </w:p>
        </w:tc>
        <w:tc>
          <w:tcPr>
            <w:tcW w:w="2060" w:type="dxa"/>
            <w:vAlign w:val="bottom"/>
          </w:tcPr>
          <w:p>
            <w:pPr>
              <w:ind w:left="300"/>
              <w:spacing w:after="0"/>
              <w:rPr>
                <w:sz w:val="20"/>
                <w:szCs w:val="20"/>
                <w:color w:val="auto"/>
              </w:rPr>
            </w:pPr>
            <w:r>
              <w:rPr>
                <w:rFonts w:ascii="Arial" w:cs="Arial" w:eastAsia="Arial" w:hAnsi="Arial"/>
                <w:sz w:val="18"/>
                <w:szCs w:val="18"/>
                <w:color w:val="auto"/>
                <w:w w:val="94"/>
              </w:rPr>
              <w:t>&gt; (the “Target Levels”).</w:t>
            </w:r>
          </w:p>
        </w:tc>
        <w:tc>
          <w:tcPr>
            <w:tcW w:w="660" w:type="dxa"/>
            <w:vAlign w:val="bottom"/>
          </w:tcPr>
          <w:p>
            <w:pPr>
              <w:spacing w:after="0"/>
              <w:rPr>
                <w:sz w:val="20"/>
                <w:szCs w:val="20"/>
                <w:color w:val="auto"/>
              </w:rPr>
            </w:pP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gridSpan w:val="3"/>
          </w:tcPr>
          <w:p>
            <w:pPr>
              <w:ind w:left="260"/>
              <w:spacing w:after="0"/>
              <w:rPr>
                <w:sz w:val="20"/>
                <w:szCs w:val="20"/>
                <w:color w:val="auto"/>
              </w:rPr>
            </w:pPr>
            <w:r>
              <w:rPr>
                <w:rFonts w:ascii="Arial" w:cs="Arial" w:eastAsia="Arial" w:hAnsi="Arial"/>
                <w:sz w:val="18"/>
                <w:szCs w:val="18"/>
                <w:b w:val="1"/>
                <w:bCs w:val="1"/>
                <w:color w:val="auto"/>
                <w:w w:val="93"/>
              </w:rPr>
              <w:t xml:space="preserve">Number of Shares Delivered. </w:t>
            </w:r>
            <w:r>
              <w:rPr>
                <w:rFonts w:ascii="Arial" w:cs="Arial" w:eastAsia="Arial" w:hAnsi="Arial"/>
                <w:sz w:val="18"/>
                <w:szCs w:val="18"/>
                <w:color w:val="auto"/>
                <w:w w:val="93"/>
              </w:rPr>
              <w:t>If the Performance Goals are achieved at the Target Levels, you will receive</w:t>
            </w:r>
          </w:p>
        </w:tc>
        <w:tc>
          <w:tcPr>
            <w:tcW w:w="2720" w:type="dxa"/>
            <w:vAlign w:val="bottom"/>
            <w:gridSpan w:val="2"/>
          </w:tcPr>
          <w:p>
            <w:pPr>
              <w:jc w:val="right"/>
              <w:ind w:right="290"/>
              <w:spacing w:after="0"/>
              <w:rPr>
                <w:sz w:val="20"/>
                <w:szCs w:val="20"/>
                <w:color w:val="auto"/>
              </w:rPr>
            </w:pPr>
            <w:r>
              <w:rPr>
                <w:rFonts w:ascii="Arial" w:cs="Arial" w:eastAsia="Arial" w:hAnsi="Arial"/>
                <w:sz w:val="18"/>
                <w:szCs w:val="18"/>
                <w:color w:val="auto"/>
              </w:rPr>
              <w:t>shares of Common Stock</w:t>
            </w:r>
          </w:p>
        </w:tc>
      </w:tr>
      <w:tr>
        <w:trPr>
          <w:trHeight w:val="216"/>
        </w:trPr>
        <w:tc>
          <w:tcPr>
            <w:tcW w:w="400" w:type="dxa"/>
            <w:vAlign w:val="bottom"/>
          </w:tcPr>
          <w:p>
            <w:pPr>
              <w:spacing w:after="0"/>
              <w:rPr>
                <w:sz w:val="18"/>
                <w:szCs w:val="18"/>
                <w:color w:val="auto"/>
              </w:rPr>
            </w:pPr>
          </w:p>
        </w:tc>
        <w:tc>
          <w:tcPr>
            <w:tcW w:w="11020" w:type="dxa"/>
            <w:vAlign w:val="bottom"/>
            <w:gridSpan w:val="5"/>
          </w:tcPr>
          <w:p>
            <w:pPr>
              <w:ind w:left="260"/>
              <w:spacing w:after="0"/>
              <w:rPr>
                <w:sz w:val="20"/>
                <w:szCs w:val="20"/>
                <w:color w:val="auto"/>
              </w:rPr>
            </w:pPr>
            <w:r>
              <w:rPr>
                <w:rFonts w:ascii="Arial" w:cs="Arial" w:eastAsia="Arial" w:hAnsi="Arial"/>
                <w:sz w:val="18"/>
                <w:szCs w:val="18"/>
                <w:color w:val="auto"/>
                <w:w w:val="92"/>
              </w:rPr>
              <w:t>(your “Target Payout”). If the Performance Goals are achieved at levels above or below the Target Levels, the number of shares of Common Stock</w:t>
            </w:r>
          </w:p>
        </w:tc>
      </w:tr>
      <w:tr>
        <w:trPr>
          <w:trHeight w:val="216"/>
        </w:trPr>
        <w:tc>
          <w:tcPr>
            <w:tcW w:w="400" w:type="dxa"/>
            <w:vAlign w:val="bottom"/>
          </w:tcPr>
          <w:p>
            <w:pPr>
              <w:spacing w:after="0"/>
              <w:rPr>
                <w:sz w:val="18"/>
                <w:szCs w:val="18"/>
                <w:color w:val="auto"/>
              </w:rPr>
            </w:pPr>
          </w:p>
        </w:tc>
        <w:tc>
          <w:tcPr>
            <w:tcW w:w="11020" w:type="dxa"/>
            <w:vAlign w:val="bottom"/>
            <w:gridSpan w:val="5"/>
          </w:tcPr>
          <w:p>
            <w:pPr>
              <w:ind w:left="260"/>
              <w:spacing w:after="0"/>
              <w:rPr>
                <w:sz w:val="20"/>
                <w:szCs w:val="20"/>
                <w:color w:val="auto"/>
              </w:rPr>
            </w:pPr>
            <w:r>
              <w:rPr>
                <w:rFonts w:ascii="Arial" w:cs="Arial" w:eastAsia="Arial" w:hAnsi="Arial"/>
                <w:sz w:val="18"/>
                <w:szCs w:val="18"/>
                <w:color w:val="auto"/>
                <w:w w:val="91"/>
              </w:rPr>
              <w:t>you will receive will be increased or reduced, including to zero, in accordance with the matrix set forth in Exhibit A, which is attached to and forms a</w:t>
            </w:r>
          </w:p>
        </w:tc>
      </w:tr>
      <w:tr>
        <w:trPr>
          <w:trHeight w:val="216"/>
        </w:trPr>
        <w:tc>
          <w:tcPr>
            <w:tcW w:w="400" w:type="dxa"/>
            <w:vAlign w:val="bottom"/>
          </w:tcPr>
          <w:p>
            <w:pPr>
              <w:spacing w:after="0"/>
              <w:rPr>
                <w:sz w:val="18"/>
                <w:szCs w:val="18"/>
                <w:color w:val="auto"/>
              </w:rPr>
            </w:pPr>
          </w:p>
        </w:tc>
        <w:tc>
          <w:tcPr>
            <w:tcW w:w="10360" w:type="dxa"/>
            <w:vAlign w:val="bottom"/>
            <w:gridSpan w:val="4"/>
          </w:tcPr>
          <w:p>
            <w:pPr>
              <w:ind w:left="260"/>
              <w:spacing w:after="0"/>
              <w:rPr>
                <w:sz w:val="20"/>
                <w:szCs w:val="20"/>
                <w:color w:val="auto"/>
              </w:rPr>
            </w:pPr>
            <w:r>
              <w:rPr>
                <w:rFonts w:ascii="Arial" w:cs="Arial" w:eastAsia="Arial" w:hAnsi="Arial"/>
                <w:sz w:val="18"/>
                <w:szCs w:val="18"/>
                <w:color w:val="auto"/>
              </w:rPr>
              <w:t>part of this Agreement, subject further to adjustment and proration as provided in the Plan and the Committee’s resolutions of</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9"/>
              </w:rPr>
              <w:t>. You</w:t>
            </w:r>
          </w:p>
        </w:tc>
      </w:tr>
      <w:tr>
        <w:trPr>
          <w:trHeight w:val="230"/>
        </w:trPr>
        <w:tc>
          <w:tcPr>
            <w:tcW w:w="400" w:type="dxa"/>
            <w:vAlign w:val="bottom"/>
          </w:tcPr>
          <w:p>
            <w:pPr>
              <w:spacing w:after="0"/>
              <w:rPr>
                <w:sz w:val="20"/>
                <w:szCs w:val="20"/>
                <w:color w:val="auto"/>
              </w:rPr>
            </w:pP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may not receive a greater number of shares of Common Stock than your Maximum Potential Payout.</w:t>
            </w: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198"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Payment of Awards. </w:t>
      </w:r>
      <w:r>
        <w:rPr>
          <w:rFonts w:ascii="Arial" w:cs="Arial" w:eastAsia="Arial" w:hAnsi="Arial"/>
          <w:sz w:val="18"/>
          <w:szCs w:val="18"/>
          <w:color w:val="auto"/>
        </w:rPr>
        <w:t>Performance Shares payable to you will be paid solely in shares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Vesting and Cancellation Under Special Circumstances.</w:t>
      </w:r>
    </w:p>
    <w:p>
      <w:pPr>
        <w:spacing w:after="0" w:line="229" w:lineRule="exact"/>
        <w:rPr>
          <w:rFonts w:ascii="Arial" w:cs="Arial" w:eastAsia="Arial" w:hAnsi="Arial"/>
          <w:sz w:val="18"/>
          <w:szCs w:val="18"/>
          <w:color w:val="auto"/>
        </w:rPr>
      </w:pPr>
    </w:p>
    <w:p>
      <w:pPr>
        <w:ind w:left="600" w:right="20" w:firstLine="56"/>
        <w:spacing w:after="0" w:line="284" w:lineRule="auto"/>
        <w:tabs>
          <w:tab w:leader="none" w:pos="1287" w:val="left"/>
        </w:tabs>
        <w:numPr>
          <w:ilvl w:val="1"/>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Retirement,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 Plan Participant retires, dies or becomes permanently disabled and unable to work prior to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Term, but after the conclusion of not less than 33% of the Award Term, the Committee may, in its sole discretion, cause shares of Common Stock to be delivered with respect to the participant’s Performance Share Award, but only if otherwise earned and only with respect to the portion of the applicable Award Term completed at the date of such event, with proration based on full fiscal years only and no shares to be delivered for partial fiscal years. “Retirement” means termination of employment with the Company at age 55 or older and with a number of years of service to the Company that, when added together with the participant’s age, equals at least 65. The Committee shall consider the requirements of paragraph 3 .e.(i).</w:t>
      </w:r>
    </w:p>
    <w:p>
      <w:pPr>
        <w:spacing w:after="0" w:line="4" w:lineRule="exact"/>
        <w:rPr>
          <w:rFonts w:ascii="Arial" w:cs="Arial" w:eastAsia="Arial" w:hAnsi="Arial"/>
          <w:sz w:val="16"/>
          <w:szCs w:val="16"/>
          <w:color w:val="auto"/>
        </w:rPr>
      </w:pPr>
    </w:p>
    <w:p>
      <w:pPr>
        <w:ind w:left="600" w:right="500"/>
        <w:spacing w:after="0" w:line="255" w:lineRule="auto"/>
        <w:rPr>
          <w:rFonts w:ascii="Arial" w:cs="Arial" w:eastAsia="Arial" w:hAnsi="Arial"/>
          <w:sz w:val="16"/>
          <w:szCs w:val="16"/>
          <w:color w:val="auto"/>
        </w:rPr>
      </w:pPr>
      <w:r>
        <w:rPr>
          <w:rFonts w:ascii="Arial" w:cs="Arial" w:eastAsia="Arial" w:hAnsi="Arial"/>
          <w:sz w:val="18"/>
          <w:szCs w:val="18"/>
          <w:color w:val="auto"/>
        </w:rPr>
        <w:t>(A) of the Plan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190" w:lineRule="exact"/>
        <w:rPr>
          <w:rFonts w:ascii="Arial" w:cs="Arial" w:eastAsia="Arial" w:hAnsi="Arial"/>
          <w:sz w:val="16"/>
          <w:szCs w:val="16"/>
          <w:color w:val="auto"/>
        </w:rPr>
      </w:pPr>
    </w:p>
    <w:p>
      <w:pPr>
        <w:ind w:left="1560" w:right="120" w:hanging="320"/>
        <w:spacing w:after="0" w:line="270" w:lineRule="auto"/>
        <w:tabs>
          <w:tab w:leader="none" w:pos="1541" w:val="left"/>
        </w:tabs>
        <w:numPr>
          <w:ilvl w:val="2"/>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Non-compete. </w:t>
      </w:r>
      <w:r>
        <w:rPr>
          <w:rFonts w:ascii="Arial" w:cs="Arial" w:eastAsia="Arial" w:hAnsi="Arial"/>
          <w:sz w:val="17"/>
          <w:szCs w:val="17"/>
          <w:color w:val="auto"/>
        </w:rPr>
        <w:t>Notwithstanding the foregoing, if a Plan Participant retires prior to age 65, and within one year after the later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that retirement or the date shares are delivered pursuant to paragraph 3 .e.(i) of the Plan,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paragraph 3.e.(i) of the Plan or withhold or have the right to the return of the economic value of the Performance Shares that vested under that paragraph; provided, however, that this provision shall not be applicable in the event of a Change of Control.</w:t>
      </w:r>
    </w:p>
    <w:p>
      <w:pPr>
        <w:spacing w:after="0" w:line="181" w:lineRule="exact"/>
        <w:rPr>
          <w:rFonts w:ascii="Arial" w:cs="Arial" w:eastAsia="Arial" w:hAnsi="Arial"/>
          <w:sz w:val="17"/>
          <w:szCs w:val="17"/>
          <w:color w:val="auto"/>
        </w:rPr>
      </w:pPr>
    </w:p>
    <w:p>
      <w:pPr>
        <w:ind w:left="660" w:right="20" w:hanging="4"/>
        <w:spacing w:after="0" w:line="276" w:lineRule="auto"/>
        <w:tabs>
          <w:tab w:leader="none" w:pos="1292" w:val="left"/>
        </w:tabs>
        <w:numPr>
          <w:ilvl w:val="1"/>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Reassignment. </w:t>
      </w:r>
      <w:r>
        <w:rPr>
          <w:rFonts w:ascii="Arial" w:cs="Arial" w:eastAsia="Arial" w:hAnsi="Arial"/>
          <w:sz w:val="17"/>
          <w:szCs w:val="17"/>
          <w:color w:val="auto"/>
        </w:rPr>
        <w:t>If prior to the end of an Award Term, a Plan Participant is reassigned to a position with the Company (including a subsidiary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parent of the Company), and that position is not eligible to participate in the Plan, but the Plan Participant does not terminate employment with the Company, the Committee may, in its sole discretion, cause shares of Common Stock to be delivered with respect to the participant’s Performance Share Award, but only if otherwise earned and only with respect to the portion of the applicable Award Term completed at the date of such reassignment, based on full fiscal years only, with no shares to be delivered for partial fiscal years.</w:t>
      </w:r>
    </w:p>
    <w:p>
      <w:pPr>
        <w:spacing w:after="0" w:line="172" w:lineRule="exact"/>
        <w:rPr>
          <w:rFonts w:ascii="Arial" w:cs="Arial" w:eastAsia="Arial" w:hAnsi="Arial"/>
          <w:sz w:val="17"/>
          <w:szCs w:val="17"/>
          <w:color w:val="auto"/>
        </w:rPr>
      </w:pPr>
    </w:p>
    <w:p>
      <w:pPr>
        <w:ind w:left="600" w:right="100" w:firstLine="56"/>
        <w:spacing w:after="0" w:line="277" w:lineRule="auto"/>
        <w:tabs>
          <w:tab w:leader="none" w:pos="1287" w:val="left"/>
        </w:tabs>
        <w:numPr>
          <w:ilvl w:val="1"/>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Termination. </w:t>
      </w:r>
      <w:r>
        <w:rPr>
          <w:rFonts w:ascii="Arial" w:cs="Arial" w:eastAsia="Arial" w:hAnsi="Arial"/>
          <w:sz w:val="18"/>
          <w:szCs w:val="18"/>
          <w:color w:val="auto"/>
        </w:rPr>
        <w:t>In the event that a Plan Participant terminates employment with the Company other than by reason of retirement,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disability as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-4523740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paragraph 3 .e.(i) of the Plan, Performance Shares in such participant’s name that have not yet vested shall not vest and shall be canceled.</w:t>
      </w:r>
    </w:p>
    <w:p>
      <w:pPr>
        <w:spacing w:after="0" w:line="237" w:lineRule="exact"/>
        <w:rPr>
          <w:sz w:val="20"/>
          <w:szCs w:val="20"/>
          <w:color w:val="auto"/>
        </w:rPr>
      </w:pPr>
    </w:p>
    <w:p>
      <w:pPr>
        <w:ind w:left="600" w:right="140" w:firstLine="56"/>
        <w:spacing w:after="0" w:line="277"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Notwithstanding any other provision of this Agreement, all Performance Shares that have not yet vested shall vest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immediately payable if there is a Change of Control of Toro, as defined in the Plan.</w:t>
      </w:r>
    </w:p>
    <w:p>
      <w:pPr>
        <w:spacing w:after="0" w:line="170" w:lineRule="exact"/>
        <w:rPr>
          <w:rFonts w:ascii="Arial" w:cs="Arial" w:eastAsia="Arial" w:hAnsi="Arial"/>
          <w:sz w:val="18"/>
          <w:szCs w:val="18"/>
          <w:color w:val="auto"/>
        </w:rPr>
      </w:pPr>
    </w:p>
    <w:p>
      <w:pPr>
        <w:ind w:left="600" w:right="400" w:firstLine="56"/>
        <w:spacing w:after="0" w:line="264" w:lineRule="auto"/>
        <w:tabs>
          <w:tab w:leader="none" w:pos="1287"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Back. </w:t>
      </w:r>
      <w:r>
        <w:rPr>
          <w:rFonts w:ascii="Arial" w:cs="Arial" w:eastAsia="Arial" w:hAnsi="Arial"/>
          <w:sz w:val="18"/>
          <w:szCs w:val="18"/>
          <w:color w:val="auto"/>
        </w:rPr>
        <w:t>The Committee may, in its discretion, cancel a portion of the Performance Shares covered by this Agreement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conclusion of the Award Term, if the Committee determines that the Performance Goals for the Award Term cannot be achieved at the maximum levels established, in accordance with paragraph 3.e,(v) of the Plan.</w:t>
      </w:r>
    </w:p>
    <w:p>
      <w:pPr>
        <w:sectPr>
          <w:pgSz w:w="11900" w:h="16918" w:orient="portrait"/>
          <w:cols w:equalWidth="0" w:num="1">
            <w:col w:w="11420"/>
          </w:cols>
          <w:pgMar w:left="240" w:top="121" w:right="239" w:bottom="0" w:gutter="0" w:footer="0" w:header="0"/>
        </w:sectPr>
      </w:pPr>
    </w:p>
    <w:bookmarkStart w:id="55" w:name="page56"/>
    <w:bookmarkEnd w:id="55"/>
    <w:p>
      <w:pPr>
        <w:ind w:left="660" w:right="120" w:hanging="652"/>
        <w:spacing w:after="0" w:line="266" w:lineRule="auto"/>
        <w:tabs>
          <w:tab w:leader="none" w:pos="67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Dividends and Voting. </w:t>
      </w:r>
      <w:r>
        <w:rPr>
          <w:rFonts w:ascii="Arial" w:cs="Arial" w:eastAsia="Arial" w:hAnsi="Arial"/>
          <w:sz w:val="18"/>
          <w:szCs w:val="18"/>
          <w:color w:val="auto"/>
        </w:rPr>
        <w:t>You will have no rights as a stockholder with respect to Performance Shares unless and until Common Stock is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the Performance Share Award. Except as expressly provided in the Plan, no adjustments will be made for dividends or other rights for which the record date is prior to issuance of the Common Stock.</w:t>
      </w:r>
    </w:p>
    <w:p>
      <w:pPr>
        <w:spacing w:after="0" w:line="176" w:lineRule="exact"/>
        <w:rPr>
          <w:rFonts w:ascii="Arial" w:cs="Arial" w:eastAsia="Arial" w:hAnsi="Arial"/>
          <w:sz w:val="18"/>
          <w:szCs w:val="18"/>
          <w:color w:val="auto"/>
        </w:rPr>
      </w:pPr>
    </w:p>
    <w:p>
      <w:pPr>
        <w:ind w:left="660" w:hanging="652"/>
        <w:spacing w:after="0" w:line="261" w:lineRule="auto"/>
        <w:tabs>
          <w:tab w:leader="none" w:pos="67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Neither your Performance Shares nor this Performance Share Award nor any interest in the shares or award may be anticipated,</w:t>
      </w:r>
      <w:r>
        <w:rPr>
          <w:rFonts w:ascii="Arial" w:cs="Arial" w:eastAsia="Arial" w:hAnsi="Arial"/>
          <w:sz w:val="18"/>
          <w:szCs w:val="18"/>
          <w:b w:val="1"/>
          <w:bCs w:val="1"/>
          <w:color w:val="auto"/>
        </w:rPr>
        <w:t xml:space="preserve"> </w:t>
      </w:r>
      <w:r>
        <w:rPr>
          <w:rFonts w:ascii="Arial" w:cs="Arial" w:eastAsia="Arial" w:hAnsi="Arial"/>
          <w:sz w:val="18"/>
          <w:szCs w:val="18"/>
          <w:color w:val="auto"/>
        </w:rPr>
        <w:t>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w:t>
      </w:r>
    </w:p>
    <w:p>
      <w:pPr>
        <w:spacing w:after="0" w:line="180" w:lineRule="exact"/>
        <w:rPr>
          <w:rFonts w:ascii="Arial" w:cs="Arial" w:eastAsia="Arial" w:hAnsi="Arial"/>
          <w:sz w:val="18"/>
          <w:szCs w:val="18"/>
          <w:color w:val="auto"/>
        </w:rPr>
      </w:pPr>
    </w:p>
    <w:p>
      <w:pPr>
        <w:ind w:left="660" w:right="80" w:hanging="652"/>
        <w:spacing w:after="0" w:line="261" w:lineRule="auto"/>
        <w:tabs>
          <w:tab w:leader="none" w:pos="67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Heirs. </w:t>
      </w:r>
      <w:r>
        <w:rPr>
          <w:rFonts w:ascii="Arial" w:cs="Arial" w:eastAsia="Arial" w:hAnsi="Arial"/>
          <w:sz w:val="18"/>
          <w:szCs w:val="18"/>
          <w:color w:val="auto"/>
        </w:rPr>
        <w:t>This Agreement shall be binding upon and inure to the benefit of Toro and its successors and assigns, and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whether by merger, consolidation, purchase of assets or otherwise, all or substantially all of Toro’s assets and business. In the event of your death, any shares of Common Stock to which you may become entitled will be delivered to your heirs or personal representative in accordance with the terms of the Plan.</w:t>
      </w:r>
    </w:p>
    <w:p>
      <w:pPr>
        <w:spacing w:after="0" w:line="180" w:lineRule="exact"/>
        <w:rPr>
          <w:rFonts w:ascii="Arial" w:cs="Arial" w:eastAsia="Arial" w:hAnsi="Arial"/>
          <w:sz w:val="18"/>
          <w:szCs w:val="18"/>
          <w:color w:val="auto"/>
        </w:rPr>
      </w:pPr>
    </w:p>
    <w:p>
      <w:pPr>
        <w:ind w:left="660" w:right="160" w:hanging="652"/>
        <w:spacing w:after="0" w:line="266" w:lineRule="auto"/>
        <w:tabs>
          <w:tab w:leader="none" w:pos="67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construed, administered and governed in all respects under and by the applicable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excluding any conflicts or choice of law rule or principle that might otherwise refer construction or interpretation of this Agreement, the Plan, the award or the Performance Shares to the substantive law of another jurisdiction.</w:t>
      </w:r>
    </w:p>
    <w:p>
      <w:pPr>
        <w:spacing w:after="0" w:line="176" w:lineRule="exact"/>
        <w:rPr>
          <w:rFonts w:ascii="Arial" w:cs="Arial" w:eastAsia="Arial" w:hAnsi="Arial"/>
          <w:sz w:val="18"/>
          <w:szCs w:val="18"/>
          <w:color w:val="auto"/>
        </w:rPr>
      </w:pPr>
    </w:p>
    <w:p>
      <w:pPr>
        <w:ind w:left="660" w:right="280" w:hanging="652"/>
        <w:spacing w:after="0" w:line="298" w:lineRule="auto"/>
        <w:tabs>
          <w:tab w:leader="none" w:pos="673"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Toro has the right to deduct from any award payment made under this Agreement or to require you to pay the amount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or local taxes of any kind required by law to be withheld with respect to the grant, vesting, payment or settlement of an award under this Agreement, or to take such other action as may be necessary in the opinion of Toro to satisfy all obligations for the payment of such taxes. If Common Stock is withheld or surrendered to satisfy tax withholding, such stock will be valued at fair market value as of the date such Common Stock is withheld or surrendered. Toro may also deduct from any award payment any other amounts due by you to Toro.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660" w:right="80" w:hanging="652"/>
        <w:spacing w:after="0" w:line="282" w:lineRule="auto"/>
        <w:tabs>
          <w:tab w:leader="none" w:pos="65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Notwithstanding anything in this Agreement to the contrary, the terms of this Agreement shall be subject to the terms of the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Plan, all decisions of the Committee shall be final and binding upon you and Toro.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Performance Share Award Agreement has been executed and delivered by Toro 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w:t>
      </w:r>
    </w:p>
    <w:p>
      <w:pPr>
        <w:spacing w:after="0" w:line="16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-130175</wp:posOffset>
            </wp:positionV>
            <wp:extent cx="261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hereby agree to the terms and conditions of this Performance Share Award Agreement as a condition to the grant made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426720</wp:posOffset>
            </wp:positionV>
            <wp:extent cx="26155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6" w:name="page57"/>
    <w:bookmarkEnd w:id="56"/>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10/31/2007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10/31/2006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10/31/2005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10/31/2004</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10/31/2003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213,227,000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153,233,000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120,918,000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26,003,000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24,154,000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24,298,000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22,004,000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22,251,000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Earnings available to cover fixed charges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239,230,000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216,908,000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175,237,000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143,169,000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19,445,000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17,672,000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17,733,000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15,523,000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16,285,000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6,558,000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6,482,000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6,481,000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26,003,000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24,298,000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22,004,000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22,251,000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gridSpan w:val="3"/>
          </w:tcPr>
          <w:p>
            <w:pPr>
              <w:ind w:left="156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3640" w:type="dxa"/>
            <w:vAlign w:val="bottom"/>
          </w:tcPr>
          <w:p>
            <w:pPr>
              <w:spacing w:after="0"/>
              <w:rPr>
                <w:sz w:val="24"/>
                <w:szCs w:val="24"/>
                <w:color w:val="auto"/>
              </w:rPr>
            </w:pPr>
          </w:p>
        </w:tc>
        <w:tc>
          <w:tcPr>
            <w:tcW w:w="522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THE TORO COMPANY AND SUBSIDIARIES</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80" w:type="dxa"/>
            <w:vAlign w:val="bottom"/>
            <w:gridSpan w:val="3"/>
          </w:tcPr>
          <w:p>
            <w:pPr>
              <w:jc w:val="right"/>
              <w:ind w:right="2160"/>
              <w:spacing w:after="0"/>
              <w:rPr>
                <w:sz w:val="20"/>
                <w:szCs w:val="20"/>
                <w:color w:val="auto"/>
              </w:rPr>
            </w:pPr>
            <w:r>
              <w:rPr>
                <w:rFonts w:ascii="Arial" w:cs="Arial" w:eastAsia="Arial" w:hAnsi="Arial"/>
                <w:sz w:val="18"/>
                <w:szCs w:val="18"/>
                <w:b w:val="1"/>
                <w:bCs w:val="1"/>
                <w:color w:val="auto"/>
                <w:w w:val="94"/>
              </w:rPr>
              <w:t>Subsidiaries of Registrant</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5"/>
          </w:tcPr>
          <w:p>
            <w:pPr>
              <w:spacing w:after="0"/>
              <w:rPr>
                <w:sz w:val="20"/>
                <w:szCs w:val="20"/>
                <w:color w:val="auto"/>
              </w:rPr>
            </w:pPr>
            <w:r>
              <w:rPr>
                <w:rFonts w:ascii="Arial" w:cs="Arial" w:eastAsia="Arial" w:hAnsi="Arial"/>
                <w:sz w:val="18"/>
                <w:szCs w:val="18"/>
                <w:color w:val="auto"/>
              </w:rPr>
              <w:t>The following are significant subsidiaries of The Toro Company as of December 14, 2007.</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State or Other Jurisdiction</w:t>
            </w:r>
          </w:p>
        </w:tc>
        <w:tc>
          <w:tcPr>
            <w:tcW w:w="2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Percentage of Voting</w:t>
            </w: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80" w:type="dxa"/>
            <w:vAlign w:val="bottom"/>
            <w:gridSpan w:val="2"/>
          </w:tcPr>
          <w:p>
            <w:pPr>
              <w:jc w:val="right"/>
              <w:ind w:right="1660"/>
              <w:spacing w:after="0"/>
              <w:rPr>
                <w:sz w:val="20"/>
                <w:szCs w:val="20"/>
                <w:color w:val="auto"/>
              </w:rPr>
            </w:pPr>
            <w:r>
              <w:rPr>
                <w:rFonts w:ascii="Arial" w:cs="Arial" w:eastAsia="Arial" w:hAnsi="Arial"/>
                <w:sz w:val="14"/>
                <w:szCs w:val="14"/>
                <w:b w:val="1"/>
                <w:bCs w:val="1"/>
                <w:color w:val="auto"/>
              </w:rPr>
              <w:t>of Incorporation</w:t>
            </w:r>
          </w:p>
        </w:tc>
        <w:tc>
          <w:tcPr>
            <w:tcW w:w="2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Securities Owned</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Exmark Manufacturing Company Incorporated</w:t>
            </w: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Nebraska</w:t>
            </w:r>
          </w:p>
        </w:tc>
        <w:tc>
          <w:tcPr>
            <w:tcW w:w="3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Hayter Holdings Limited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United Kingdom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United Kingdom</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The Holiman Company, Inc.</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Pennsylvania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Italy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Irritrol Systems Europe Productions, S.r.L.</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Italy</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Rain Master Irrigation Systems, Inc.</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California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The Shop Toro Company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Australia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Australia Group Sales Pty. Ltd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Australia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Briggs &amp; Stratton LLC</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Wisconsin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Credit Company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Company de Mexico, S. de R.L. de C.V.</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Mexico</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Europe N.V.</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Belgium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Guernsey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Finance Company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California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Switzerland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France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France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Gibraltar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Hayter LLP</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United Kingdom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Hayter (Guernsey) Limited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Guernsey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Luxembourg S.à.r.l.</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Luxembourg</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Delaware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Mexico Holdings, LLC</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Manufacturing LLC</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Delaware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Purchasing Company</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Toro R&amp;D Company</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80" w:type="dxa"/>
            <w:vAlign w:val="bottom"/>
            <w:gridSpan w:val="2"/>
          </w:tcPr>
          <w:p>
            <w:pPr>
              <w:jc w:val="right"/>
              <w:ind w:right="360"/>
              <w:spacing w:after="0"/>
              <w:rPr>
                <w:sz w:val="20"/>
                <w:szCs w:val="20"/>
                <w:color w:val="auto"/>
              </w:rPr>
            </w:pPr>
            <w:r>
              <w:rPr>
                <w:rFonts w:ascii="Arial" w:cs="Arial" w:eastAsia="Arial" w:hAnsi="Arial"/>
                <w:sz w:val="18"/>
                <w:szCs w:val="18"/>
                <w:color w:val="auto"/>
              </w:rPr>
              <w:t>Minnesota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36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4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Minnesota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 Servicios, S. de R.L. de C.V.</w:t>
            </w:r>
          </w:p>
        </w:tc>
        <w:tc>
          <w:tcPr>
            <w:tcW w:w="4460" w:type="dxa"/>
            <w:vAlign w:val="bottom"/>
          </w:tcPr>
          <w:p>
            <w:pPr>
              <w:jc w:val="right"/>
              <w:ind w:right="1130"/>
              <w:spacing w:after="0"/>
              <w:rPr>
                <w:sz w:val="20"/>
                <w:szCs w:val="20"/>
                <w:color w:val="auto"/>
              </w:rPr>
            </w:pPr>
            <w:r>
              <w:rPr>
                <w:rFonts w:ascii="Arial" w:cs="Arial" w:eastAsia="Arial" w:hAnsi="Arial"/>
                <w:sz w:val="18"/>
                <w:szCs w:val="18"/>
                <w:color w:val="auto"/>
              </w:rPr>
              <w:t>Mexico</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Toro Warranty Company</w:t>
            </w:r>
          </w:p>
        </w:tc>
        <w:tc>
          <w:tcPr>
            <w:tcW w:w="4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Minnesota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 World Trade GmbH</w:t>
            </w:r>
          </w:p>
        </w:tc>
        <w:tc>
          <w:tcPr>
            <w:tcW w:w="4460" w:type="dxa"/>
            <w:vAlign w:val="bottom"/>
          </w:tcPr>
          <w:p>
            <w:pPr>
              <w:jc w:val="right"/>
              <w:ind w:right="1130"/>
              <w:spacing w:after="0"/>
              <w:rPr>
                <w:sz w:val="20"/>
                <w:szCs w:val="20"/>
                <w:color w:val="auto"/>
              </w:rPr>
            </w:pPr>
            <w:r>
              <w:rPr>
                <w:rFonts w:ascii="Arial" w:cs="Arial" w:eastAsia="Arial" w:hAnsi="Arial"/>
                <w:sz w:val="18"/>
                <w:szCs w:val="18"/>
                <w:color w:val="auto"/>
              </w:rPr>
              <w:t>Switzerland</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4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Netherlands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Tover Overseas I C.V.</w:t>
            </w:r>
          </w:p>
        </w:tc>
        <w:tc>
          <w:tcPr>
            <w:tcW w:w="4460" w:type="dxa"/>
            <w:vAlign w:val="bottom"/>
          </w:tcPr>
          <w:p>
            <w:pPr>
              <w:jc w:val="right"/>
              <w:ind w:right="1130"/>
              <w:spacing w:after="0"/>
              <w:rPr>
                <w:sz w:val="20"/>
                <w:szCs w:val="20"/>
                <w:color w:val="auto"/>
              </w:rPr>
            </w:pPr>
            <w:r>
              <w:rPr>
                <w:rFonts w:ascii="Arial" w:cs="Arial" w:eastAsia="Arial" w:hAnsi="Arial"/>
                <w:sz w:val="18"/>
                <w:szCs w:val="18"/>
                <w:color w:val="auto"/>
              </w:rPr>
              <w:t>Netherlands</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Turf Professionals Equipment Company</w:t>
            </w:r>
          </w:p>
        </w:tc>
        <w:tc>
          <w:tcPr>
            <w:tcW w:w="44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Minnesota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348"/>
        </w:trPr>
        <w:tc>
          <w:tcPr>
            <w:tcW w:w="5260" w:type="dxa"/>
            <w:vAlign w:val="bottom"/>
            <w:tcBorders>
              <w:bottom w:val="single" w:sz="8" w:color="010101"/>
            </w:tcBorders>
          </w:tcPr>
          <w:p>
            <w:pPr>
              <w:spacing w:after="0"/>
              <w:rPr>
                <w:sz w:val="24"/>
                <w:szCs w:val="24"/>
                <w:color w:val="auto"/>
              </w:rPr>
            </w:pPr>
          </w:p>
        </w:tc>
        <w:tc>
          <w:tcPr>
            <w:tcW w:w="446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consent to incorporation by reference in the Registration Statement No. 333-142282 on Form S-3 and in Registration Statements (Nos. 333-03505, 333-44879, 333-36166, 333-47260, 333-57198, 333-89260, 333-89262, 333-135033, 333-119504, and 333-119506) on Form S-8 of The Toro Company of our report dated December 21, 2007, relating to the consolidated balance sheets of The Toro Company and subsidiaries as of October 31, 2007 and 2006, and the related consolidated statements of earnings, cash flows, and changes in stockholders’ equity and comprehensive income and related financial statement schedule for each of the years in the three year period ended October 31, 2007, and the effectiveness of internal control over financial reporting as of October 31, 2007, which report is included in the annual report on Form 10-K of The Toro Company.</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report refers to the Company’s adoption of the provisions of Statement of Accounting Standards No. 158, “Employers’ Accounting for Defined Benefit Pension and Other Postretirement Plans,” as of October 31, 2007.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342" w:lineRule="auto"/>
        <w:tabs>
          <w:tab w:leader="none" w:pos="661" w:val="left"/>
        </w:tabs>
        <w:numPr>
          <w:ilvl w:val="1"/>
          <w:numId w:val="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342" w:lineRule="auto"/>
        <w:tabs>
          <w:tab w:leader="none" w:pos="66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21, 2007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2007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21, 2007</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21, 2007</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bullet"/>
      <w:start w:val="1"/>
    </w:lvl>
  </w:abstractNum>
  <w:abstractNum w:abstractNumId="14">
    <w:nsid w:val="235BA861"/>
    <w:multiLevelType w:val="hybridMultilevel"/>
    <w:lvl w:ilvl="0">
      <w:lvlJc w:val="left"/>
      <w:lvlText w:val="1"/>
      <w:numFmt w:val="bullet"/>
      <w:start w:val="1"/>
    </w:lvl>
  </w:abstractNum>
  <w:abstractNum w:abstractNumId="15">
    <w:nsid w:val="47398C89"/>
    <w:multiLevelType w:val="hybridMultilevel"/>
    <w:lvl w:ilvl="0">
      <w:lvlJc w:val="left"/>
      <w:lvlText w:val="2"/>
      <w:numFmt w:val="bullet"/>
      <w:start w:val="1"/>
    </w:lvl>
  </w:abstractNum>
  <w:abstractNum w:abstractNumId="16">
    <w:nsid w:val="354FE9F9"/>
    <w:multiLevelType w:val="hybridMultilevel"/>
    <w:lvl w:ilvl="0">
      <w:lvlJc w:val="left"/>
      <w:lvlText w:val="3"/>
      <w:numFmt w:val="bullet"/>
      <w:start w:val="1"/>
    </w:lvl>
  </w:abstractNum>
  <w:abstractNum w:abstractNumId="17">
    <w:nsid w:val="15B5AF5C"/>
    <w:multiLevelType w:val="hybridMultilevel"/>
    <w:lvl w:ilvl="0">
      <w:lvlJc w:val="left"/>
      <w:lvlText w:val="1"/>
      <w:numFmt w:val="bullet"/>
      <w:start w:val="1"/>
    </w:lvl>
  </w:abstractNum>
  <w:abstractNum w:abstractNumId="18">
    <w:nsid w:val="741226BB"/>
    <w:multiLevelType w:val="hybridMultilevel"/>
    <w:lvl w:ilvl="0">
      <w:lvlJc w:val="left"/>
      <w:lvlText w:val="2"/>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lowerRoman"/>
      <w:start w:val="1"/>
    </w:lvl>
  </w:abstractNum>
  <w:abstractNum w:abstractNumId="67">
    <w:nsid w:val="7FB7E0AA"/>
    <w:multiLevelType w:val="hybridMultilevel"/>
    <w:lvl w:ilvl="0">
      <w:lvlJc w:val="left"/>
      <w:lvlText w:val="1"/>
      <w:numFmt w:val="bullet"/>
      <w:start w:val="1"/>
    </w:lvl>
  </w:abstractNum>
  <w:abstractNum w:abstractNumId="68">
    <w:nsid w:val="6EB5BD4"/>
    <w:multiLevelType w:val="hybridMultilevel"/>
    <w:lvl w:ilvl="0">
      <w:lvlJc w:val="left"/>
      <w:lvlText w:val="2"/>
      <w:numFmt w:val="bullet"/>
      <w:start w:val="1"/>
    </w:lvl>
  </w:abstractNum>
  <w:abstractNum w:abstractNumId="69">
    <w:nsid w:val="6F6DD9AC"/>
    <w:multiLevelType w:val="hybridMultilevel"/>
    <w:lvl w:ilvl="0">
      <w:lvlJc w:val="left"/>
      <w:lvlText w:val="3"/>
      <w:numFmt w:val="bullet"/>
      <w:start w:val="1"/>
    </w:lvl>
  </w:abstractNum>
  <w:abstractNum w:abstractNumId="70">
    <w:nsid w:val="94211F2"/>
    <w:multiLevelType w:val="hybridMultilevel"/>
    <w:lvl w:ilvl="0">
      <w:lvlJc w:val="left"/>
      <w:lvlText w:val="\endash "/>
      <w:numFmt w:val="bullet"/>
      <w:start w:val="1"/>
    </w:lvl>
  </w:abstractNum>
  <w:abstractNum w:abstractNumId="71">
    <w:nsid w:val="885E1B"/>
    <w:multiLevelType w:val="hybridMultilevel"/>
    <w:lvl w:ilvl="0">
      <w:lvlJc w:val="left"/>
      <w:lvlText w:val="1"/>
      <w:numFmt w:val="bullet"/>
      <w:start w:val="1"/>
    </w:lvl>
  </w:abstractNum>
  <w:abstractNum w:abstractNumId="72">
    <w:nsid w:val="76272110"/>
    <w:multiLevelType w:val="hybridMultilevel"/>
    <w:lvl w:ilvl="0">
      <w:lvlJc w:val="left"/>
      <w:lvlText w:val="2"/>
      <w:numFmt w:val="bullet"/>
      <w:start w:val="1"/>
    </w:lvl>
  </w:abstractNum>
  <w:abstractNum w:abstractNumId="73">
    <w:nsid w:val="4C04A8AF"/>
    <w:multiLevelType w:val="hybridMultilevel"/>
    <w:lvl w:ilvl="0">
      <w:lvlJc w:val="left"/>
      <w:lvlText w:val="3"/>
      <w:numFmt w:val="bullet"/>
      <w:start w:val="1"/>
    </w:lvl>
  </w:abstractNum>
  <w:abstractNum w:abstractNumId="74">
    <w:nsid w:val="1716703B"/>
    <w:multiLevelType w:val="hybridMultilevel"/>
    <w:lvl w:ilvl="0">
      <w:lvlJc w:val="left"/>
      <w:lvlText w:val="4"/>
      <w:numFmt w:val="bullet"/>
      <w:start w:val="1"/>
    </w:lvl>
  </w:abstractNum>
  <w:abstractNum w:abstractNumId="75">
    <w:nsid w:val="14E17E33"/>
    <w:multiLevelType w:val="hybridMultilevel"/>
    <w:lvl w:ilvl="0">
      <w:lvlJc w:val="left"/>
      <w:lvlText w:val="5"/>
      <w:numFmt w:val="bullet"/>
      <w:start w:val="1"/>
    </w:lvl>
  </w:abstractNum>
  <w:abstractNum w:abstractNumId="76">
    <w:nsid w:val="3222E7CD"/>
    <w:multiLevelType w:val="hybridMultilevel"/>
    <w:lvl w:ilvl="0">
      <w:lvlJc w:val="left"/>
      <w:lvlText w:val="6"/>
      <w:numFmt w:val="bullet"/>
      <w:start w:val="1"/>
    </w:lvl>
  </w:abstractNum>
  <w:abstractNum w:abstractNumId="77">
    <w:nsid w:val="74DE0EE3"/>
    <w:multiLevelType w:val="hybridMultilevel"/>
    <w:lvl w:ilvl="0">
      <w:lvlJc w:val="left"/>
      <w:lvlText w:val="(%1)"/>
      <w:numFmt w:val="lowerRoman"/>
      <w:start w:val="1"/>
    </w:lvl>
  </w:abstractNum>
  <w:abstractNum w:abstractNumId="78">
    <w:nsid w:val="68EBC550"/>
    <w:multiLevelType w:val="hybridMultilevel"/>
    <w:lvl w:ilvl="0">
      <w:lvlJc w:val="left"/>
      <w:lvlText w:val="7"/>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8"/>
      <w:numFmt w:val="bullet"/>
      <w:start w:val="1"/>
    </w:lvl>
  </w:abstractNum>
  <w:abstractNum w:abstractNumId="81">
    <w:nsid w:val="4A2AC315"/>
    <w:multiLevelType w:val="hybridMultilevel"/>
    <w:lvl w:ilvl="0">
      <w:lvlJc w:val="left"/>
      <w:lvlText w:val="9"/>
      <w:numFmt w:val="bullet"/>
      <w:start w:val="1"/>
    </w:lvl>
  </w:abstractNum>
  <w:abstractNum w:abstractNumId="82">
    <w:nsid w:val="39EE015C"/>
    <w:multiLevelType w:val="hybridMultilevel"/>
    <w:lvl w:ilvl="0">
      <w:lvlJc w:val="left"/>
      <w:lvlText w:val="1"/>
      <w:numFmt w:val="bullet"/>
      <w:start w:val="1"/>
    </w:lvl>
  </w:abstractNum>
  <w:abstractNum w:abstractNumId="83">
    <w:nsid w:val="57FC4FBB"/>
    <w:multiLevelType w:val="hybridMultilevel"/>
    <w:lvl w:ilvl="0">
      <w:lvlJc w:val="left"/>
      <w:lvlText w:val="2"/>
      <w:numFmt w:val="bullet"/>
      <w:start w:val="1"/>
    </w:lvl>
  </w:abstractNum>
  <w:abstractNum w:abstractNumId="84">
    <w:nsid w:val="CC1016F"/>
    <w:multiLevelType w:val="hybridMultilevel"/>
    <w:lvl w:ilvl="0">
      <w:lvlJc w:val="left"/>
      <w:lvlText w:val="1"/>
      <w:numFmt w:val="bullet"/>
      <w:start w:val="1"/>
    </w:lvl>
  </w:abstractNum>
  <w:abstractNum w:abstractNumId="85">
    <w:nsid w:val="43F18422"/>
    <w:multiLevelType w:val="hybridMultilevel"/>
    <w:lvl w:ilvl="0">
      <w:lvlJc w:val="left"/>
      <w:lvlText w:val="\endash "/>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decimal"/>
      <w:start w:val="12"/>
    </w:lvl>
  </w:abstractNum>
  <w:abstractNum w:abstractNumId="89">
    <w:nsid w:val="49DA307D"/>
    <w:multiLevelType w:val="hybridMultilevel"/>
    <w:lvl w:ilvl="0">
      <w:lvlJc w:val="left"/>
      <w:lvlText w:val="%1"/>
      <w:numFmt w:val="decimal"/>
      <w:start w:val="21"/>
    </w:lvl>
  </w:abstractNum>
  <w:abstractNum w:abstractNumId="90">
    <w:nsid w:val="7055A5F5"/>
    <w:multiLevelType w:val="hybridMultilevel"/>
    <w:lvl w:ilvl="0">
      <w:lvlJc w:val="left"/>
      <w:lvlText w:val="%1"/>
      <w:numFmt w:val="decimal"/>
      <w:start w:val="23"/>
    </w:lvl>
  </w:abstractNum>
  <w:abstractNum w:abstractNumId="91">
    <w:nsid w:val="5FB8370B"/>
    <w:multiLevelType w:val="hybridMultilevel"/>
    <w:lvl w:ilvl="0">
      <w:lvlJc w:val="left"/>
      <w:lvlText w:val="%1"/>
      <w:numFmt w:val="decimal"/>
      <w:start w:val="32"/>
    </w:lvl>
  </w:abstractNum>
  <w:abstractNum w:abstractNumId="92">
    <w:nsid w:val="50801EE1"/>
    <w:multiLevelType w:val="hybridMultilevel"/>
    <w:lvl w:ilvl="0">
      <w:lvlJc w:val="left"/>
      <w:lvlText w:val="1"/>
      <w:numFmt w:val="bullet"/>
      <w:start w:val="1"/>
    </w:lvl>
  </w:abstractNum>
  <w:abstractNum w:abstractNumId="93">
    <w:nsid w:val="488AC1A"/>
    <w:multiLevelType w:val="hybridMultilevel"/>
    <w:lvl w:ilvl="0">
      <w:lvlJc w:val="left"/>
      <w:lvlText w:val="2"/>
      <w:numFmt w:val="bullet"/>
      <w:start w:val="1"/>
    </w:lvl>
  </w:abstractNum>
  <w:abstractNum w:abstractNumId="94">
    <w:nsid w:val="5FB8011C"/>
    <w:multiLevelType w:val="hybridMultilevel"/>
    <w:lvl w:ilvl="0">
      <w:lvlJc w:val="left"/>
      <w:lvlText w:val="3"/>
      <w:numFmt w:val="bullet"/>
      <w:start w:val="1"/>
    </w:lvl>
  </w:abstractNum>
  <w:abstractNum w:abstractNumId="95">
    <w:nsid w:val="6AA78F7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6">
    <w:nsid w:val="7672BD23"/>
    <w:multiLevelType w:val="hybridMultilevel"/>
    <w:lvl w:ilvl="0">
      <w:lvlJc w:val="left"/>
      <w:lvlText w:val="%1."/>
      <w:numFmt w:val="lowerLetter"/>
      <w:start w:val="4"/>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2019-12-13T13:51:05Z</dcterms:created>
  <dcterms:modified xsi:type="dcterms:W3CDTF">2019-12-13T13:51:05Z</dcterms:modified>
</cp:coreProperties>
</file>