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x Quarterly Report 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January 29, 2016</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 Transition Report Pursuant to Section 13 or 15(d) of the Securities Exchange Act of 1934</w:t>
      </w:r>
    </w:p>
    <w:p>
      <w:pPr>
        <w:sectPr>
          <w:pgSz w:w="11900" w:h="16838" w:orient="portrait"/>
          <w:cols w:equalWidth="0" w:num="1">
            <w:col w:w="11420"/>
          </w:cols>
          <w:pgMar w:left="240" w:top="229" w:right="239" w:bottom="0" w:gutter="0" w:footer="0" w:header="0"/>
        </w:sectPr>
      </w:pPr>
    </w:p>
    <w:p>
      <w:pPr>
        <w:spacing w:after="0" w:line="227"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11" w:lineRule="exact"/>
        <w:rPr>
          <w:sz w:val="24"/>
          <w:szCs w:val="24"/>
          <w:color w:val="auto"/>
        </w:rPr>
      </w:pPr>
    </w:p>
    <w:p>
      <w:pPr>
        <w:sectPr>
          <w:pgSz w:w="11900" w:h="16838" w:orient="portrait"/>
          <w:cols w:equalWidth="0" w:num="2">
            <w:col w:w="6120" w:space="720"/>
            <w:col w:w="4580"/>
          </w:cols>
          <w:pgMar w:left="240" w:top="229" w:right="239" w:bottom="0" w:gutter="0" w:footer="0" w:header="0"/>
          <w:type w:val="continuous"/>
        </w:sectPr>
      </w:pP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THE TORO COMPANY</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229" w:right="239" w:bottom="0" w:gutter="0" w:footer="0" w:header="0"/>
          <w:type w:val="continuous"/>
        </w:sectPr>
      </w:pPr>
    </w:p>
    <w:p>
      <w:pPr>
        <w:spacing w:after="0" w:line="20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1-8649</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41-0580470</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00"/>
          </w:cols>
          <w:pgMar w:left="240" w:top="229" w:right="239" w:bottom="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(952) 888-8801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76" w:lineRule="exact"/>
        <w:rPr>
          <w:sz w:val="24"/>
          <w:szCs w:val="24"/>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0" w:gutter="0" w:footer="0" w:header="0"/>
          <w:type w:val="continuous"/>
        </w:sectPr>
      </w:pPr>
    </w:p>
    <w:p>
      <w:pPr>
        <w:spacing w:after="0" w:line="162"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7"/>
          <w:szCs w:val="17"/>
          <w:color w:val="auto"/>
        </w:rPr>
        <w:t>Large accelerated filer x</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229" w:right="239" w:bottom="0" w:gutter="0" w:footer="0" w:header="0"/>
          <w:type w:val="continuous"/>
        </w:sectPr>
      </w:pPr>
    </w:p>
    <w:p>
      <w:pPr>
        <w:spacing w:after="0" w:line="25"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7"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434" w:lineRule="exact"/>
        <w:rPr>
          <w:sz w:val="24"/>
          <w:szCs w:val="24"/>
          <w:color w:val="auto"/>
        </w:rPr>
      </w:pPr>
    </w:p>
    <w:p>
      <w:pPr>
        <w:sectPr>
          <w:pgSz w:w="11900" w:h="16838" w:orient="portrait"/>
          <w:cols w:equalWidth="0" w:num="2">
            <w:col w:w="6860" w:space="720"/>
            <w:col w:w="3840"/>
          </w:cols>
          <w:pgMar w:left="240" w:top="229" w:right="239" w:bottom="0" w:gutter="0" w:footer="0" w:header="0"/>
          <w:type w:val="continuous"/>
        </w:sectPr>
      </w:pPr>
    </w:p>
    <w:p>
      <w:pPr>
        <w:spacing w:after="0" w:line="1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February 23, 2016 was 54,451,695.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3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3"/>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85"/>
        </w:trPr>
        <w:tc>
          <w:tcPr>
            <w:tcW w:w="64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5"/>
              </w:rPr>
            </w:pPr>
            <w:hyperlink w:anchor="page2">
              <w:r>
                <w:rPr>
                  <w:rFonts w:ascii="Times New Roman" w:cs="Times New Roman" w:eastAsia="Times New Roman" w:hAnsi="Times New Roman"/>
                  <w:sz w:val="18"/>
                  <w:szCs w:val="18"/>
                  <w:b w:val="1"/>
                  <w:bCs w:val="1"/>
                  <w:color w:val="0000EE"/>
                  <w:w w:val="95"/>
                </w:rPr>
                <w:t>PART I.</w:t>
              </w:r>
            </w:hyperlink>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tcBorders>
              <w:bottom w:val="single" w:sz="8" w:color="0000EE"/>
            </w:tcBorders>
            <w:gridSpan w:val="6"/>
          </w:tcPr>
          <w:p>
            <w:pPr>
              <w:spacing w:after="0"/>
              <w:rPr>
                <w:rFonts w:ascii="Times New Roman" w:cs="Times New Roman" w:eastAsia="Times New Roman" w:hAnsi="Times New Roman"/>
                <w:sz w:val="18"/>
                <w:szCs w:val="18"/>
                <w:b w:val="1"/>
                <w:bCs w:val="1"/>
                <w:color w:val="0000EE"/>
                <w:w w:val="98"/>
              </w:rPr>
            </w:pPr>
            <w:hyperlink w:anchor="page2">
              <w:r>
                <w:rPr>
                  <w:rFonts w:ascii="Times New Roman" w:cs="Times New Roman" w:eastAsia="Times New Roman" w:hAnsi="Times New Roman"/>
                  <w:sz w:val="18"/>
                  <w:szCs w:val="18"/>
                  <w:b w:val="1"/>
                  <w:bCs w:val="1"/>
                  <w:color w:val="0000EE"/>
                  <w:w w:val="98"/>
                </w:rPr>
                <w:t>FINANCIAL INFORMATION:</w:t>
              </w:r>
            </w:hyperlink>
          </w:p>
        </w:tc>
        <w:tc>
          <w:tcPr>
            <w:tcW w:w="6560" w:type="dxa"/>
            <w:vAlign w:val="bottom"/>
            <w:gridSpan w:val="5"/>
          </w:tcPr>
          <w:p>
            <w:pPr>
              <w:spacing w:after="0"/>
              <w:rPr>
                <w:sz w:val="24"/>
                <w:szCs w:val="24"/>
                <w:color w:val="auto"/>
              </w:rPr>
            </w:pPr>
          </w:p>
        </w:tc>
        <w:tc>
          <w:tcPr>
            <w:tcW w:w="1140" w:type="dxa"/>
            <w:vAlign w:val="bottom"/>
          </w:tcPr>
          <w:p>
            <w:pPr>
              <w:spacing w:after="0"/>
              <w:rPr>
                <w:sz w:val="24"/>
                <w:szCs w:val="24"/>
                <w:color w:val="auto"/>
              </w:rPr>
            </w:pPr>
          </w:p>
        </w:tc>
      </w:tr>
      <w:tr>
        <w:trPr>
          <w:trHeight w:val="412"/>
        </w:trPr>
        <w:tc>
          <w:tcPr>
            <w:tcW w:w="94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Item 1.</w:t>
              </w:r>
            </w:hyperlink>
          </w:p>
        </w:tc>
        <w:tc>
          <w:tcPr>
            <w:tcW w:w="9340" w:type="dxa"/>
            <w:vAlign w:val="bottom"/>
            <w:gridSpan w:val="12"/>
          </w:tcPr>
          <w:p>
            <w:pPr>
              <w:ind w:left="320"/>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Financial Statements</w:t>
              </w:r>
            </w:hyperlink>
          </w:p>
        </w:tc>
        <w:tc>
          <w:tcPr>
            <w:tcW w:w="114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Condensed Consolidated Statements of Earnings (Unaudited) - Three Months Ended January 29, 2016 and January 30,</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gridSpan w:val="3"/>
          </w:tcPr>
          <w:p>
            <w:pPr>
              <w:spacing w:after="0"/>
              <w:rPr>
                <w:sz w:val="17"/>
                <w:szCs w:val="17"/>
                <w:color w:val="auto"/>
              </w:rPr>
            </w:pPr>
          </w:p>
        </w:tc>
        <w:tc>
          <w:tcPr>
            <w:tcW w:w="3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2">
              <w:r>
                <w:rPr>
                  <w:rFonts w:ascii="Times New Roman" w:cs="Times New Roman" w:eastAsia="Times New Roman" w:hAnsi="Times New Roman"/>
                  <w:sz w:val="18"/>
                  <w:szCs w:val="18"/>
                  <w:color w:val="0000EE"/>
                  <w:w w:val="94"/>
                </w:rPr>
                <w:t>2015</w:t>
              </w:r>
            </w:hyperlink>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Condensed Consolidated Statements of Comprehensive Income (Unaudited) - Three Months Ended January 29, 2016</w:t>
              </w:r>
            </w:hyperlink>
          </w:p>
        </w:tc>
        <w:tc>
          <w:tcPr>
            <w:tcW w:w="20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80" w:type="dxa"/>
            <w:vAlign w:val="bottom"/>
            <w:gridSpan w:val="9"/>
          </w:tcPr>
          <w:p>
            <w:pPr>
              <w:spacing w:after="0" w:line="196" w:lineRule="exact"/>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and January 30, 2015</w:t>
              </w:r>
            </w:hyperlink>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(Unaudited) — January 29, 2016, January 30, 2015, and October 31, 2015</w:t>
              </w:r>
            </w:hyperlink>
          </w:p>
        </w:tc>
        <w:tc>
          <w:tcPr>
            <w:tcW w:w="320" w:type="dxa"/>
            <w:vAlign w:val="bottom"/>
            <w:gridSpan w:val="3"/>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60" w:type="dxa"/>
            <w:vAlign w:val="bottom"/>
            <w:gridSpan w:val="1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Cash Flows (Unaudited) - Three Months Ended January 29, 2016 and</w:t>
              </w:r>
            </w:hyperlink>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ectPr>
          <w:pgSz w:w="11900" w:h="16838" w:orient="portrait"/>
          <w:cols w:equalWidth="0" w:num="1">
            <w:col w:w="11420"/>
          </w:cols>
          <w:pgMar w:left="240" w:top="229"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January 30, 2015</w:t>
              </w:r>
            </w:hyperlink>
          </w:p>
        </w:tc>
        <w:tc>
          <w:tcPr>
            <w:tcW w:w="516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Notes to Condensed Consolidated Financial Statements (Unaudited)</w:t>
              </w:r>
            </w:hyperlink>
          </w:p>
        </w:tc>
        <w:tc>
          <w:tcPr>
            <w:tcW w:w="16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412"/>
        </w:trPr>
        <w:tc>
          <w:tcPr>
            <w:tcW w:w="1220" w:type="dxa"/>
            <w:vAlign w:val="bottom"/>
            <w:gridSpan w:val="5"/>
          </w:tcPr>
          <w:p>
            <w:pPr>
              <w:spacing w:after="0"/>
              <w:rPr>
                <w:rFonts w:ascii="Times New Roman" w:cs="Times New Roman" w:eastAsia="Times New Roman" w:hAnsi="Times New Roman"/>
                <w:sz w:val="18"/>
                <w:szCs w:val="18"/>
                <w:b w:val="1"/>
                <w:bCs w:val="1"/>
                <w:color w:val="0000EE"/>
              </w:rPr>
            </w:pPr>
            <w:hyperlink w:anchor="page11">
              <w:r>
                <w:rPr>
                  <w:rFonts w:ascii="Times New Roman" w:cs="Times New Roman" w:eastAsia="Times New Roman" w:hAnsi="Times New Roman"/>
                  <w:sz w:val="18"/>
                  <w:szCs w:val="18"/>
                  <w:b w:val="1"/>
                  <w:bCs w:val="1"/>
                  <w:color w:val="0000EE"/>
                </w:rPr>
                <w:t>Item 2.</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80" w:type="dxa"/>
            <w:vAlign w:val="bottom"/>
            <w:gridSpan w:val="13"/>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0000EE"/>
            </w:tcBorders>
            <w:gridSpan w:val="2"/>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bottom w:val="single" w:sz="8" w:color="0000EE"/>
              <w:right w:val="single" w:sz="8" w:color="0000EE"/>
            </w:tcBorders>
            <w:gridSpan w:val="2"/>
            <w:shd w:val="clear" w:color="auto" w:fill="0000EE"/>
          </w:tcPr>
          <w:p>
            <w:pPr>
              <w:spacing w:after="0" w:line="20" w:lineRule="exact"/>
              <w:rPr>
                <w:sz w:val="1"/>
                <w:szCs w:val="1"/>
                <w:color w:val="auto"/>
              </w:rPr>
            </w:pPr>
          </w:p>
        </w:tc>
        <w:tc>
          <w:tcPr>
            <w:tcW w:w="2540" w:type="dxa"/>
            <w:vAlign w:val="bottom"/>
            <w:tcBorders>
              <w:bottom w:val="single" w:sz="8" w:color="0000EE"/>
            </w:tcBorders>
            <w:shd w:val="clear" w:color="auto" w:fill="0000EE"/>
          </w:tcPr>
          <w:p>
            <w:pPr>
              <w:spacing w:after="0" w:line="20" w:lineRule="exact"/>
              <w:rPr>
                <w:sz w:val="1"/>
                <w:szCs w:val="1"/>
                <w:color w:val="auto"/>
              </w:rPr>
            </w:pPr>
          </w:p>
        </w:tc>
        <w:tc>
          <w:tcPr>
            <w:tcW w:w="40" w:type="dxa"/>
            <w:vAlign w:val="bottom"/>
            <w:tcBorders>
              <w:bottom w:val="single" w:sz="8" w:color="0000EE"/>
            </w:tcBorders>
            <w:shd w:val="clear" w:color="auto" w:fill="0000EE"/>
          </w:tcPr>
          <w:p>
            <w:pPr>
              <w:spacing w:after="0" w:line="20" w:lineRule="exact"/>
              <w:rPr>
                <w:sz w:val="1"/>
                <w:szCs w:val="1"/>
                <w:color w:val="auto"/>
              </w:rPr>
            </w:pPr>
          </w:p>
        </w:tc>
        <w:tc>
          <w:tcPr>
            <w:tcW w:w="2100" w:type="dxa"/>
            <w:vAlign w:val="bottom"/>
            <w:tcBorders>
              <w:bottom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220" w:type="dxa"/>
            <w:vAlign w:val="bottom"/>
            <w:gridSpan w:val="5"/>
          </w:tcPr>
          <w:p>
            <w:pPr>
              <w:spacing w:after="0"/>
              <w:rPr>
                <w:rFonts w:ascii="Times New Roman" w:cs="Times New Roman" w:eastAsia="Times New Roman" w:hAnsi="Times New Roman"/>
                <w:sz w:val="18"/>
                <w:szCs w:val="18"/>
                <w:b w:val="1"/>
                <w:bCs w:val="1"/>
                <w:color w:val="0000EE"/>
              </w:rPr>
            </w:pPr>
            <w:hyperlink w:anchor="page18">
              <w:r>
                <w:rPr>
                  <w:rFonts w:ascii="Times New Roman" w:cs="Times New Roman" w:eastAsia="Times New Roman" w:hAnsi="Times New Roman"/>
                  <w:sz w:val="18"/>
                  <w:szCs w:val="18"/>
                  <w:b w:val="1"/>
                  <w:bCs w:val="1"/>
                  <w:color w:val="0000EE"/>
                </w:rPr>
                <w:t>Item 3.</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80" w:type="dxa"/>
            <w:vAlign w:val="bottom"/>
            <w:gridSpan w:val="13"/>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Quantitative and Qualitative Disclosures about Market Risk</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25-26</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gridSpan w:val="5"/>
          </w:tcPr>
          <w:p>
            <w:pPr>
              <w:spacing w:after="0"/>
              <w:rPr>
                <w:rFonts w:ascii="Times New Roman" w:cs="Times New Roman" w:eastAsia="Times New Roman" w:hAnsi="Times New Roman"/>
                <w:sz w:val="18"/>
                <w:szCs w:val="18"/>
                <w:b w:val="1"/>
                <w:bCs w:val="1"/>
                <w:color w:val="0000EE"/>
              </w:rPr>
            </w:pPr>
            <w:hyperlink w:anchor="page19">
              <w:r>
                <w:rPr>
                  <w:rFonts w:ascii="Times New Roman" w:cs="Times New Roman" w:eastAsia="Times New Roman" w:hAnsi="Times New Roman"/>
                  <w:sz w:val="18"/>
                  <w:szCs w:val="18"/>
                  <w:b w:val="1"/>
                  <w:bCs w:val="1"/>
                  <w:color w:val="0000EE"/>
                </w:rPr>
                <w:t>Item 4.</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80" w:type="dxa"/>
            <w:vAlign w:val="bottom"/>
            <w:gridSpan w:val="13"/>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Controls and Procedures</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26-27</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gridSpan w:val="5"/>
          </w:tcPr>
          <w:p>
            <w:pPr>
              <w:spacing w:after="0"/>
              <w:rPr>
                <w:rFonts w:ascii="Times New Roman" w:cs="Times New Roman" w:eastAsia="Times New Roman" w:hAnsi="Times New Roman"/>
                <w:sz w:val="18"/>
                <w:szCs w:val="18"/>
                <w:b w:val="1"/>
                <w:bCs w:val="1"/>
                <w:color w:val="0000EE"/>
              </w:rPr>
            </w:pPr>
            <w:hyperlink w:anchor="page19">
              <w:r>
                <w:rPr>
                  <w:rFonts w:ascii="Times New Roman" w:cs="Times New Roman" w:eastAsia="Times New Roman" w:hAnsi="Times New Roman"/>
                  <w:sz w:val="18"/>
                  <w:szCs w:val="18"/>
                  <w:b w:val="1"/>
                  <w:bCs w:val="1"/>
                  <w:color w:val="0000EE"/>
                </w:rPr>
                <w:t>PART II.</w:t>
              </w:r>
            </w:hyperlink>
          </w:p>
        </w:tc>
        <w:tc>
          <w:tcPr>
            <w:tcW w:w="6980" w:type="dxa"/>
            <w:vAlign w:val="bottom"/>
            <w:gridSpan w:val="16"/>
          </w:tcPr>
          <w:p>
            <w:pPr>
              <w:ind w:left="40"/>
              <w:spacing w:after="0"/>
              <w:rPr>
                <w:rFonts w:ascii="Times New Roman" w:cs="Times New Roman" w:eastAsia="Times New Roman" w:hAnsi="Times New Roman"/>
                <w:sz w:val="18"/>
                <w:szCs w:val="18"/>
                <w:b w:val="1"/>
                <w:bCs w:val="1"/>
                <w:color w:val="0000EE"/>
              </w:rPr>
            </w:pPr>
            <w:hyperlink w:anchor="page19">
              <w:r>
                <w:rPr>
                  <w:rFonts w:ascii="Times New Roman" w:cs="Times New Roman" w:eastAsia="Times New Roman" w:hAnsi="Times New Roman"/>
                  <w:sz w:val="18"/>
                  <w:szCs w:val="18"/>
                  <w:b w:val="1"/>
                  <w:bCs w:val="1"/>
                  <w:color w:val="0000EE"/>
                </w:rPr>
                <w:t>OTHER INFORMATION:</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4"/>
          </w:tcPr>
          <w:p>
            <w:pPr>
              <w:spacing w:after="0"/>
              <w:rPr>
                <w:rFonts w:ascii="Times New Roman" w:cs="Times New Roman" w:eastAsia="Times New Roman" w:hAnsi="Times New Roman"/>
                <w:sz w:val="18"/>
                <w:szCs w:val="18"/>
                <w:b w:val="1"/>
                <w:bCs w:val="1"/>
                <w:color w:val="0000EE"/>
              </w:rPr>
            </w:pPr>
            <w:hyperlink w:anchor="page19">
              <w:r>
                <w:rPr>
                  <w:rFonts w:ascii="Times New Roman" w:cs="Times New Roman" w:eastAsia="Times New Roman" w:hAnsi="Times New Roman"/>
                  <w:sz w:val="18"/>
                  <w:szCs w:val="18"/>
                  <w:b w:val="1"/>
                  <w:bCs w:val="1"/>
                  <w:color w:val="0000EE"/>
                </w:rPr>
                <w:t>Item 1.</w:t>
              </w:r>
            </w:hyperlink>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Legal Proceedings</w:t>
              </w:r>
            </w:hyperlink>
          </w:p>
        </w:tc>
        <w:tc>
          <w:tcPr>
            <w:tcW w:w="480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3"/>
          </w:tcPr>
          <w:p>
            <w:pPr>
              <w:spacing w:after="0"/>
              <w:rPr>
                <w:rFonts w:ascii="Times New Roman" w:cs="Times New Roman" w:eastAsia="Times New Roman" w:hAnsi="Times New Roman"/>
                <w:sz w:val="18"/>
                <w:szCs w:val="18"/>
                <w:b w:val="1"/>
                <w:bCs w:val="1"/>
                <w:color w:val="0000EE"/>
                <w:w w:val="98"/>
              </w:rPr>
            </w:pPr>
            <w:hyperlink w:anchor="page20">
              <w:r>
                <w:rPr>
                  <w:rFonts w:ascii="Times New Roman" w:cs="Times New Roman" w:eastAsia="Times New Roman" w:hAnsi="Times New Roman"/>
                  <w:sz w:val="18"/>
                  <w:szCs w:val="18"/>
                  <w:b w:val="1"/>
                  <w:bCs w:val="1"/>
                  <w:color w:val="0000EE"/>
                  <w:w w:val="98"/>
                </w:rPr>
                <w:t>Item 1A.</w:t>
              </w:r>
            </w:hyperlink>
          </w:p>
        </w:tc>
        <w:tc>
          <w:tcPr>
            <w:tcW w:w="5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80" w:type="dxa"/>
            <w:vAlign w:val="bottom"/>
            <w:gridSpan w:val="13"/>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Risk Factors</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3"/>
          </w:tcPr>
          <w:p>
            <w:pPr>
              <w:spacing w:after="0"/>
              <w:rPr>
                <w:rFonts w:ascii="Times New Roman" w:cs="Times New Roman" w:eastAsia="Times New Roman" w:hAnsi="Times New Roman"/>
                <w:sz w:val="18"/>
                <w:szCs w:val="18"/>
                <w:b w:val="1"/>
                <w:bCs w:val="1"/>
                <w:color w:val="0000EE"/>
              </w:rPr>
            </w:pPr>
            <w:hyperlink w:anchor="page20">
              <w:r>
                <w:rPr>
                  <w:rFonts w:ascii="Times New Roman" w:cs="Times New Roman" w:eastAsia="Times New Roman" w:hAnsi="Times New Roman"/>
                  <w:sz w:val="18"/>
                  <w:szCs w:val="18"/>
                  <w:b w:val="1"/>
                  <w:bCs w:val="1"/>
                  <w:color w:val="0000EE"/>
                </w:rPr>
                <w:t>Item 2.</w:t>
              </w:r>
            </w:hyperlink>
          </w:p>
        </w:tc>
        <w:tc>
          <w:tcPr>
            <w:tcW w:w="5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80" w:type="dxa"/>
            <w:vAlign w:val="bottom"/>
            <w:gridSpan w:val="13"/>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Unregistered Sales of Equity Securities and Use of Proceeds</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0000EE"/>
            </w:tcBorders>
            <w:gridSpan w:val="2"/>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3600" w:type="dxa"/>
            <w:vAlign w:val="bottom"/>
            <w:tcBorders>
              <w:bottom w:val="single" w:sz="8" w:color="0000EE"/>
            </w:tcBorders>
            <w:gridSpan w:val="6"/>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220" w:type="dxa"/>
            <w:vAlign w:val="bottom"/>
            <w:gridSpan w:val="5"/>
          </w:tcPr>
          <w:p>
            <w:pPr>
              <w:spacing w:after="0"/>
              <w:rPr>
                <w:rFonts w:ascii="Times New Roman" w:cs="Times New Roman" w:eastAsia="Times New Roman" w:hAnsi="Times New Roman"/>
                <w:sz w:val="18"/>
                <w:szCs w:val="18"/>
                <w:b w:val="1"/>
                <w:bCs w:val="1"/>
                <w:color w:val="0000EE"/>
              </w:rPr>
            </w:pPr>
            <w:hyperlink w:anchor="page20">
              <w:r>
                <w:rPr>
                  <w:rFonts w:ascii="Times New Roman" w:cs="Times New Roman" w:eastAsia="Times New Roman" w:hAnsi="Times New Roman"/>
                  <w:sz w:val="18"/>
                  <w:szCs w:val="18"/>
                  <w:b w:val="1"/>
                  <w:bCs w:val="1"/>
                  <w:color w:val="0000EE"/>
                </w:rPr>
                <w:t>Item 6.</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80" w:type="dxa"/>
            <w:vAlign w:val="bottom"/>
            <w:gridSpan w:val="13"/>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Exhibits</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2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80" w:type="dxa"/>
            <w:vAlign w:val="bottom"/>
            <w:gridSpan w:val="13"/>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Signatures</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gridSpan w:val="4"/>
          </w:tcPr>
          <w:p>
            <w:pPr>
              <w:spacing w:after="0"/>
              <w:rPr>
                <w:sz w:val="24"/>
                <w:szCs w:val="24"/>
                <w:color w:val="auto"/>
              </w:rPr>
            </w:pPr>
          </w:p>
        </w:tc>
        <w:tc>
          <w:tcPr>
            <w:tcW w:w="740" w:type="dxa"/>
            <w:vAlign w:val="bottom"/>
            <w:tcBorders>
              <w:top w:val="single" w:sz="8" w:color="0000EE"/>
            </w:tcBorders>
            <w:gridSpan w:val="3"/>
          </w:tcPr>
          <w:p>
            <w:pPr>
              <w:spacing w:after="0"/>
              <w:rPr>
                <w:sz w:val="24"/>
                <w:szCs w:val="24"/>
                <w:color w:val="auto"/>
              </w:rPr>
            </w:pPr>
          </w:p>
        </w:tc>
        <w:tc>
          <w:tcPr>
            <w:tcW w:w="3560" w:type="dxa"/>
            <w:vAlign w:val="bottom"/>
            <w:gridSpan w:val="5"/>
          </w:tcPr>
          <w:p>
            <w:pPr>
              <w:jc w:val="center"/>
              <w:ind w:left="301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200" w:type="dxa"/>
            <w:vAlign w:val="bottom"/>
            <w:gridSpan w:val="21"/>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PART I. FINANCIAL INFORMATION</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Item 1. FINANCIAL STATEMENTS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THE TORO COMPANY AND SUBSIDIARIES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Earnings (Unaudited)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(Dollars and shares in thousands, except per share data)</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7"/>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5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486,398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303,744</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305,212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tcBorders>
              <w:top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2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182,654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128,815</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124,577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gridSpan w:val="20"/>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earnings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(4,654)</w:t>
            </w:r>
          </w:p>
        </w:tc>
        <w:tc>
          <w:tcPr>
            <w:tcW w:w="2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4,512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gridSpan w:val="20"/>
          </w:tcPr>
          <w:p>
            <w:pPr>
              <w:ind w:left="1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53,697</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14,436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11,023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0" w:type="dxa"/>
            <w:vAlign w:val="bottom"/>
            <w:tcBorders>
              <w:bottom w:val="single" w:sz="8" w:color="CCEEFF"/>
            </w:tcBorders>
            <w:gridSpan w:val="4"/>
          </w:tcPr>
          <w:p>
            <w:pPr>
              <w:ind w:left="160"/>
              <w:spacing w:after="0"/>
              <w:rPr>
                <w:sz w:val="20"/>
                <w:szCs w:val="20"/>
                <w:color w:val="auto"/>
              </w:rPr>
            </w:pPr>
            <w:r>
              <w:rPr>
                <w:rFonts w:ascii="Times New Roman" w:cs="Times New Roman" w:eastAsia="Times New Roman" w:hAnsi="Times New Roman"/>
                <w:sz w:val="18"/>
                <w:szCs w:val="18"/>
                <w:color w:val="auto"/>
              </w:rPr>
              <w:t>Net earnings</w:t>
            </w: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25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39,261</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1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Basic net earnings per share of common stock</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0.71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1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Diluted net earnings per share of common stock</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0.70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0.54</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Weighted-average number of shares of common stock outstanding — Basic</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55,014</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56,043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1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Weighted-average number of shares of common stock outstanding — Diluted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56,163</w:t>
            </w:r>
          </w:p>
        </w:tc>
        <w:tc>
          <w:tcPr>
            <w:tcW w:w="2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57,242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THE TORO COMPANY AND SUBSIDIARIES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40" w:type="dxa"/>
            <w:vAlign w:val="bottom"/>
            <w:gridSpan w:val="1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(Unaudited)</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7"/>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14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5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0"/>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(4,791)</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0"/>
          </w:tcPr>
          <w:p>
            <w:pPr>
              <w:ind w:left="160"/>
              <w:spacing w:after="0"/>
              <w:rPr>
                <w:sz w:val="20"/>
                <w:szCs w:val="20"/>
                <w:color w:val="auto"/>
              </w:rPr>
            </w:pPr>
            <w:r>
              <w:rPr>
                <w:rFonts w:ascii="Times New Roman" w:cs="Times New Roman" w:eastAsia="Times New Roman" w:hAnsi="Times New Roman"/>
                <w:sz w:val="18"/>
                <w:szCs w:val="18"/>
                <w:color w:val="auto"/>
              </w:rPr>
              <w:t>Derivative instruments, net of tax of $338 and $2,450, respectively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(1,059)</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gridSpan w:val="20"/>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33,411</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-6081395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-6081395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60"/>
          </w:cols>
          <w:pgMar w:left="240" w:top="108" w:right="199" w:bottom="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00" w:type="dxa"/>
            <w:vAlign w:val="bottom"/>
          </w:tcPr>
          <w:p>
            <w:pPr>
              <w:spacing w:after="0"/>
              <w:rPr>
                <w:sz w:val="13"/>
                <w:szCs w:val="13"/>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200" w:type="dxa"/>
            <w:vAlign w:val="bottom"/>
          </w:tcPr>
          <w:p>
            <w:pPr>
              <w:spacing w:after="0"/>
              <w:rPr>
                <w:sz w:val="13"/>
                <w:szCs w:val="13"/>
                <w:color w:val="auto"/>
              </w:rPr>
            </w:pPr>
          </w:p>
        </w:tc>
        <w:tc>
          <w:tcPr>
            <w:tcW w:w="12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3040" w:type="dxa"/>
            <w:vAlign w:val="bottom"/>
            <w:tcBorders>
              <w:bottom w:val="single" w:sz="8" w:color="CCEEFF"/>
            </w:tcBorders>
          </w:tcPr>
          <w:p>
            <w:pPr>
              <w:spacing w:after="0"/>
              <w:rPr>
                <w:sz w:val="15"/>
                <w:szCs w:val="15"/>
                <w:color w:val="auto"/>
              </w:rPr>
            </w:pPr>
          </w:p>
        </w:tc>
        <w:tc>
          <w:tcPr>
            <w:tcW w:w="29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5"/>
              </w:rPr>
              <w:t>ASSETS</w:t>
            </w:r>
          </w:p>
        </w:tc>
        <w:tc>
          <w:tcPr>
            <w:tcW w:w="5980" w:type="dxa"/>
            <w:vAlign w:val="bottom"/>
            <w:tcBorders>
              <w:bottom w:val="single" w:sz="8" w:color="CCEEFF"/>
            </w:tcBorders>
            <w:gridSpan w:val="2"/>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118,140</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82,914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126,275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190,297</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205,287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177,013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422,036</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364,390</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334,514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36,983</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41,084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37,633</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40,414</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805,089</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734,089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811,222</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777,116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804,598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589,699</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562,333</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579,603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221,523</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214,783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income taxes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28,367</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25,629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27,510</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24,029</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195,222</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194,934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195,533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116,123</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128,704</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119,010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1,393,834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1,322,168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1,303,658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23,398</w:t>
            </w:r>
          </w:p>
        </w:tc>
        <w:tc>
          <w:tcPr>
            <w:tcW w:w="200" w:type="dxa"/>
            <w:vAlign w:val="bottom"/>
            <w:tcBorders>
              <w:top w:val="single" w:sz="8" w:color="CCEEFF"/>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20,340</w:t>
            </w:r>
          </w:p>
        </w:tc>
        <w:tc>
          <w:tcPr>
            <w:tcW w:w="20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23,134</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52,912</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47,000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211,216</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195,569</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262,888</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245,299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268,361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550,414</w:t>
            </w:r>
          </w:p>
        </w:tc>
        <w:tc>
          <w:tcPr>
            <w:tcW w:w="3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508,208</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443,734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341,127</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364,662</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354,818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10,812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24,646</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par value $1.00 per share, authorized 1,000,000 voting and 850,000</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non-voting shares, none issued and outstanding</w:t>
            </w: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$1.00 per share, authorized 175,000,000 shares; issued and</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outstanding 54,482,554 shares as of January 29, 2016, 55,646,389 shares as of</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January 30, 2015, and 54,650,916 shares as of October 31, 2015</w:t>
            </w:r>
          </w:p>
        </w:tc>
        <w:tc>
          <w:tcPr>
            <w:tcW w:w="20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54,483</w:t>
            </w:r>
          </w:p>
        </w:tc>
        <w:tc>
          <w:tcPr>
            <w:tcW w:w="2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55,646</w:t>
            </w:r>
          </w:p>
        </w:tc>
        <w:tc>
          <w:tcPr>
            <w:tcW w:w="2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54,651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441,139</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379,247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437,357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(35,693)</w:t>
            </w:r>
          </w:p>
        </w:tc>
        <w:tc>
          <w:tcPr>
            <w:tcW w:w="2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(21,053)</w:t>
            </w:r>
          </w:p>
        </w:tc>
        <w:tc>
          <w:tcPr>
            <w:tcW w:w="2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(29,843)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459,929</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413,840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1,393,834</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1,322,168</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1,303,658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2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7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100" w:type="dxa"/>
            <w:vAlign w:val="bottom"/>
          </w:tcPr>
          <w:p>
            <w:pPr>
              <w:spacing w:after="0"/>
              <w:rPr>
                <w:sz w:val="10"/>
                <w:szCs w:val="10"/>
                <w:color w:val="auto"/>
              </w:rPr>
            </w:pPr>
          </w:p>
        </w:tc>
      </w:tr>
      <w:tr>
        <w:trPr>
          <w:trHeight w:val="173"/>
        </w:trPr>
        <w:tc>
          <w:tcPr>
            <w:tcW w:w="75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r>
      <w:tr>
        <w:trPr>
          <w:trHeight w:val="196"/>
        </w:trPr>
        <w:tc>
          <w:tcPr>
            <w:tcW w:w="7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39,261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30,950</w:t>
            </w:r>
          </w:p>
        </w:tc>
      </w:tr>
      <w:tr>
        <w:trPr>
          <w:trHeight w:val="216"/>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(used in) operating activities: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income from finance affiliate</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(1,878)</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(1,460)</w:t>
            </w: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depreciation and amortization, and impairment loss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15,741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14,849</w:t>
            </w: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2,477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2,684</w:t>
            </w: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deferred income taxes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of acquisitions: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Receivables, net</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(12,614)</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(50,390)</w:t>
            </w:r>
          </w:p>
        </w:tc>
      </w:tr>
      <w:tr>
        <w:trPr>
          <w:trHeight w:val="216"/>
        </w:trPr>
        <w:tc>
          <w:tcPr>
            <w:tcW w:w="7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Inventories, net</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(92,918)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(80,283)</w:t>
            </w:r>
          </w:p>
        </w:tc>
      </w:tr>
      <w:tr>
        <w:trPr>
          <w:trHeight w:val="216"/>
        </w:trPr>
        <w:tc>
          <w:tcPr>
            <w:tcW w:w="7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(4,584)</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(4,745)</w:t>
            </w:r>
          </w:p>
        </w:tc>
      </w:tr>
      <w:tr>
        <w:trPr>
          <w:trHeight w:val="216"/>
        </w:trPr>
        <w:tc>
          <w:tcPr>
            <w:tcW w:w="7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 accrued liabilities, deferred revenue, and other long-term liabilities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56,219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65,177</w:t>
            </w:r>
          </w:p>
        </w:tc>
      </w:tr>
      <w:tr>
        <w:trPr>
          <w:trHeight w:val="210"/>
        </w:trPr>
        <w:tc>
          <w:tcPr>
            <w:tcW w:w="754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7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(23,391)</w:t>
            </w:r>
          </w:p>
        </w:tc>
        <w:tc>
          <w:tcPr>
            <w:tcW w:w="100" w:type="dxa"/>
            <w:vAlign w:val="bottom"/>
            <w:tcBorders>
              <w:bottom w:val="single" w:sz="8" w:color="CCEEFF"/>
            </w:tcBorders>
          </w:tcPr>
          <w:p>
            <w:pPr>
              <w:spacing w:after="0"/>
              <w:rPr>
                <w:sz w:val="18"/>
                <w:szCs w:val="18"/>
                <w:color w:val="auto"/>
              </w:rPr>
            </w:pPr>
          </w:p>
        </w:tc>
      </w:tr>
      <w:tr>
        <w:trPr>
          <w:trHeight w:val="210"/>
        </w:trPr>
        <w:tc>
          <w:tcPr>
            <w:tcW w:w="7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13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13030"/>
                    </a:xfrm>
                    <a:prstGeom prst="rect">
                      <a:avLst/>
                    </a:prstGeom>
                    <a:noFill/>
                  </pic:spPr>
                </pic:pic>
              </a:graphicData>
            </a:graphic>
          </wp:anchor>
        </w:drawing>
      </w:r>
    </w:p>
    <w:p>
      <w:pPr>
        <w:sectPr>
          <w:pgSz w:w="11900" w:h="16838" w:orient="portrait"/>
          <w:cols w:equalWidth="0" w:num="1">
            <w:col w:w="11420"/>
          </w:cols>
          <w:pgMar w:left="240" w:top="117"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(10,680)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asset disposals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Distributions from (contributions to) finance affiliate, net</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of a business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1,500</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(197,782)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7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short-term debt</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51,789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(13,442)</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Excess tax benefits from stock-based awards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3,362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2,495</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Toro common stock</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(27,485)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paid on Toro common stock</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(16,496)</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7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(8,135)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as of the beginning of the fiscal period</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126,275</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314,873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the end of the fiscal period</w:t>
            </w:r>
          </w:p>
        </w:tc>
        <w:tc>
          <w:tcPr>
            <w:tcW w:w="17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issued in connection with an acquisition</w:t>
            </w:r>
          </w:p>
        </w:tc>
        <w:tc>
          <w:tcPr>
            <w:tcW w:w="2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31,161</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29,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do not include all the information and notes required by U.S. generally accepted accounting principles (“U.S. GAAP”) for complete financial statements. Unless the context indicates otherwise, the terms “company” and “Toro” refer to The Toro Company and its consolidated subsidiaries. In the opinion of management, the unaudited condensed consolidated financial statements include all adjustments, consisting primarily of recurring accruals, considered necessary for a fair presentation of the financial position and results of operations. Since the company’s business is seasonal, operating results for the three months ended January 29, 2016 cannot be annualized to determine the expected results for the fiscal year ending October 31, 2016.</w:t>
      </w:r>
    </w:p>
    <w:p>
      <w:pPr>
        <w:spacing w:after="0" w:line="188" w:lineRule="exact"/>
        <w:rPr>
          <w:sz w:val="20"/>
          <w:szCs w:val="20"/>
          <w:color w:val="auto"/>
        </w:rPr>
      </w:pPr>
    </w:p>
    <w:p>
      <w:pPr>
        <w:jc w:val="both"/>
        <w:ind w:right="140" w:firstLine="230"/>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176" w:lineRule="exact"/>
        <w:rPr>
          <w:sz w:val="20"/>
          <w:szCs w:val="20"/>
          <w:color w:val="auto"/>
        </w:rPr>
      </w:pPr>
    </w:p>
    <w:p>
      <w:pPr>
        <w:jc w:val="center"/>
        <w:ind w:left="260" w:right="120"/>
        <w:spacing w:after="0" w:line="282" w:lineRule="auto"/>
        <w:rPr>
          <w:sz w:val="20"/>
          <w:szCs w:val="20"/>
          <w:color w:val="auto"/>
        </w:rPr>
      </w:pPr>
      <w:r>
        <w:rPr>
          <w:rFonts w:ascii="Times New Roman" w:cs="Times New Roman" w:eastAsia="Times New Roman" w:hAnsi="Times New Roman"/>
          <w:sz w:val="18"/>
          <w:szCs w:val="18"/>
          <w:color w:val="auto"/>
        </w:rPr>
        <w:t>For further information, refer to the consolidated financial statements and notes included in the company’s Annual Report on Form 10-K for the fiscal year ended October 31, 2015. The policies described in that report are used for preparing quarterly reports.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incentive compensation accruals, inventory valuation, warranty reserves, earn-out liabilities, allowance for doubtful accounts, pension and postretirement accruals, self-insurance accruals, useful lives for tangible and intangible assets, and future cash flows associated with impairment testing for goodwill and other long-lived assets. These estimates and assumptions are based on management’s best estimates and judgments at the time they are made.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consolidated financial statements are prepared. Changes in those estimates will be reflected in the consolidated financial statements in future periods.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November 27, 2015, in the first quarter of fiscal 2016, the company completed the sale of its Northwestern U.S. distribution company. The divestiture was not material based on the company’s consolidated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ectPr>
          <w:pgSz w:w="11900" w:h="16838" w:orient="portrait"/>
          <w:cols w:equalWidth="0" w:num="1">
            <w:col w:w="11420"/>
          </w:cols>
          <w:pgMar w:left="240" w:top="140" w:right="239" w:bottom="0" w:gutter="0" w:footer="0" w:header="0"/>
        </w:sectPr>
      </w:pPr>
    </w:p>
    <w:bookmarkStart w:id="4" w:name="page5"/>
    <w:bookmarkEnd w:id="4"/>
    <w:p>
      <w:pPr>
        <w:spacing w:after="0" w:line="3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Under The Toro Company Amended and Restated 2010 Equity and Incentive Plan, as amended (the “2010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on an annual basis in the first quarter of the company’s fiscal year. Options generally vest one-third each year over a three-year period and have a ten-year term. Other options granted to certain employees vest in full on the three-year anniversary of the date of grant and have a ten-year term. Compensation expense equal to the grant date fair value is generally recognized for these awards over the vesting period. Stock options granted to executive officers and other employees are subject to accelerated expensing if the option holder meets the retirement definition set forth in the 2010 plan. In that case, the fair value of the options is expensed in the fiscal year of grant because the option holder must be employed as of the end of the fiscal year in which the options are granted in order for the options to continue to vest following retirement. Similarly, if a non-employee director has served on the company’s Board of Directors for ten full fiscal years or more, the awards vest immediately upon retirement, and therefore, the fair value of the options granted is fully expensed on the date of the grant.</w:t>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firstLine="230"/>
        <w:spacing w:after="0" w:line="255" w:lineRule="auto"/>
        <w:rPr>
          <w:sz w:val="20"/>
          <w:szCs w:val="20"/>
          <w:color w:val="auto"/>
        </w:rPr>
      </w:pPr>
      <w:r>
        <w:rPr>
          <w:rFonts w:ascii="Times New Roman" w:cs="Times New Roman" w:eastAsia="Times New Roman" w:hAnsi="Times New Roman"/>
          <w:sz w:val="18"/>
          <w:szCs w:val="18"/>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volatility, and dividend yield must be applied. The expected life is the average length of time in which executive officers, other employees, and non-employee directors are expected to exercise their stock options, which is primarily based on historical experience.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illustrates the weighted-average assumptions for options granted in the following fiscal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16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Fiscal 2016</w:t>
            </w: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Fiscal 2015</w:t>
            </w: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option in years</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5.98</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5.94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24.06%</w:t>
            </w:r>
          </w:p>
        </w:tc>
        <w:tc>
          <w:tcPr>
            <w:tcW w:w="2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29.66%</w:t>
            </w: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1.81%</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1.61%</w:t>
            </w: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1.24%</w:t>
            </w:r>
          </w:p>
        </w:tc>
        <w:tc>
          <w:tcPr>
            <w:tcW w:w="2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1.29%</w:t>
            </w: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date per share weighted-average fair value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$17.58</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$16.81</w:t>
            </w:r>
          </w:p>
        </w:tc>
        <w:tc>
          <w:tcPr>
            <w:tcW w:w="12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Awards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grants performance share awards to executive officers and other employees under which they are entitled to receive shares of the company’s common stock contingent on the achievement of performance goals of the company and businesses of the company, which are generally measured over a three-year period. The number of shares of common stock a participant receives will be increased (up to 200 percent of target levels) or reduced (down to zero) based on the level of achievement of performance goals and vest at the end of a three-year period. Performance share awards are generally granted on an annual basis in the first quarter of the company’s fiscal year. Compensation expense is recognized for these awards on a straight-line basis over the vesting period based on the per share fair value as of the date of grant and the probability of achieving each performance goal. The per share fair value of performance share awards granted during the first quarter of each of fiscal 2016 and 2015 was $77.77 and $65.68,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Restricted Stock Unit Awards</w:t>
      </w:r>
    </w:p>
    <w:p>
      <w:pPr>
        <w:spacing w:after="0" w:line="229"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Under the 2010 plan, restricted stock and restricted stock unit awards are generally granted to certain employees that are not executive officers. Occasionally, restricted stock or restricted stock unit awards may be granted, including to executive officers, in connection with hiring, mid-year promotions, leadership transition, or retention. Restricted stock and restricted stock unit awards generally vest one-third each year over a three-year period, or vest in full on the three-year anniversary of the date of grant. Such awards may have performance-based rather than time-based vesting requirements. Compensation expense equal to the grant date fair value, which is equal to the closing price of the company’s common stock on the date of grant multiplied by the number of shares subject to the restricted stock and restricted stock unit awards, is recognized for these awards over the vesting period. The per share weighted-average fair value of restricted stock and restricted stock unit awards granted during the first quarter of fiscal 2016 and 2015 was $77.24 and $62.62,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 Share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basic and diluted weighted-average shares of common stock outstanding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2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7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620" w:type="dxa"/>
            <w:vAlign w:val="bottom"/>
            <w:tcBorders>
              <w:top w:val="single" w:sz="8" w:color="auto"/>
            </w:tcBorders>
            <w:gridSpan w:val="2"/>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1380" w:type="dxa"/>
            <w:vAlign w:val="bottom"/>
            <w:tcBorders>
              <w:top w:val="single" w:sz="8" w:color="auto"/>
            </w:tcBorders>
          </w:tcPr>
          <w:p>
            <w:pPr>
              <w:jc w:val="right"/>
              <w:ind w:right="235"/>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700" w:type="dxa"/>
            <w:vAlign w:val="bottom"/>
            <w:gridSpan w:val="5"/>
            <w:vMerge w:val="continue"/>
          </w:tcPr>
          <w:p>
            <w:pPr>
              <w:spacing w:after="0"/>
              <w:rPr>
                <w:sz w:val="15"/>
                <w:szCs w:val="15"/>
                <w:color w:val="auto"/>
              </w:rPr>
            </w:pPr>
          </w:p>
        </w:tc>
        <w:tc>
          <w:tcPr>
            <w:tcW w:w="13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15"/>
                <w:szCs w:val="15"/>
                <w:color w:val="auto"/>
              </w:rPr>
            </w:pPr>
          </w:p>
        </w:tc>
        <w:tc>
          <w:tcPr>
            <w:tcW w:w="13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20" w:type="dxa"/>
            <w:vAlign w:val="bottom"/>
            <w:tcBorders>
              <w:top w:val="single" w:sz="8" w:color="auto"/>
            </w:tcBorders>
            <w:gridSpan w:val="3"/>
            <w:shd w:val="clear" w:color="auto" w:fill="CCEEFF"/>
          </w:tcPr>
          <w:p>
            <w:pPr>
              <w:spacing w:after="0" w:line="170" w:lineRule="exact"/>
              <w:rPr>
                <w:sz w:val="20"/>
                <w:szCs w:val="20"/>
                <w:color w:val="auto"/>
              </w:rPr>
            </w:pPr>
            <w:r>
              <w:rPr>
                <w:rFonts w:ascii="Times New Roman" w:cs="Times New Roman" w:eastAsia="Times New Roman" w:hAnsi="Times New Roman"/>
                <w:sz w:val="18"/>
                <w:szCs w:val="18"/>
                <w:i w:val="1"/>
                <w:iCs w:val="1"/>
                <w:color w:val="auto"/>
              </w:rPr>
              <w:t>Basic</w:t>
            </w:r>
          </w:p>
        </w:tc>
        <w:tc>
          <w:tcPr>
            <w:tcW w:w="26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Weighted-average number of shares of common stock</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54,977</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55,997</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issuance of contingent shares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80" w:type="dxa"/>
            <w:vAlign w:val="bottom"/>
            <w:gridSpan w:val="4"/>
          </w:tcPr>
          <w:p>
            <w:pPr>
              <w:spacing w:after="0" w:line="178" w:lineRule="exact"/>
              <w:rPr>
                <w:sz w:val="20"/>
                <w:szCs w:val="20"/>
                <w:color w:val="auto"/>
              </w:rPr>
            </w:pPr>
            <w:r>
              <w:rPr>
                <w:rFonts w:ascii="Times New Roman" w:cs="Times New Roman" w:eastAsia="Times New Roman" w:hAnsi="Times New Roman"/>
                <w:sz w:val="18"/>
                <w:szCs w:val="18"/>
                <w:color w:val="auto"/>
              </w:rPr>
              <w:t>Weighted-average number of shares of common stock and assumed issuance of</w:t>
            </w:r>
          </w:p>
        </w:tc>
        <w:tc>
          <w:tcPr>
            <w:tcW w:w="1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55,014</w:t>
            </w:r>
          </w:p>
        </w:tc>
        <w:tc>
          <w:tcPr>
            <w:tcW w:w="1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56,043</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6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contingent shares</w:t>
            </w:r>
          </w:p>
        </w:tc>
        <w:tc>
          <w:tcPr>
            <w:tcW w:w="1620" w:type="dxa"/>
            <w:vAlign w:val="bottom"/>
            <w:gridSpan w:val="2"/>
            <w:vMerge w:val="continue"/>
          </w:tcPr>
          <w:p>
            <w:pPr>
              <w:spacing w:after="0"/>
              <w:rPr>
                <w:sz w:val="22"/>
                <w:szCs w:val="22"/>
                <w:color w:val="auto"/>
              </w:rPr>
            </w:pPr>
          </w:p>
        </w:tc>
        <w:tc>
          <w:tcPr>
            <w:tcW w:w="1500" w:type="dxa"/>
            <w:vAlign w:val="bottom"/>
            <w:gridSpan w:val="2"/>
            <w:vMerge w:val="continue"/>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80" w:type="dxa"/>
            <w:vAlign w:val="bottom"/>
            <w:tcBorders>
              <w:top w:val="single" w:sz="8" w:color="CCEEFF"/>
            </w:tcBorders>
            <w:gridSpan w:val="4"/>
            <w:shd w:val="clear" w:color="auto" w:fill="CCEEFF"/>
          </w:tcPr>
          <w:p>
            <w:pPr>
              <w:spacing w:after="0" w:line="129" w:lineRule="exact"/>
              <w:rPr>
                <w:sz w:val="20"/>
                <w:szCs w:val="20"/>
                <w:color w:val="auto"/>
              </w:rPr>
            </w:pPr>
            <w:r>
              <w:rPr>
                <w:rFonts w:ascii="Times New Roman" w:cs="Times New Roman" w:eastAsia="Times New Roman" w:hAnsi="Times New Roman"/>
                <w:sz w:val="14"/>
                <w:szCs w:val="14"/>
                <w:i w:val="1"/>
                <w:iCs w:val="1"/>
                <w:color w:val="auto"/>
              </w:rPr>
              <w:t>Diluted</w:t>
            </w:r>
          </w:p>
        </w:tc>
        <w:tc>
          <w:tcPr>
            <w:tcW w:w="13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of common stock and assumed issuance of</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contingent shares</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55,014</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56,043</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6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80" w:type="dxa"/>
            <w:vAlign w:val="bottom"/>
            <w:gridSpan w:val="4"/>
          </w:tcPr>
          <w:p>
            <w:pPr>
              <w:spacing w:after="0" w:line="178" w:lineRule="exact"/>
              <w:rPr>
                <w:sz w:val="20"/>
                <w:szCs w:val="20"/>
                <w:color w:val="auto"/>
              </w:rPr>
            </w:pPr>
            <w:r>
              <w:rPr>
                <w:rFonts w:ascii="Times New Roman" w:cs="Times New Roman" w:eastAsia="Times New Roman" w:hAnsi="Times New Roman"/>
                <w:sz w:val="18"/>
                <w:szCs w:val="18"/>
                <w:color w:val="auto"/>
              </w:rPr>
              <w:t>Weighted-average number of shares of common stock, assumed issuance of contingent</w:t>
            </w:r>
          </w:p>
        </w:tc>
        <w:tc>
          <w:tcPr>
            <w:tcW w:w="1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56,163</w:t>
            </w:r>
          </w:p>
        </w:tc>
        <w:tc>
          <w:tcPr>
            <w:tcW w:w="1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57,242</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shares, and effect of dilutive securities</w:t>
            </w:r>
          </w:p>
        </w:tc>
        <w:tc>
          <w:tcPr>
            <w:tcW w:w="1620" w:type="dxa"/>
            <w:vAlign w:val="bottom"/>
            <w:gridSpan w:val="2"/>
            <w:vMerge w:val="continue"/>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gridSpan w:val="4"/>
            <w:vMerge w:val="restart"/>
          </w:tcPr>
          <w:p>
            <w:pPr>
              <w:jc w:val="right"/>
              <w:ind w:right="68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4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9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2" w:orient="portrait"/>
          <w:cols w:equalWidth="0" w:num="1">
            <w:col w:w="11460"/>
          </w:cols>
          <w:pgMar w:left="240" w:top="121" w:right="199" w:bottom="0" w:gutter="0" w:footer="0" w:header="0"/>
        </w:sectPr>
      </w:pPr>
    </w:p>
    <w:p>
      <w:pPr>
        <w:spacing w:after="0" w:line="330"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1">
        <w:r>
          <w:rPr>
            <w:rFonts w:ascii="Times New Roman" w:cs="Times New Roman" w:eastAsia="Times New Roman" w:hAnsi="Times New Roman"/>
            <w:sz w:val="17"/>
            <w:szCs w:val="17"/>
            <w:u w:val="single" w:color="auto"/>
            <w:color w:val="0000EE"/>
          </w:rPr>
          <w:t>Table of Contents</w:t>
        </w:r>
      </w:hyperlink>
    </w:p>
    <w:p>
      <w:pPr>
        <w:sectPr>
          <w:pgSz w:w="11900" w:h="16872" w:orient="portrait"/>
          <w:cols w:equalWidth="0" w:num="1">
            <w:col w:w="11460"/>
          </w:cols>
          <w:pgMar w:left="240" w:top="121" w:right="199" w:bottom="0" w:gutter="0" w:footer="0" w:header="0"/>
          <w:type w:val="continuous"/>
        </w:sectPr>
      </w:pPr>
    </w:p>
    <w:bookmarkStart w:id="5" w:name="page6"/>
    <w:bookmarkEnd w:id="5"/>
    <w:p>
      <w:pPr>
        <w:spacing w:after="0" w:line="15"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Incremental shares from options, restricted stock, and restricted stock units are computed by the treasury stock method. Options to purchase 199,281 and 198,770 shares of common stock during the first quarter of fiscal 2016 and 2015, respectively, were excluded from the computation of diluted net earnings per share because they were anti-dilutive.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Inventories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200" w:type="dxa"/>
            <w:vAlign w:val="bottom"/>
          </w:tcPr>
          <w:p>
            <w:pPr>
              <w:spacing w:after="0"/>
              <w:rPr>
                <w:sz w:val="13"/>
                <w:szCs w:val="13"/>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73"/>
        </w:trPr>
        <w:tc>
          <w:tcPr>
            <w:tcW w:w="48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work in process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123,677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 and service parts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370,703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308,208</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291,468</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FIFO value</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486,076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431,885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398,554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 adjustment to LIFO value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64,040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67,495</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64,040</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364,390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net carrying amount of goodwill for the first quarter of fiscal 2016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80" w:type="dxa"/>
            <w:vAlign w:val="bottom"/>
            <w:gridSpan w:val="3"/>
            <w:vMerge w:val="continue"/>
          </w:tcPr>
          <w:p>
            <w:pPr>
              <w:spacing w:after="0"/>
              <w:rPr>
                <w:sz w:val="15"/>
                <w:szCs w:val="15"/>
                <w:color w:val="auto"/>
              </w:rPr>
            </w:pPr>
          </w:p>
        </w:tc>
        <w:tc>
          <w:tcPr>
            <w:tcW w:w="1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October 31, 2015</w:t>
            </w:r>
          </w:p>
        </w:tc>
        <w:tc>
          <w:tcPr>
            <w:tcW w:w="1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184,766</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195,533</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29, 2016</w:t>
            </w: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184,598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80" w:type="dxa"/>
            <w:vAlign w:val="bottom"/>
            <w:gridSpan w:val="3"/>
            <w:vMerge w:val="continue"/>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components of other intangible assets were as follows: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7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29, 2016</w:t>
            </w:r>
          </w:p>
        </w:tc>
        <w:tc>
          <w:tcPr>
            <w:tcW w:w="17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15,167</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(10,334)</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Customer-related</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84,502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(11,346)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73,156</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28,739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(21,300)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7,439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28,715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amortizable</w:t>
            </w:r>
          </w:p>
        </w:tc>
        <w:tc>
          <w:tcPr>
            <w:tcW w:w="17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164,824</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(53,321)</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111,503</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Non-amortizable - trade names</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intangible assets, net</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169,444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(53,321</w:t>
            </w:r>
          </w:p>
        </w:tc>
        <w:tc>
          <w:tcPr>
            <w:tcW w:w="1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gridSpan w:val="2"/>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080" w:type="dxa"/>
            <w:vAlign w:val="bottom"/>
            <w:gridSpan w:val="3"/>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28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800" w:type="dxa"/>
            <w:vAlign w:val="bottom"/>
            <w:gridSpan w:val="2"/>
            <w:vMerge w:val="restart"/>
          </w:tcPr>
          <w:p>
            <w:pPr>
              <w:spacing w:after="0"/>
              <w:rPr>
                <w:sz w:val="24"/>
                <w:szCs w:val="24"/>
                <w:color w:val="auto"/>
              </w:rPr>
            </w:pPr>
          </w:p>
        </w:tc>
        <w:tc>
          <w:tcPr>
            <w:tcW w:w="17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80" w:type="dxa"/>
            <w:vAlign w:val="bottom"/>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7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716</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Customer-related</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84,599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74,283</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28,804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(20,530)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8,274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28,715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25,890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amortizable</w:t>
            </w:r>
          </w:p>
        </w:tc>
        <w:tc>
          <w:tcPr>
            <w:tcW w:w="17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165,031</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(50,852)</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114,179</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Non-amortizable - trade names</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4,831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intangible assets, net</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169,862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(50,852</w:t>
            </w:r>
          </w:p>
        </w:tc>
        <w:tc>
          <w:tcPr>
            <w:tcW w:w="1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-2007870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-2007870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jc w:val="both"/>
        <w:ind w:right="300" w:firstLine="230"/>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during the first quarter of fiscal 2016 was $3.2 million. Estimated amortization expense for the remainder of fiscal 2016 and succeeding fiscal years is as follows: fiscal 2016 (remainder), $7.7 million; fiscal 2017, $9.5 million; fiscal 2018, $7.4 million; fiscal 2019, $6.6 million; fiscal 2020, $6.0 million; fiscal 2021, $5.6 million; and after fiscal 2021, $68.7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Joint Venture</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fiscal 2009, the company and TCF Inventory Finance, Inc. (“TCFIF”), a subsidiary of TCF National Bank, established Red Iron Acceptance, LLC (“Red Iron”), a joint venture in the form of a Delaware limited liability company that provides inventory financing, including floor plan and open account receivable financing, to distributors and dealers of the company’s products in the U.S. and to select distributors of the company’s products in Canada. The initial term of Red Iron will continue until October 31, 2017, subject to unlimited automatic two-year extensions thereafter. Either the company or TCFIF may elect not to extend the initial term or any subsequent term by giving one-year notice to the other party. Additionally, in connection with the joint venture, the company and an affiliate of TCFIF entered into an arrangement to provide inventory financing to dealers of the company’s products in Canada.</w:t>
      </w:r>
    </w:p>
    <w:p>
      <w:pPr>
        <w:sectPr>
          <w:pgSz w:w="11900" w:h="16853" w:orient="portrait"/>
          <w:cols w:equalWidth="0" w:num="1">
            <w:col w:w="11460"/>
          </w:cols>
          <w:pgMar w:left="240" w:top="337" w:right="199" w:bottom="0" w:gutter="0" w:footer="0" w:header="0"/>
        </w:sectPr>
      </w:pPr>
    </w:p>
    <w:bookmarkStart w:id="6" w:name="page7"/>
    <w:bookmarkEnd w:id="6"/>
    <w:p>
      <w:pPr>
        <w:spacing w:after="0" w:line="18" w:lineRule="exact"/>
        <w:rPr>
          <w:sz w:val="20"/>
          <w:szCs w:val="20"/>
          <w:color w:val="auto"/>
        </w:rPr>
      </w:pPr>
    </w:p>
    <w:p>
      <w:pPr>
        <w:ind w:right="20" w:firstLine="230"/>
        <w:spacing w:after="0" w:line="255" w:lineRule="auto"/>
        <w:rPr>
          <w:sz w:val="20"/>
          <w:szCs w:val="20"/>
          <w:color w:val="auto"/>
        </w:rPr>
      </w:pPr>
      <w:r>
        <w:rPr>
          <w:rFonts w:ascii="Times New Roman" w:cs="Times New Roman" w:eastAsia="Times New Roman" w:hAnsi="Times New Roman"/>
          <w:sz w:val="18"/>
          <w:szCs w:val="18"/>
          <w:color w:val="auto"/>
        </w:rPr>
        <w:t>The company owns 45 percent of Red Iron and TCFIF owns 55 percent of Red Iron. The company accounts for its investment in Red Iron under the equity method of accounting. Each of the company and TCFIF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 million secured revolving credit facility established under a credit agreement between Red Iron and TCFIF. The company’s total investment in Red Iron as of January 29, 2016 was $20.1 million. The company has not guaranteed the outstanding indebtedness of Red Iron. The company has agreed to repurchase products repossessed by Red Iron and the TCFIF Canadian affiliate, up to a maximum aggregate amount of $7.5 million in a calendar year. In addition, the company has provided recourse to Red Iron for certain outstanding receivables, which amounted to a maximum amount of $0.6 million as of January 29, 2016.</w:t>
      </w:r>
    </w:p>
    <w:p>
      <w:pPr>
        <w:spacing w:after="0" w:line="185" w:lineRule="exact"/>
        <w:rPr>
          <w:sz w:val="20"/>
          <w:szCs w:val="20"/>
          <w:color w:val="auto"/>
        </w:rPr>
      </w:pPr>
    </w:p>
    <w:p>
      <w:pPr>
        <w:ind w:firstLine="230"/>
        <w:spacing w:after="0" w:line="256" w:lineRule="auto"/>
        <w:rPr>
          <w:sz w:val="20"/>
          <w:szCs w:val="20"/>
          <w:color w:val="auto"/>
        </w:rPr>
      </w:pPr>
      <w:r>
        <w:rPr>
          <w:rFonts w:ascii="Times New Roman" w:cs="Times New Roman" w:eastAsia="Times New Roman" w:hAnsi="Times New Roman"/>
          <w:sz w:val="18"/>
          <w:szCs w:val="18"/>
          <w:color w:val="auto"/>
        </w:rPr>
        <w:t>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Under separate agreements between Red Iron and the dealers and distributors, Red Iron provides loans to the dealers and distributors for the advances paid by Red Iron to the company. The net amount of new receivables financed for dealers and distributors under this arrangement for the three months ended January 29, 2016 and January 30, 2015 was $336.1 million and $239.2 million, respectively.</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January 29, 2016, Red Iron’s total assets were $399.4 million and total liabilities were $354.8 million.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Guarantees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products are warranted to ensure customer confidence in design, workmanship, and overall quality. Warranty coverage is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sells extended warranty coverage on select products for a prescribed period after the factory warranty period expires.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Warranty provisions, claims, and changes in estimates for the first quarter of each of fiscal 2016 and 2015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6"/>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Warranty provisions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8,940</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claims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(8,527)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(8,572)</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Addition from an acquisition</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Data</w:t>
      </w:r>
    </w:p>
    <w:p>
      <w:pPr>
        <w:spacing w:after="0" w:line="229"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our company-owned domestic distributorship, has been combined with the company’s corporate activities and elimination of intersegment revenues and expenses that is shown as “Other” in the following tables due to the insignificance of the segment.</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shows the summarized financial information concerning the company’s reportable segments: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3"/>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January 29, 2016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338,836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144,284</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gross sales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(5,785)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61,592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16,739</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(24,634)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53,697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854,106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263,407</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276,321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1,393,834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January 30, 2015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339,706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134,743</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474,211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gross sales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10,520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(10,604)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55,659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13,727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(27,413)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41,973</w:t>
            </w: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866,760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214,652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240,756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1,322,168</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the loss before income taxes included in “Other” shown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gridSpan w:val="7"/>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7"/>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expenses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(21,970)</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(4,716)</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4,803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(24,634</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(27,413</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420"/>
          </w:cols>
          <w:pgMar w:left="240" w:top="337" w:right="239" w:bottom="0" w:gutter="0" w:footer="0" w:header="0"/>
        </w:sectPr>
      </w:pPr>
    </w:p>
    <w:bookmarkStart w:id="7" w:name="page8"/>
    <w:bookmarkEnd w:id="7"/>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accumulated other comprehensive loss (“AOCL”), net of tax,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00" w:type="dxa"/>
            <w:vAlign w:val="bottom"/>
          </w:tcPr>
          <w:p>
            <w:pPr>
              <w:spacing w:after="0"/>
              <w:rPr>
                <w:sz w:val="13"/>
                <w:szCs w:val="13"/>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200" w:type="dxa"/>
            <w:vAlign w:val="bottom"/>
          </w:tcPr>
          <w:p>
            <w:pPr>
              <w:spacing w:after="0"/>
              <w:rPr>
                <w:sz w:val="13"/>
                <w:szCs w:val="13"/>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24,328</w:t>
            </w: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5,112</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5,110</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5,386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(4,875)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35,693</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21,053</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995"/>
              <w:spacing w:after="0"/>
              <w:rPr>
                <w:sz w:val="20"/>
                <w:szCs w:val="20"/>
                <w:color w:val="auto"/>
              </w:rPr>
            </w:pPr>
            <w:r>
              <w:rPr>
                <w:rFonts w:ascii="Times New Roman" w:cs="Times New Roman" w:eastAsia="Times New Roman" w:hAnsi="Times New Roman"/>
                <w:sz w:val="18"/>
                <w:szCs w:val="18"/>
                <w:color w:val="auto"/>
                <w:w w:val="99"/>
              </w:rPr>
              <w:t>10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and activity of AOCL for the first three months of fiscal 2016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3"/>
                <w:szCs w:val="13"/>
                <w:color w:val="auto"/>
              </w:rPr>
            </w:pPr>
          </w:p>
        </w:tc>
        <w:tc>
          <w:tcPr>
            <w:tcW w:w="14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200" w:type="dxa"/>
            <w:vAlign w:val="bottom"/>
          </w:tcPr>
          <w:p>
            <w:pPr>
              <w:spacing w:after="0"/>
              <w:rPr>
                <w:sz w:val="13"/>
                <w:szCs w:val="13"/>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20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October 31, 2015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24,328</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5,065</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29, 2016</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29,393</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and activity of AOCL for the first three months of fiscal 2015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3"/>
                <w:szCs w:val="13"/>
                <w:color w:val="auto"/>
              </w:rPr>
            </w:pPr>
          </w:p>
        </w:tc>
        <w:tc>
          <w:tcPr>
            <w:tcW w:w="14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200" w:type="dxa"/>
            <w:vAlign w:val="bottom"/>
          </w:tcPr>
          <w:p>
            <w:pPr>
              <w:spacing w:after="0"/>
              <w:rPr>
                <w:sz w:val="13"/>
                <w:szCs w:val="13"/>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20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20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October 31, 2014</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8,282</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30, 2015</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20,818</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22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exchange rate market risk by entering into various hedging instruments, authorized under company policies that place controls on these activities, with counterparties that are highly rated financial institutions. The company’s hedging activities primarily involve the use of forward currency contracts, as well as cross currency swaps that are intended to offset intercompany loan exposures.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primarily based on the amount of exposure to the currency involved and an assessment of the near-term market value for each currency. The company’s policy does not allow the use of derivatives for trading or speculative purposes. The company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185"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Cash flow hedges</w:t>
      </w:r>
      <w:r>
        <w:rPr>
          <w:rFonts w:ascii="Times New Roman" w:cs="Times New Roman" w:eastAsia="Times New Roman" w:hAnsi="Times New Roman"/>
          <w:sz w:val="17"/>
          <w:szCs w:val="17"/>
          <w:color w:val="auto"/>
        </w:rPr>
        <w:t>. The company recognizes all derivative instruments as either assets or liabilities at fair value on the consolidated balance sheet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formally documents relationships between cash flow hedging instruments and hedged transactions, as well as its risk-management objective and strategy for undertaking hedge transactions. This process includes linking all derivatives to the forecasted transactions, such as sales to third parties, foreign plant operations, and purchases from suppliers. Changes in fair values of outstanding cash flow hedge derivatives, except the ineffective portion, are recorded in other comprehensive income (“OCI”),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 of earnings classification of effective hedge results is the same as that of the underlying exposure. Results of hedges of sales are recorded in net sales, and foreign plant operations and purchases of suppliers are recorded in cost of sales when the underlying hedged transaction affects net earnings. The maximum amount of time the company hedges its exposure to the variability in future cash flows for forecasted trade sales and purchases is</w:t>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years. Results of hedges of intercompany loans are recorded in other income, net as an offset to the remeasurement of the foreign loan balance.</w:t>
      </w:r>
    </w:p>
    <w:p>
      <w:pPr>
        <w:spacing w:after="0" w:line="225" w:lineRule="exact"/>
        <w:rPr>
          <w:sz w:val="20"/>
          <w:szCs w:val="20"/>
          <w:color w:val="auto"/>
        </w:rPr>
      </w:pPr>
    </w:p>
    <w:p>
      <w:pPr>
        <w:jc w:val="center"/>
        <w:ind w:right="80"/>
        <w:spacing w:after="0" w:line="282" w:lineRule="auto"/>
        <w:rPr>
          <w:sz w:val="20"/>
          <w:szCs w:val="20"/>
          <w:color w:val="auto"/>
        </w:rPr>
      </w:pPr>
      <w:r>
        <w:rPr>
          <w:rFonts w:ascii="Times New Roman" w:cs="Times New Roman" w:eastAsia="Times New Roman" w:hAnsi="Times New Roman"/>
          <w:sz w:val="18"/>
          <w:szCs w:val="18"/>
          <w:color w:val="auto"/>
        </w:rPr>
        <w:t>The company formally assesses, at a hedge’s inception and on an ongoing basis, whether the derivatives that are designated as hedges have been highly effective in offsetting changes in the cash flows of the hedged transactions and whether those derivatives may be expected to remain highly effective in future</w:t>
      </w:r>
    </w:p>
    <w:p>
      <w:pPr>
        <w:sectPr>
          <w:pgSz w:w="11900" w:h="16933" w:orient="portrait"/>
          <w:cols w:equalWidth="0" w:num="1">
            <w:col w:w="11460"/>
          </w:cols>
          <w:pgMar w:left="240" w:top="333" w:right="199" w:bottom="0" w:gutter="0" w:footer="0" w:header="0"/>
        </w:sectPr>
      </w:pPr>
    </w:p>
    <w:bookmarkStart w:id="8" w:name="page9"/>
    <w:bookmarkEnd w:id="8"/>
    <w:p>
      <w:pPr>
        <w:spacing w:after="0" w:line="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in AOCL are recognized immediately in net earnings. In all situations in which hedge accounting is discontinued and the derivative remains outstanding, the company carries the derivative at its fair value on the consolidated balance sheet, recognizing future changes in the fair value in other income, net. For the first quarter of fiscal 2016, there were no gains or losses on contracts reclassified into earnings as a result of the discontinuance of cash flow hedges. As of January 29, 2016, the notional amount outstanding of forward contracts designated as cash flow hedges was $131.4 million. Additionally, the company has one cross currency interest rate swap instrument outstanding as of January 29, 2016 for a fixed pay notional of 36.6 million Romanian New Leu and receive floating notional of 8.5 million Euros.</w:t>
      </w:r>
    </w:p>
    <w:p>
      <w:pPr>
        <w:spacing w:after="0" w:line="18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not designated as hedging instruments. </w:t>
      </w:r>
      <w:r>
        <w:rPr>
          <w:rFonts w:ascii="Times New Roman" w:cs="Times New Roman" w:eastAsia="Times New Roman" w:hAnsi="Times New Roman"/>
          <w:sz w:val="18"/>
          <w:szCs w:val="18"/>
          <w:color w:val="auto"/>
        </w:rPr>
        <w:t>The company also enters into foreign currency contracts that include forward currency contracts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cross currency swaps to mitigate the remeasurement of specific assets and liabilities on the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the fair value of the company’s derivatives and consolidated balance sheet location.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ind w:right="818"/>
              <w:spacing w:after="0"/>
              <w:rPr>
                <w:sz w:val="20"/>
                <w:szCs w:val="20"/>
                <w:color w:val="auto"/>
              </w:rPr>
            </w:pPr>
            <w:r>
              <w:rPr>
                <w:rFonts w:ascii="Times New Roman" w:cs="Times New Roman" w:eastAsia="Times New Roman" w:hAnsi="Times New Roman"/>
                <w:sz w:val="13"/>
                <w:szCs w:val="13"/>
                <w:b w:val="1"/>
                <w:bCs w:val="1"/>
                <w:color w:val="auto"/>
              </w:rPr>
              <w:t>Asset Derivatives</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Liability Derivatives</w:t>
            </w: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Borders>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January 29, 2016</w:t>
            </w:r>
          </w:p>
        </w:tc>
        <w:tc>
          <w:tcPr>
            <w:tcW w:w="5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Borders>
              <w:bottom w:val="single" w:sz="8" w:color="auto"/>
            </w:tcBorders>
            <w:gridSpan w:val="3"/>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January 30, 2015</w:t>
            </w:r>
          </w:p>
        </w:tc>
        <w:tc>
          <w:tcPr>
            <w:tcW w:w="5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tcBorders>
              <w:bottom w:val="single" w:sz="8" w:color="auto"/>
            </w:tcBorders>
            <w:gridSpan w:val="3"/>
          </w:tcPr>
          <w:p>
            <w:pPr>
              <w:ind w:left="580"/>
              <w:spacing w:after="0" w:line="129" w:lineRule="exact"/>
              <w:rPr>
                <w:sz w:val="20"/>
                <w:szCs w:val="20"/>
                <w:color w:val="auto"/>
              </w:rPr>
            </w:pPr>
            <w:r>
              <w:rPr>
                <w:rFonts w:ascii="Times New Roman" w:cs="Times New Roman" w:eastAsia="Times New Roman" w:hAnsi="Times New Roman"/>
                <w:sz w:val="13"/>
                <w:szCs w:val="13"/>
                <w:b w:val="1"/>
                <w:bCs w:val="1"/>
                <w:color w:val="auto"/>
              </w:rPr>
              <w:t>January 29, 2016</w:t>
            </w: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Borders>
              <w:bottom w:val="single" w:sz="8" w:color="auto"/>
            </w:tcBorders>
            <w:gridSpan w:val="3"/>
          </w:tcPr>
          <w:p>
            <w:pPr>
              <w:ind w:left="580"/>
              <w:spacing w:after="0" w:line="129" w:lineRule="exact"/>
              <w:rPr>
                <w:sz w:val="20"/>
                <w:szCs w:val="20"/>
                <w:color w:val="auto"/>
              </w:rPr>
            </w:pPr>
            <w:r>
              <w:rPr>
                <w:rFonts w:ascii="Times New Roman" w:cs="Times New Roman" w:eastAsia="Times New Roman" w:hAnsi="Times New Roman"/>
                <w:sz w:val="13"/>
                <w:szCs w:val="13"/>
                <w:b w:val="1"/>
                <w:bCs w:val="1"/>
                <w:color w:val="auto"/>
                <w:w w:val="98"/>
              </w:rPr>
              <w:t>January 30, 2015</w:t>
            </w: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Balance</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jc w:val="right"/>
              <w:ind w:right="358"/>
              <w:spacing w:after="0" w:line="109" w:lineRule="exact"/>
              <w:rPr>
                <w:sz w:val="20"/>
                <w:szCs w:val="20"/>
                <w:color w:val="auto"/>
              </w:rPr>
            </w:pPr>
            <w:r>
              <w:rPr>
                <w:rFonts w:ascii="Times New Roman" w:cs="Times New Roman" w:eastAsia="Times New Roman" w:hAnsi="Times New Roman"/>
                <w:sz w:val="12"/>
                <w:szCs w:val="12"/>
                <w:b w:val="1"/>
                <w:bCs w:val="1"/>
                <w:color w:val="auto"/>
              </w:rPr>
              <w:t>Balance</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Balance</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Balance</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Sheet</w:t>
            </w:r>
          </w:p>
        </w:tc>
        <w:tc>
          <w:tcPr>
            <w:tcW w:w="160" w:type="dxa"/>
            <w:vAlign w:val="bottom"/>
          </w:tcPr>
          <w:p>
            <w:pPr>
              <w:spacing w:after="0"/>
              <w:rPr>
                <w:sz w:val="11"/>
                <w:szCs w:val="11"/>
                <w:color w:val="auto"/>
              </w:rPr>
            </w:pPr>
          </w:p>
        </w:tc>
        <w:tc>
          <w:tcPr>
            <w:tcW w:w="7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260" w:type="dxa"/>
            <w:vAlign w:val="bottom"/>
          </w:tcPr>
          <w:p>
            <w:pPr>
              <w:jc w:val="right"/>
              <w:ind w:right="418"/>
              <w:spacing w:after="0" w:line="135" w:lineRule="exact"/>
              <w:rPr>
                <w:sz w:val="20"/>
                <w:szCs w:val="20"/>
                <w:color w:val="auto"/>
              </w:rPr>
            </w:pPr>
            <w:r>
              <w:rPr>
                <w:rFonts w:ascii="Times New Roman" w:cs="Times New Roman" w:eastAsia="Times New Roman" w:hAnsi="Times New Roman"/>
                <w:sz w:val="13"/>
                <w:szCs w:val="13"/>
                <w:b w:val="1"/>
                <w:bCs w:val="1"/>
                <w:color w:val="auto"/>
              </w:rPr>
              <w:t>Sheet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4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Sheet</w:t>
            </w:r>
          </w:p>
        </w:tc>
        <w:tc>
          <w:tcPr>
            <w:tcW w:w="1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Sheet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0" w:type="dxa"/>
            <w:vAlign w:val="bottom"/>
          </w:tcPr>
          <w:p>
            <w:pPr>
              <w:spacing w:after="0"/>
              <w:rPr>
                <w:sz w:val="1"/>
                <w:szCs w:val="1"/>
                <w:color w:val="auto"/>
              </w:rPr>
            </w:pPr>
          </w:p>
        </w:tc>
      </w:tr>
      <w:tr>
        <w:trPr>
          <w:trHeight w:val="155"/>
        </w:trPr>
        <w:tc>
          <w:tcPr>
            <w:tcW w:w="23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160" w:type="dxa"/>
            <w:vAlign w:val="bottom"/>
          </w:tcPr>
          <w:p>
            <w:pPr>
              <w:spacing w:after="0"/>
              <w:rPr>
                <w:sz w:val="13"/>
                <w:szCs w:val="13"/>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60" w:type="dxa"/>
            <w:vAlign w:val="bottom"/>
          </w:tcPr>
          <w:p>
            <w:pPr>
              <w:jc w:val="right"/>
              <w:ind w:right="318"/>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Location</w:t>
            </w:r>
          </w:p>
        </w:tc>
        <w:tc>
          <w:tcPr>
            <w:tcW w:w="14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Location</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9"/>
                <w:szCs w:val="9"/>
                <w:color w:val="auto"/>
              </w:rPr>
            </w:pPr>
          </w:p>
        </w:tc>
        <w:tc>
          <w:tcPr>
            <w:tcW w:w="234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Derivatives Designated as Hedging</w:t>
            </w:r>
          </w:p>
        </w:tc>
        <w:tc>
          <w:tcPr>
            <w:tcW w:w="1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Forward currency contracts</w:t>
            </w:r>
          </w:p>
        </w:tc>
        <w:tc>
          <w:tcPr>
            <w:tcW w:w="1420" w:type="dxa"/>
            <w:vAlign w:val="bottom"/>
            <w:gridSpan w:val="2"/>
            <w:shd w:val="clear" w:color="auto" w:fill="CCEEFF"/>
          </w:tcPr>
          <w:p>
            <w:pPr>
              <w:jc w:val="right"/>
              <w:ind w:right="560"/>
              <w:spacing w:after="0" w:line="135" w:lineRule="exact"/>
              <w:rPr>
                <w:sz w:val="20"/>
                <w:szCs w:val="20"/>
                <w:color w:val="auto"/>
              </w:rPr>
            </w:pPr>
            <w:r>
              <w:rPr>
                <w:rFonts w:ascii="Times New Roman" w:cs="Times New Roman" w:eastAsia="Times New Roman" w:hAnsi="Times New Roman"/>
                <w:sz w:val="13"/>
                <w:szCs w:val="13"/>
                <w:color w:val="auto"/>
                <w:w w:val="93"/>
              </w:rPr>
              <w:t>Prepaid expenses</w:t>
            </w:r>
          </w:p>
        </w:tc>
        <w:tc>
          <w:tcPr>
            <w:tcW w:w="16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3,393</w:t>
            </w:r>
          </w:p>
        </w:tc>
        <w:tc>
          <w:tcPr>
            <w:tcW w:w="1260" w:type="dxa"/>
            <w:vAlign w:val="bottom"/>
            <w:shd w:val="clear" w:color="auto" w:fill="CCEEFF"/>
          </w:tcPr>
          <w:p>
            <w:pPr>
              <w:jc w:val="right"/>
              <w:ind w:right="318"/>
              <w:spacing w:after="0" w:line="135" w:lineRule="exact"/>
              <w:rPr>
                <w:sz w:val="20"/>
                <w:szCs w:val="20"/>
                <w:color w:val="auto"/>
              </w:rPr>
            </w:pPr>
            <w:r>
              <w:rPr>
                <w:rFonts w:ascii="Times New Roman" w:cs="Times New Roman" w:eastAsia="Times New Roman" w:hAnsi="Times New Roman"/>
                <w:sz w:val="13"/>
                <w:szCs w:val="13"/>
                <w:color w:val="auto"/>
                <w:w w:val="95"/>
              </w:rPr>
              <w:t>Prepaid expenses</w:t>
            </w:r>
          </w:p>
        </w:tc>
        <w:tc>
          <w:tcPr>
            <w:tcW w:w="3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9,125</w:t>
            </w:r>
          </w:p>
        </w:tc>
        <w:tc>
          <w:tcPr>
            <w:tcW w:w="14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Accrued liabilities</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2,967</w:t>
            </w:r>
          </w:p>
        </w:tc>
        <w:tc>
          <w:tcPr>
            <w:tcW w:w="1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Accrued liabilities</w:t>
            </w:r>
          </w:p>
        </w:tc>
        <w:tc>
          <w:tcPr>
            <w:tcW w:w="3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Cross currency contract</w:t>
            </w:r>
          </w:p>
        </w:tc>
        <w:tc>
          <w:tcPr>
            <w:tcW w:w="1420" w:type="dxa"/>
            <w:vAlign w:val="bottom"/>
            <w:gridSpan w:val="2"/>
          </w:tcPr>
          <w:p>
            <w:pPr>
              <w:jc w:val="right"/>
              <w:ind w:right="560"/>
              <w:spacing w:after="0" w:line="135" w:lineRule="exact"/>
              <w:rPr>
                <w:sz w:val="20"/>
                <w:szCs w:val="20"/>
                <w:color w:val="auto"/>
              </w:rPr>
            </w:pPr>
            <w:r>
              <w:rPr>
                <w:rFonts w:ascii="Times New Roman" w:cs="Times New Roman" w:eastAsia="Times New Roman" w:hAnsi="Times New Roman"/>
                <w:sz w:val="13"/>
                <w:szCs w:val="13"/>
                <w:color w:val="auto"/>
                <w:w w:val="93"/>
              </w:rPr>
              <w:t>Prepaid expenses</w:t>
            </w:r>
          </w:p>
        </w:tc>
        <w:tc>
          <w:tcPr>
            <w:tcW w:w="16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1260" w:type="dxa"/>
            <w:vAlign w:val="bottom"/>
          </w:tcPr>
          <w:p>
            <w:pPr>
              <w:jc w:val="right"/>
              <w:ind w:right="318"/>
              <w:spacing w:after="0" w:line="135" w:lineRule="exact"/>
              <w:rPr>
                <w:sz w:val="20"/>
                <w:szCs w:val="20"/>
                <w:color w:val="auto"/>
              </w:rPr>
            </w:pPr>
            <w:r>
              <w:rPr>
                <w:rFonts w:ascii="Times New Roman" w:cs="Times New Roman" w:eastAsia="Times New Roman" w:hAnsi="Times New Roman"/>
                <w:sz w:val="13"/>
                <w:szCs w:val="13"/>
                <w:color w:val="auto"/>
                <w:w w:val="95"/>
              </w:rPr>
              <w:t>Prepaid expenses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Accrued liabilities</w:t>
            </w:r>
          </w:p>
        </w:tc>
        <w:tc>
          <w:tcPr>
            <w:tcW w:w="14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Accrued liabilities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440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9"/>
                <w:szCs w:val="9"/>
                <w:color w:val="auto"/>
              </w:rPr>
            </w:pPr>
          </w:p>
        </w:tc>
        <w:tc>
          <w:tcPr>
            <w:tcW w:w="2340" w:type="dxa"/>
            <w:vAlign w:val="bottom"/>
            <w:gridSpan w:val="2"/>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Derivatives Not Designated as Hedging</w:t>
            </w: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Forward currency contracts</w:t>
            </w:r>
          </w:p>
        </w:tc>
        <w:tc>
          <w:tcPr>
            <w:tcW w:w="1420" w:type="dxa"/>
            <w:vAlign w:val="bottom"/>
            <w:gridSpan w:val="2"/>
          </w:tcPr>
          <w:p>
            <w:pPr>
              <w:jc w:val="right"/>
              <w:ind w:right="560"/>
              <w:spacing w:after="0" w:line="135" w:lineRule="exact"/>
              <w:rPr>
                <w:sz w:val="20"/>
                <w:szCs w:val="20"/>
                <w:color w:val="auto"/>
              </w:rPr>
            </w:pPr>
            <w:r>
              <w:rPr>
                <w:rFonts w:ascii="Times New Roman" w:cs="Times New Roman" w:eastAsia="Times New Roman" w:hAnsi="Times New Roman"/>
                <w:sz w:val="13"/>
                <w:szCs w:val="13"/>
                <w:color w:val="auto"/>
                <w:w w:val="93"/>
              </w:rPr>
              <w:t>Prepaid expenses</w:t>
            </w:r>
          </w:p>
        </w:tc>
        <w:tc>
          <w:tcPr>
            <w:tcW w:w="16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1,347</w:t>
            </w:r>
          </w:p>
        </w:tc>
        <w:tc>
          <w:tcPr>
            <w:tcW w:w="1260" w:type="dxa"/>
            <w:vAlign w:val="bottom"/>
          </w:tcPr>
          <w:p>
            <w:pPr>
              <w:jc w:val="right"/>
              <w:ind w:right="318"/>
              <w:spacing w:after="0" w:line="135" w:lineRule="exact"/>
              <w:rPr>
                <w:sz w:val="20"/>
                <w:szCs w:val="20"/>
                <w:color w:val="auto"/>
              </w:rPr>
            </w:pPr>
            <w:r>
              <w:rPr>
                <w:rFonts w:ascii="Times New Roman" w:cs="Times New Roman" w:eastAsia="Times New Roman" w:hAnsi="Times New Roman"/>
                <w:sz w:val="13"/>
                <w:szCs w:val="13"/>
                <w:color w:val="auto"/>
                <w:w w:val="95"/>
              </w:rPr>
              <w:t>Prepaid expenses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4,901</w:t>
            </w:r>
          </w:p>
        </w:tc>
        <w:tc>
          <w:tcPr>
            <w:tcW w:w="14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Accrued liabilities</w:t>
            </w:r>
          </w:p>
        </w:tc>
        <w:tc>
          <w:tcPr>
            <w:tcW w:w="14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235</w:t>
            </w:r>
          </w:p>
        </w:tc>
        <w:tc>
          <w:tcPr>
            <w:tcW w:w="1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Accrued liabilities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Cross currency contract</w:t>
            </w:r>
          </w:p>
        </w:tc>
        <w:tc>
          <w:tcPr>
            <w:tcW w:w="1420" w:type="dxa"/>
            <w:vAlign w:val="bottom"/>
            <w:gridSpan w:val="2"/>
            <w:shd w:val="clear" w:color="auto" w:fill="CCEEFF"/>
          </w:tcPr>
          <w:p>
            <w:pPr>
              <w:jc w:val="right"/>
              <w:ind w:right="560"/>
              <w:spacing w:after="0" w:line="135" w:lineRule="exact"/>
              <w:rPr>
                <w:sz w:val="20"/>
                <w:szCs w:val="20"/>
                <w:color w:val="auto"/>
              </w:rPr>
            </w:pPr>
            <w:r>
              <w:rPr>
                <w:rFonts w:ascii="Times New Roman" w:cs="Times New Roman" w:eastAsia="Times New Roman" w:hAnsi="Times New Roman"/>
                <w:sz w:val="13"/>
                <w:szCs w:val="13"/>
                <w:color w:val="auto"/>
                <w:w w:val="93"/>
              </w:rPr>
              <w:t>Prepaid expenses</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2,218</w:t>
            </w:r>
          </w:p>
        </w:tc>
        <w:tc>
          <w:tcPr>
            <w:tcW w:w="1260" w:type="dxa"/>
            <w:vAlign w:val="bottom"/>
            <w:shd w:val="clear" w:color="auto" w:fill="CCEEFF"/>
          </w:tcPr>
          <w:p>
            <w:pPr>
              <w:jc w:val="right"/>
              <w:ind w:right="318"/>
              <w:spacing w:after="0" w:line="135" w:lineRule="exact"/>
              <w:rPr>
                <w:sz w:val="20"/>
                <w:szCs w:val="20"/>
                <w:color w:val="auto"/>
              </w:rPr>
            </w:pPr>
            <w:r>
              <w:rPr>
                <w:rFonts w:ascii="Times New Roman" w:cs="Times New Roman" w:eastAsia="Times New Roman" w:hAnsi="Times New Roman"/>
                <w:sz w:val="13"/>
                <w:szCs w:val="13"/>
                <w:color w:val="auto"/>
                <w:w w:val="95"/>
              </w:rPr>
              <w:t>Prepaid expenses</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1,930</w:t>
            </w:r>
          </w:p>
        </w:tc>
        <w:tc>
          <w:tcPr>
            <w:tcW w:w="14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Accrued liabilities</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Accrued liabilities</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Derivatives</w:t>
            </w: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7,100</w:t>
            </w:r>
          </w:p>
        </w:tc>
        <w:tc>
          <w:tcPr>
            <w:tcW w:w="1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15,956</w:t>
            </w: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3,202</w:t>
            </w:r>
          </w:p>
        </w:tc>
        <w:tc>
          <w:tcPr>
            <w:tcW w:w="12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27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impact of derivative instruments on the consolidated statements of earnings for the company’s derivatives designated as cash flow hedging instruments for the three months ended January 29, 2016 and January 30, 2015,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Location of Gain (Loss)</w:t>
            </w:r>
          </w:p>
        </w:tc>
        <w:tc>
          <w:tcPr>
            <w:tcW w:w="60" w:type="dxa"/>
            <w:vAlign w:val="bottom"/>
          </w:tcPr>
          <w:p>
            <w:pPr>
              <w:spacing w:after="0"/>
              <w:rPr>
                <w:sz w:val="12"/>
                <w:szCs w:val="12"/>
                <w:color w:val="auto"/>
              </w:rPr>
            </w:pPr>
          </w:p>
        </w:tc>
        <w:tc>
          <w:tcPr>
            <w:tcW w:w="170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Gain (Loss)</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Location of Gain</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Recognized in Income</w:t>
            </w:r>
          </w:p>
        </w:tc>
        <w:tc>
          <w:tcPr>
            <w:tcW w:w="60" w:type="dxa"/>
            <w:vAlign w:val="bottom"/>
          </w:tcPr>
          <w:p>
            <w:pPr>
              <w:spacing w:after="0"/>
              <w:rPr>
                <w:sz w:val="11"/>
                <w:szCs w:val="11"/>
                <w:color w:val="auto"/>
              </w:rPr>
            </w:pPr>
          </w:p>
        </w:tc>
        <w:tc>
          <w:tcPr>
            <w:tcW w:w="1700" w:type="dxa"/>
            <w:vAlign w:val="bottom"/>
            <w:gridSpan w:val="5"/>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Recognized in Income</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3"/>
          </w:tcPr>
          <w:p>
            <w:pPr>
              <w:jc w:val="center"/>
              <w:ind w:left="198"/>
              <w:spacing w:after="0" w:line="135" w:lineRule="exact"/>
              <w:rPr>
                <w:sz w:val="20"/>
                <w:szCs w:val="20"/>
                <w:color w:val="auto"/>
              </w:rPr>
            </w:pPr>
            <w:r>
              <w:rPr>
                <w:rFonts w:ascii="Times New Roman" w:cs="Times New Roman" w:eastAsia="Times New Roman" w:hAnsi="Times New Roman"/>
                <w:sz w:val="13"/>
                <w:szCs w:val="13"/>
                <w:b w:val="1"/>
                <w:bCs w:val="1"/>
                <w:color w:val="auto"/>
                <w:w w:val="95"/>
              </w:rPr>
              <w:t>Gain (Loss)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(Loss) Reclassified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4"/>
          </w:tcPr>
          <w:p>
            <w:pPr>
              <w:jc w:val="center"/>
              <w:ind w:left="178"/>
              <w:spacing w:after="0" w:line="135" w:lineRule="exact"/>
              <w:rPr>
                <w:sz w:val="20"/>
                <w:szCs w:val="20"/>
                <w:color w:val="auto"/>
              </w:rPr>
            </w:pPr>
            <w:r>
              <w:rPr>
                <w:rFonts w:ascii="Times New Roman" w:cs="Times New Roman" w:eastAsia="Times New Roman" w:hAnsi="Times New Roman"/>
                <w:sz w:val="13"/>
                <w:szCs w:val="13"/>
                <w:b w:val="1"/>
                <w:bCs w:val="1"/>
                <w:color w:val="auto"/>
                <w:w w:val="98"/>
              </w:rPr>
              <w:t>Gain (Loss)</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on Derivatives</w:t>
            </w:r>
          </w:p>
        </w:tc>
        <w:tc>
          <w:tcPr>
            <w:tcW w:w="60" w:type="dxa"/>
            <w:vAlign w:val="bottom"/>
          </w:tcPr>
          <w:p>
            <w:pPr>
              <w:spacing w:after="0"/>
              <w:rPr>
                <w:sz w:val="11"/>
                <w:szCs w:val="11"/>
                <w:color w:val="auto"/>
              </w:rPr>
            </w:pPr>
          </w:p>
        </w:tc>
        <w:tc>
          <w:tcPr>
            <w:tcW w:w="1700" w:type="dxa"/>
            <w:vAlign w:val="bottom"/>
            <w:gridSpan w:val="5"/>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on Derivatives</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3"/>
          </w:tcPr>
          <w:p>
            <w:pPr>
              <w:jc w:val="center"/>
              <w:ind w:left="198"/>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Recognized in OCI on</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from AOCL</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4"/>
          </w:tcPr>
          <w:p>
            <w:pPr>
              <w:jc w:val="center"/>
              <w:ind w:left="178"/>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Reclassified from</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(Ineffective Portion</w:t>
            </w:r>
          </w:p>
        </w:tc>
        <w:tc>
          <w:tcPr>
            <w:tcW w:w="60" w:type="dxa"/>
            <w:vAlign w:val="bottom"/>
          </w:tcPr>
          <w:p>
            <w:pPr>
              <w:spacing w:after="0"/>
              <w:rPr>
                <w:sz w:val="11"/>
                <w:szCs w:val="11"/>
                <w:color w:val="auto"/>
              </w:rPr>
            </w:pPr>
          </w:p>
        </w:tc>
        <w:tc>
          <w:tcPr>
            <w:tcW w:w="1700" w:type="dxa"/>
            <w:vAlign w:val="bottom"/>
            <w:gridSpan w:val="5"/>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(Ineffective Portion and</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3"/>
          </w:tcPr>
          <w:p>
            <w:pPr>
              <w:jc w:val="center"/>
              <w:ind w:left="198"/>
              <w:spacing w:after="0" w:line="135" w:lineRule="exact"/>
              <w:rPr>
                <w:sz w:val="20"/>
                <w:szCs w:val="20"/>
                <w:color w:val="auto"/>
              </w:rPr>
            </w:pPr>
            <w:r>
              <w:rPr>
                <w:rFonts w:ascii="Times New Roman" w:cs="Times New Roman" w:eastAsia="Times New Roman" w:hAnsi="Times New Roman"/>
                <w:sz w:val="13"/>
                <w:szCs w:val="13"/>
                <w:b w:val="1"/>
                <w:bCs w:val="1"/>
                <w:color w:val="auto"/>
                <w:w w:val="98"/>
              </w:rPr>
              <w:t>Derivatives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into Income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4"/>
          </w:tcPr>
          <w:p>
            <w:pPr>
              <w:jc w:val="center"/>
              <w:ind w:left="178"/>
              <w:spacing w:after="0" w:line="135" w:lineRule="exact"/>
              <w:rPr>
                <w:sz w:val="20"/>
                <w:szCs w:val="20"/>
                <w:color w:val="auto"/>
              </w:rPr>
            </w:pPr>
            <w:r>
              <w:rPr>
                <w:rFonts w:ascii="Times New Roman" w:cs="Times New Roman" w:eastAsia="Times New Roman" w:hAnsi="Times New Roman"/>
                <w:sz w:val="13"/>
                <w:szCs w:val="13"/>
                <w:b w:val="1"/>
                <w:bCs w:val="1"/>
                <w:color w:val="auto"/>
                <w:w w:val="97"/>
              </w:rPr>
              <w:t>AOCL into Income</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and excluded from</w:t>
            </w:r>
          </w:p>
        </w:tc>
        <w:tc>
          <w:tcPr>
            <w:tcW w:w="60" w:type="dxa"/>
            <w:vAlign w:val="bottom"/>
          </w:tcPr>
          <w:p>
            <w:pPr>
              <w:spacing w:after="0"/>
              <w:rPr>
                <w:sz w:val="11"/>
                <w:szCs w:val="11"/>
                <w:color w:val="auto"/>
              </w:rPr>
            </w:pPr>
          </w:p>
        </w:tc>
        <w:tc>
          <w:tcPr>
            <w:tcW w:w="1700" w:type="dxa"/>
            <w:vAlign w:val="bottom"/>
            <w:gridSpan w:val="5"/>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Excluded from</w:t>
            </w:r>
          </w:p>
        </w:tc>
        <w:tc>
          <w:tcPr>
            <w:tcW w:w="0" w:type="dxa"/>
            <w:vAlign w:val="bottom"/>
          </w:tcPr>
          <w:p>
            <w:pPr>
              <w:spacing w:after="0"/>
              <w:rPr>
                <w:sz w:val="1"/>
                <w:szCs w:val="1"/>
                <w:color w:val="auto"/>
              </w:rPr>
            </w:pPr>
          </w:p>
        </w:tc>
      </w:tr>
      <w:tr>
        <w:trPr>
          <w:trHeight w:val="155"/>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80" w:type="dxa"/>
            <w:vAlign w:val="bottom"/>
          </w:tcPr>
          <w:p>
            <w:pPr>
              <w:spacing w:after="0"/>
              <w:rPr>
                <w:sz w:val="13"/>
                <w:szCs w:val="13"/>
                <w:color w:val="auto"/>
              </w:rPr>
            </w:pPr>
          </w:p>
        </w:tc>
        <w:tc>
          <w:tcPr>
            <w:tcW w:w="1440" w:type="dxa"/>
            <w:vAlign w:val="bottom"/>
            <w:gridSpan w:val="3"/>
          </w:tcPr>
          <w:p>
            <w:pPr>
              <w:jc w:val="center"/>
              <w:ind w:left="178"/>
              <w:spacing w:after="0"/>
              <w:rPr>
                <w:sz w:val="20"/>
                <w:szCs w:val="20"/>
                <w:color w:val="auto"/>
              </w:rPr>
            </w:pPr>
            <w:r>
              <w:rPr>
                <w:rFonts w:ascii="Times New Roman" w:cs="Times New Roman" w:eastAsia="Times New Roman" w:hAnsi="Times New Roman"/>
                <w:sz w:val="13"/>
                <w:szCs w:val="13"/>
                <w:b w:val="1"/>
                <w:bCs w:val="1"/>
                <w:color w:val="auto"/>
                <w:w w:val="97"/>
              </w:rPr>
              <w:t>(Effective Portion)</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(Effective Portion)</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4"/>
          </w:tcPr>
          <w:p>
            <w:pPr>
              <w:jc w:val="center"/>
              <w:ind w:left="178"/>
              <w:spacing w:after="0"/>
              <w:rPr>
                <w:sz w:val="20"/>
                <w:szCs w:val="20"/>
                <w:color w:val="auto"/>
              </w:rPr>
            </w:pPr>
            <w:r>
              <w:rPr>
                <w:rFonts w:ascii="Times New Roman" w:cs="Times New Roman" w:eastAsia="Times New Roman" w:hAnsi="Times New Roman"/>
                <w:sz w:val="13"/>
                <w:szCs w:val="13"/>
                <w:b w:val="1"/>
                <w:bCs w:val="1"/>
                <w:color w:val="auto"/>
                <w:w w:val="97"/>
              </w:rPr>
              <w:t>(Effective Portion)</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Effectiveness Testing)</w:t>
            </w:r>
          </w:p>
        </w:tc>
        <w:tc>
          <w:tcPr>
            <w:tcW w:w="60" w:type="dxa"/>
            <w:vAlign w:val="bottom"/>
          </w:tcPr>
          <w:p>
            <w:pPr>
              <w:spacing w:after="0"/>
              <w:rPr>
                <w:sz w:val="13"/>
                <w:szCs w:val="13"/>
                <w:color w:val="auto"/>
              </w:rPr>
            </w:pPr>
          </w:p>
        </w:tc>
        <w:tc>
          <w:tcPr>
            <w:tcW w:w="170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Effectiveness Testing)</w:t>
            </w:r>
          </w:p>
        </w:tc>
        <w:tc>
          <w:tcPr>
            <w:tcW w:w="0" w:type="dxa"/>
            <w:vAlign w:val="bottom"/>
          </w:tcPr>
          <w:p>
            <w:pPr>
              <w:spacing w:after="0"/>
              <w:rPr>
                <w:sz w:val="1"/>
                <w:szCs w:val="1"/>
                <w:color w:val="auto"/>
              </w:rPr>
            </w:pPr>
          </w:p>
        </w:tc>
      </w:tr>
      <w:tr>
        <w:trPr>
          <w:trHeight w:val="108"/>
        </w:trPr>
        <w:tc>
          <w:tcPr>
            <w:tcW w:w="2160" w:type="dxa"/>
            <w:vAlign w:val="bottom"/>
            <w:gridSpan w:val="2"/>
            <w:vMerge w:val="continue"/>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60" w:type="dxa"/>
            <w:vAlign w:val="bottom"/>
            <w:tcBorders>
              <w:top w:val="single" w:sz="8" w:color="auto"/>
            </w:tcBorders>
            <w:gridSpan w:val="2"/>
          </w:tcPr>
          <w:p>
            <w:pPr>
              <w:jc w:val="right"/>
              <w:ind w:right="280"/>
              <w:spacing w:after="0" w:line="109" w:lineRule="exact"/>
              <w:rPr>
                <w:sz w:val="20"/>
                <w:szCs w:val="20"/>
                <w:color w:val="auto"/>
              </w:rPr>
            </w:pPr>
            <w:r>
              <w:rPr>
                <w:rFonts w:ascii="Times New Roman" w:cs="Times New Roman" w:eastAsia="Times New Roman" w:hAnsi="Times New Roman"/>
                <w:sz w:val="12"/>
                <w:szCs w:val="12"/>
                <w:b w:val="1"/>
                <w:bCs w:val="1"/>
                <w:color w:val="auto"/>
              </w:rPr>
              <w:t>January 29,</w:t>
            </w:r>
          </w:p>
        </w:tc>
        <w:tc>
          <w:tcPr>
            <w:tcW w:w="820" w:type="dxa"/>
            <w:vAlign w:val="bottom"/>
            <w:tcBorders>
              <w:top w:val="single" w:sz="8" w:color="auto"/>
            </w:tcBorders>
            <w:gridSpan w:val="2"/>
          </w:tcPr>
          <w:p>
            <w:pPr>
              <w:jc w:val="right"/>
              <w:ind w:right="17"/>
              <w:spacing w:after="0" w:line="109" w:lineRule="exact"/>
              <w:rPr>
                <w:sz w:val="20"/>
                <w:szCs w:val="20"/>
                <w:color w:val="auto"/>
              </w:rPr>
            </w:pPr>
            <w:r>
              <w:rPr>
                <w:rFonts w:ascii="Times New Roman" w:cs="Times New Roman" w:eastAsia="Times New Roman" w:hAnsi="Times New Roman"/>
                <w:sz w:val="12"/>
                <w:szCs w:val="12"/>
                <w:b w:val="1"/>
                <w:bCs w:val="1"/>
                <w:color w:val="auto"/>
              </w:rPr>
              <w:t>January 30,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gridSpan w:val="2"/>
          </w:tcPr>
          <w:p>
            <w:pPr>
              <w:jc w:val="right"/>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January 29,</w:t>
            </w:r>
          </w:p>
        </w:tc>
        <w:tc>
          <w:tcPr>
            <w:tcW w:w="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January 30,</w:t>
            </w:r>
          </w:p>
        </w:tc>
        <w:tc>
          <w:tcPr>
            <w:tcW w:w="160" w:type="dxa"/>
            <w:vAlign w:val="bottom"/>
            <w:gridSpan w:val="2"/>
          </w:tcPr>
          <w:p>
            <w:pPr>
              <w:spacing w:after="0"/>
              <w:rPr>
                <w:sz w:val="9"/>
                <w:szCs w:val="9"/>
                <w:color w:val="auto"/>
              </w:rPr>
            </w:pPr>
          </w:p>
        </w:tc>
        <w:tc>
          <w:tcPr>
            <w:tcW w:w="17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January 29,</w:t>
            </w:r>
          </w:p>
        </w:tc>
        <w:tc>
          <w:tcPr>
            <w:tcW w:w="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center"/>
              <w:ind w:right="19"/>
              <w:spacing w:after="0" w:line="109" w:lineRule="exact"/>
              <w:rPr>
                <w:sz w:val="20"/>
                <w:szCs w:val="20"/>
                <w:color w:val="auto"/>
              </w:rPr>
            </w:pPr>
            <w:r>
              <w:rPr>
                <w:rFonts w:ascii="Times New Roman" w:cs="Times New Roman" w:eastAsia="Times New Roman" w:hAnsi="Times New Roman"/>
                <w:sz w:val="12"/>
                <w:szCs w:val="12"/>
                <w:b w:val="1"/>
                <w:bCs w:val="1"/>
                <w:color w:val="auto"/>
              </w:rPr>
              <w:t>January 30,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80" w:type="dxa"/>
            <w:vAlign w:val="bottom"/>
          </w:tcPr>
          <w:p>
            <w:pPr>
              <w:spacing w:after="0"/>
              <w:rPr>
                <w:sz w:val="13"/>
                <w:szCs w:val="13"/>
                <w:color w:val="auto"/>
              </w:rPr>
            </w:pPr>
          </w:p>
        </w:tc>
        <w:tc>
          <w:tcPr>
            <w:tcW w:w="800" w:type="dxa"/>
            <w:vAlign w:val="bottom"/>
          </w:tcPr>
          <w:p>
            <w:pPr>
              <w:jc w:val="right"/>
              <w:ind w:right="258"/>
              <w:spacing w:after="0"/>
              <w:rPr>
                <w:sz w:val="20"/>
                <w:szCs w:val="20"/>
                <w:color w:val="auto"/>
              </w:rPr>
            </w:pPr>
            <w:r>
              <w:rPr>
                <w:rFonts w:ascii="Times New Roman" w:cs="Times New Roman" w:eastAsia="Times New Roman" w:hAnsi="Times New Roman"/>
                <w:sz w:val="13"/>
                <w:szCs w:val="13"/>
                <w:b w:val="1"/>
                <w:bCs w:val="1"/>
                <w:color w:val="auto"/>
              </w:rPr>
              <w:t>2016</w:t>
            </w:r>
          </w:p>
        </w:tc>
        <w:tc>
          <w:tcPr>
            <w:tcW w:w="160" w:type="dxa"/>
            <w:vAlign w:val="bottom"/>
          </w:tcPr>
          <w:p>
            <w:pPr>
              <w:spacing w:after="0"/>
              <w:rPr>
                <w:sz w:val="13"/>
                <w:szCs w:val="13"/>
                <w:color w:val="auto"/>
              </w:rPr>
            </w:pPr>
          </w:p>
        </w:tc>
        <w:tc>
          <w:tcPr>
            <w:tcW w:w="82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13"/>
                <w:szCs w:val="13"/>
                <w:b w:val="1"/>
                <w:bCs w:val="1"/>
                <w:color w:val="auto"/>
              </w:rPr>
              <w:t>2016</w:t>
            </w:r>
          </w:p>
        </w:tc>
        <w:tc>
          <w:tcPr>
            <w:tcW w:w="180" w:type="dxa"/>
            <w:vAlign w:val="bottom"/>
          </w:tcPr>
          <w:p>
            <w:pPr>
              <w:spacing w:after="0"/>
              <w:rPr>
                <w:sz w:val="13"/>
                <w:szCs w:val="13"/>
                <w:color w:val="auto"/>
              </w:rPr>
            </w:pPr>
          </w:p>
        </w:tc>
        <w:tc>
          <w:tcPr>
            <w:tcW w:w="780" w:type="dxa"/>
            <w:vAlign w:val="bottom"/>
            <w:gridSpan w:val="3"/>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2015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13"/>
                <w:szCs w:val="13"/>
                <w:b w:val="1"/>
                <w:bCs w:val="1"/>
                <w:color w:val="auto"/>
              </w:rPr>
              <w:t>2016</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2015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980" w:type="dxa"/>
            <w:vAlign w:val="bottom"/>
            <w:tcBorders>
              <w:top w:val="single" w:sz="8" w:color="auto"/>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Forward currency contracts</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565</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CCEEFF"/>
            </w:tcBorders>
            <w:shd w:val="clear" w:color="auto" w:fill="CCEEFF"/>
          </w:tcPr>
          <w:p>
            <w:pPr>
              <w:jc w:val="right"/>
              <w:ind w:right="338"/>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4,178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560" w:type="dxa"/>
            <w:vAlign w:val="bottom"/>
            <w:tcBorders>
              <w:top w:val="single" w:sz="8" w:color="CCEEFF"/>
              <w:bottom w:val="single" w:sz="8" w:color="CCEEFF"/>
            </w:tcBorders>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Net sales</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1,080</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CCEEFF"/>
            </w:tcBorders>
            <w:shd w:val="clear" w:color="auto" w:fill="CCEEFF"/>
          </w:tcPr>
          <w:p>
            <w:pPr>
              <w:jc w:val="right"/>
              <w:ind w:right="363"/>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2,004</w:t>
            </w:r>
          </w:p>
        </w:tc>
        <w:tc>
          <w:tcPr>
            <w:tcW w:w="2040" w:type="dxa"/>
            <w:vAlign w:val="bottom"/>
            <w:tcBorders>
              <w:top w:val="single" w:sz="8" w:color="CCEEFF"/>
              <w:bottom w:val="single" w:sz="8" w:color="CCEEFF"/>
            </w:tcBorders>
            <w:gridSpan w:val="4"/>
            <w:shd w:val="clear" w:color="auto" w:fill="CCEEFF"/>
          </w:tcPr>
          <w:p>
            <w:pPr>
              <w:ind w:left="160"/>
              <w:spacing w:after="0" w:line="129" w:lineRule="exact"/>
              <w:rPr>
                <w:sz w:val="20"/>
                <w:szCs w:val="20"/>
                <w:color w:val="auto"/>
              </w:rPr>
            </w:pPr>
            <w:r>
              <w:rPr>
                <w:rFonts w:ascii="Times New Roman" w:cs="Times New Roman" w:eastAsia="Times New Roman" w:hAnsi="Times New Roman"/>
                <w:sz w:val="13"/>
                <w:szCs w:val="13"/>
                <w:color w:val="auto"/>
              </w:rPr>
              <w:t>Other income, net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227</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line="129" w:lineRule="exact"/>
              <w:rPr>
                <w:sz w:val="20"/>
                <w:szCs w:val="20"/>
                <w:color w:val="auto"/>
              </w:rPr>
            </w:pPr>
            <w:r>
              <w:rPr>
                <w:rFonts w:ascii="Times New Roman" w:cs="Times New Roman" w:eastAsia="Times New Roman" w:hAnsi="Times New Roman"/>
                <w:sz w:val="13"/>
                <w:szCs w:val="13"/>
                <w:color w:val="auto"/>
              </w:rPr>
              <w:t>Forward currency contracts</w:t>
            </w:r>
          </w:p>
        </w:tc>
        <w:tc>
          <w:tcPr>
            <w:tcW w:w="80" w:type="dxa"/>
            <w:vAlign w:val="bottom"/>
          </w:tcPr>
          <w:p>
            <w:pPr>
              <w:spacing w:after="0" w:line="20" w:lineRule="exact"/>
              <w:rPr>
                <w:sz w:val="1"/>
                <w:szCs w:val="1"/>
                <w:color w:val="auto"/>
              </w:rPr>
            </w:pPr>
          </w:p>
        </w:tc>
        <w:tc>
          <w:tcPr>
            <w:tcW w:w="960" w:type="dxa"/>
            <w:vAlign w:val="bottom"/>
            <w:gridSpan w:val="2"/>
            <w:vMerge w:val="restart"/>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(1,659)</w:t>
            </w:r>
          </w:p>
        </w:tc>
        <w:tc>
          <w:tcPr>
            <w:tcW w:w="480" w:type="dxa"/>
            <w:vAlign w:val="bottom"/>
          </w:tcPr>
          <w:p>
            <w:pPr>
              <w:spacing w:after="0" w:line="20" w:lineRule="exact"/>
              <w:rPr>
                <w:sz w:val="1"/>
                <w:szCs w:val="1"/>
                <w:color w:val="auto"/>
              </w:rPr>
            </w:pPr>
          </w:p>
        </w:tc>
        <w:tc>
          <w:tcPr>
            <w:tcW w:w="440" w:type="dxa"/>
            <w:vAlign w:val="bottom"/>
            <w:gridSpan w:val="2"/>
            <w:vMerge w:val="restart"/>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w w:val="94"/>
              </w:rPr>
              <w:t>(1,384)</w:t>
            </w:r>
          </w:p>
        </w:tc>
        <w:tc>
          <w:tcPr>
            <w:tcW w:w="1560" w:type="dxa"/>
            <w:vAlign w:val="bottom"/>
            <w:gridSpan w:val="2"/>
            <w:vMerge w:val="restart"/>
          </w:tcPr>
          <w:p>
            <w:pPr>
              <w:ind w:left="80"/>
              <w:spacing w:after="0" w:line="129" w:lineRule="exact"/>
              <w:rPr>
                <w:sz w:val="20"/>
                <w:szCs w:val="20"/>
                <w:color w:val="auto"/>
              </w:rPr>
            </w:pPr>
            <w:r>
              <w:rPr>
                <w:rFonts w:ascii="Times New Roman" w:cs="Times New Roman" w:eastAsia="Times New Roman" w:hAnsi="Times New Roman"/>
                <w:sz w:val="13"/>
                <w:szCs w:val="13"/>
                <w:color w:val="auto"/>
              </w:rPr>
              <w:t>Cost of sales</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vMerge w:val="restart"/>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(314)</w:t>
            </w: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3"/>
            <w:vMerge w:val="restart"/>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(313)</w:t>
            </w:r>
          </w:p>
        </w:tc>
        <w:tc>
          <w:tcPr>
            <w:tcW w:w="17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1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Cross currency contracts</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56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Other income, net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128</w:t>
            </w: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6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(1,060)</w:t>
            </w:r>
          </w:p>
        </w:tc>
        <w:tc>
          <w:tcPr>
            <w:tcW w:w="16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338"/>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2,776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894</w:t>
            </w: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1,678</w:t>
            </w: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January 29, 2016, the company expects to reclassify approximately $0.7 million of gains from AOCL to earnings during the next twelve months.</w:t>
      </w:r>
    </w:p>
    <w:p>
      <w:pPr>
        <w:spacing w:after="0" w:line="225" w:lineRule="exact"/>
        <w:rPr>
          <w:sz w:val="20"/>
          <w:szCs w:val="20"/>
          <w:color w:val="auto"/>
        </w:rPr>
      </w:pPr>
    </w:p>
    <w:p>
      <w:pPr>
        <w:ind w:right="120" w:firstLine="23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impact of derivative instruments on the consolidated statements of earnings for the company’s derivatives not designated as hedging instruments.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8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 (Loss) Recognized in Net Earnings</w:t>
            </w:r>
          </w:p>
        </w:tc>
        <w:tc>
          <w:tcPr>
            <w:tcW w:w="0" w:type="dxa"/>
            <w:vAlign w:val="bottom"/>
          </w:tcPr>
          <w:p>
            <w:pPr>
              <w:spacing w:after="0"/>
              <w:rPr>
                <w:sz w:val="1"/>
                <w:szCs w:val="1"/>
                <w:color w:val="auto"/>
              </w:rPr>
            </w:pPr>
          </w:p>
        </w:tc>
      </w:tr>
      <w:tr>
        <w:trPr>
          <w:trHeight w:val="173"/>
        </w:trPr>
        <w:tc>
          <w:tcPr>
            <w:tcW w:w="2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00" w:type="dxa"/>
            <w:vAlign w:val="bottom"/>
            <w:vMerge w:val="restart"/>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8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0"/>
                <w:szCs w:val="10"/>
                <w:color w:val="auto"/>
              </w:rPr>
            </w:pPr>
          </w:p>
        </w:tc>
        <w:tc>
          <w:tcPr>
            <w:tcW w:w="25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98"/>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5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5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Recognized in Net Earnings</w:t>
            </w:r>
          </w:p>
        </w:tc>
        <w:tc>
          <w:tcPr>
            <w:tcW w:w="3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340" w:type="dxa"/>
            <w:vAlign w:val="bottom"/>
            <w:shd w:val="clear" w:color="auto" w:fill="CCEEFF"/>
          </w:tcPr>
          <w:p>
            <w:pPr>
              <w:spacing w:after="0"/>
              <w:rPr>
                <w:sz w:val="18"/>
                <w:szCs w:val="18"/>
                <w:color w:val="auto"/>
              </w:rPr>
            </w:pPr>
          </w:p>
        </w:tc>
        <w:tc>
          <w:tcPr>
            <w:tcW w:w="2500" w:type="dxa"/>
            <w:vAlign w:val="bottom"/>
            <w:shd w:val="clear" w:color="auto" w:fill="CCEEFF"/>
          </w:tcPr>
          <w:p>
            <w:pPr>
              <w:jc w:val="right"/>
              <w:ind w:right="1142"/>
              <w:spacing w:after="0"/>
              <w:rPr>
                <w:sz w:val="20"/>
                <w:szCs w:val="20"/>
                <w:color w:val="auto"/>
              </w:rPr>
            </w:pPr>
            <w:r>
              <w:rPr>
                <w:rFonts w:ascii="Times New Roman" w:cs="Times New Roman" w:eastAsia="Times New Roman" w:hAnsi="Times New Roman"/>
                <w:sz w:val="18"/>
                <w:szCs w:val="18"/>
                <w:color w:val="auto"/>
                <w:w w:val="97"/>
              </w:rPr>
              <w:t>Other income, net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Cross currency contracts</w:t>
            </w:r>
          </w:p>
        </w:tc>
        <w:tc>
          <w:tcPr>
            <w:tcW w:w="2840" w:type="dxa"/>
            <w:vAlign w:val="bottom"/>
            <w:gridSpan w:val="2"/>
          </w:tcPr>
          <w:p>
            <w:pPr>
              <w:jc w:val="right"/>
              <w:ind w:right="1142"/>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5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230"/>
        <w:spacing w:after="0" w:line="258" w:lineRule="auto"/>
        <w:rPr>
          <w:sz w:val="20"/>
          <w:szCs w:val="20"/>
          <w:color w:val="auto"/>
        </w:rPr>
      </w:pPr>
      <w:r>
        <w:rPr>
          <w:rFonts w:ascii="Times New Roman" w:cs="Times New Roman" w:eastAsia="Times New Roman" w:hAnsi="Times New Roman"/>
          <w:sz w:val="18"/>
          <w:szCs w:val="18"/>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contracts at the net amount in its consolidated balance sheets.</w:t>
      </w:r>
    </w:p>
    <w:p>
      <w:pPr>
        <w:spacing w:after="0" w:line="184" w:lineRule="exact"/>
        <w:rPr>
          <w:sz w:val="20"/>
          <w:szCs w:val="20"/>
          <w:color w:val="auto"/>
        </w:rPr>
      </w:pPr>
    </w:p>
    <w:p>
      <w:pPr>
        <w:ind w:right="260" w:firstLine="230"/>
        <w:spacing w:after="0" w:line="282" w:lineRule="auto"/>
        <w:rPr>
          <w:sz w:val="20"/>
          <w:szCs w:val="20"/>
          <w:color w:val="auto"/>
        </w:rPr>
      </w:pPr>
      <w:r>
        <w:rPr>
          <w:rFonts w:ascii="Times New Roman" w:cs="Times New Roman" w:eastAsia="Times New Roman" w:hAnsi="Times New Roman"/>
          <w:sz w:val="18"/>
          <w:szCs w:val="18"/>
          <w:color w:val="auto"/>
        </w:rPr>
        <w:t>The following tables show the effects of the master netting arrangements on the fair value of the company’s derivative contracts that are recorded in the consolidated balance sheets: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6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Gross Amounts</w:t>
            </w:r>
          </w:p>
        </w:tc>
        <w:tc>
          <w:tcPr>
            <w:tcW w:w="100" w:type="dxa"/>
            <w:vAlign w:val="bottom"/>
          </w:tcPr>
          <w:p>
            <w:pPr>
              <w:spacing w:after="0"/>
              <w:rPr>
                <w:sz w:val="10"/>
                <w:szCs w:val="10"/>
                <w:color w:val="auto"/>
              </w:rPr>
            </w:pPr>
          </w:p>
        </w:tc>
        <w:tc>
          <w:tcPr>
            <w:tcW w:w="1440" w:type="dxa"/>
            <w:vAlign w:val="bottom"/>
            <w:gridSpan w:val="3"/>
          </w:tcPr>
          <w:p>
            <w:pPr>
              <w:jc w:val="center"/>
              <w:ind w:right="355"/>
              <w:spacing w:after="0" w:line="118" w:lineRule="exact"/>
              <w:rPr>
                <w:sz w:val="20"/>
                <w:szCs w:val="20"/>
                <w:color w:val="auto"/>
              </w:rPr>
            </w:pPr>
            <w:r>
              <w:rPr>
                <w:rFonts w:ascii="Times New Roman" w:cs="Times New Roman" w:eastAsia="Times New Roman" w:hAnsi="Times New Roman"/>
                <w:sz w:val="13"/>
                <w:szCs w:val="13"/>
                <w:b w:val="1"/>
                <w:bCs w:val="1"/>
                <w:color w:val="auto"/>
              </w:rPr>
              <w:t>Gross Liabilities</w:t>
            </w:r>
          </w:p>
        </w:tc>
        <w:tc>
          <w:tcPr>
            <w:tcW w:w="1380" w:type="dxa"/>
            <w:vAlign w:val="bottom"/>
          </w:tcPr>
          <w:p>
            <w:pPr>
              <w:jc w:val="center"/>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Net Amounts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Gross Amounts</w:t>
            </w:r>
          </w:p>
        </w:tc>
        <w:tc>
          <w:tcPr>
            <w:tcW w:w="100" w:type="dxa"/>
            <w:vAlign w:val="bottom"/>
          </w:tcPr>
          <w:p>
            <w:pPr>
              <w:spacing w:after="0"/>
              <w:rPr>
                <w:sz w:val="10"/>
                <w:szCs w:val="10"/>
                <w:color w:val="auto"/>
              </w:rPr>
            </w:pPr>
          </w:p>
        </w:tc>
        <w:tc>
          <w:tcPr>
            <w:tcW w:w="1220" w:type="dxa"/>
            <w:vAlign w:val="bottom"/>
            <w:gridSpan w:val="3"/>
          </w:tcPr>
          <w:p>
            <w:pPr>
              <w:jc w:val="center"/>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Gross Assets</w:t>
            </w:r>
          </w:p>
        </w:tc>
        <w:tc>
          <w:tcPr>
            <w:tcW w:w="1380" w:type="dxa"/>
            <w:vAlign w:val="bottom"/>
          </w:tcPr>
          <w:p>
            <w:pPr>
              <w:jc w:val="center"/>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Net Amounts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100" w:type="dxa"/>
            <w:vAlign w:val="bottom"/>
          </w:tcPr>
          <w:p>
            <w:pPr>
              <w:spacing w:after="0"/>
              <w:rPr>
                <w:sz w:val="12"/>
                <w:szCs w:val="12"/>
                <w:color w:val="auto"/>
              </w:rPr>
            </w:pPr>
          </w:p>
        </w:tc>
        <w:tc>
          <w:tcPr>
            <w:tcW w:w="1440" w:type="dxa"/>
            <w:vAlign w:val="bottom"/>
            <w:gridSpan w:val="3"/>
          </w:tcPr>
          <w:p>
            <w:pPr>
              <w:jc w:val="center"/>
              <w:ind w:right="355"/>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4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 Assets Presented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100" w:type="dxa"/>
            <w:vAlign w:val="bottom"/>
          </w:tcPr>
          <w:p>
            <w:pPr>
              <w:spacing w:after="0"/>
              <w:rPr>
                <w:sz w:val="12"/>
                <w:szCs w:val="12"/>
                <w:color w:val="auto"/>
              </w:rPr>
            </w:pPr>
          </w:p>
        </w:tc>
        <w:tc>
          <w:tcPr>
            <w:tcW w:w="1220" w:type="dxa"/>
            <w:vAlign w:val="bottom"/>
            <w:gridSpan w:val="3"/>
          </w:tcPr>
          <w:p>
            <w:pPr>
              <w:jc w:val="center"/>
              <w:ind w:right="255"/>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4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Presented</w:t>
            </w:r>
          </w:p>
        </w:tc>
        <w:tc>
          <w:tcPr>
            <w:tcW w:w="0" w:type="dxa"/>
            <w:vAlign w:val="bottom"/>
          </w:tcPr>
          <w:p>
            <w:pPr>
              <w:spacing w:after="0"/>
              <w:rPr>
                <w:sz w:val="1"/>
                <w:szCs w:val="1"/>
                <w:color w:val="auto"/>
              </w:rPr>
            </w:pPr>
          </w:p>
        </w:tc>
      </w:tr>
      <w:tr>
        <w:trPr>
          <w:trHeight w:val="173"/>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29, 2016</w:t>
            </w:r>
          </w:p>
        </w:tc>
        <w:tc>
          <w:tcPr>
            <w:tcW w:w="10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5"/>
                <w:szCs w:val="15"/>
                <w:color w:val="auto"/>
              </w:rPr>
            </w:pPr>
          </w:p>
        </w:tc>
        <w:tc>
          <w:tcPr>
            <w:tcW w:w="1440" w:type="dxa"/>
            <w:vAlign w:val="bottom"/>
            <w:gridSpan w:val="3"/>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the Balance Sheet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c>
          <w:tcPr>
            <w:tcW w:w="1220" w:type="dxa"/>
            <w:vAlign w:val="bottom"/>
            <w:gridSpan w:val="3"/>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the Balance Sheet</w:t>
            </w:r>
          </w:p>
        </w:tc>
        <w:tc>
          <w:tcPr>
            <w:tcW w:w="0" w:type="dxa"/>
            <w:vAlign w:val="bottom"/>
          </w:tcPr>
          <w:p>
            <w:pPr>
              <w:spacing w:after="0"/>
              <w:rPr>
                <w:sz w:val="1"/>
                <w:szCs w:val="1"/>
                <w:color w:val="auto"/>
              </w:rPr>
            </w:pPr>
          </w:p>
        </w:tc>
      </w:tr>
      <w:tr>
        <w:trPr>
          <w:trHeight w:val="210"/>
        </w:trPr>
        <w:tc>
          <w:tcPr>
            <w:tcW w:w="2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3"/>
              </w:rPr>
              <w:t>4,740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Cross currency contracts</w:t>
            </w:r>
          </w:p>
        </w:tc>
        <w:tc>
          <w:tcPr>
            <w:tcW w:w="100" w:type="dxa"/>
            <w:vAlign w:val="bottom"/>
          </w:tcPr>
          <w:p>
            <w:pPr>
              <w:spacing w:after="0"/>
              <w:rPr>
                <w:sz w:val="18"/>
                <w:szCs w:val="18"/>
                <w:color w:val="auto"/>
              </w:rPr>
            </w:pPr>
          </w:p>
        </w:tc>
        <w:tc>
          <w:tcPr>
            <w:tcW w:w="11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Pr>
          <w:p>
            <w:pPr>
              <w:spacing w:after="0"/>
              <w:rPr>
                <w:sz w:val="18"/>
                <w:szCs w:val="18"/>
                <w:color w:val="auto"/>
              </w:rPr>
            </w:pPr>
          </w:p>
        </w:tc>
        <w:tc>
          <w:tcPr>
            <w:tcW w:w="14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1" w:right="239" w:bottom="0" w:gutter="0" w:footer="0" w:header="0"/>
        </w:sectPr>
      </w:pPr>
    </w:p>
    <w:bookmarkStart w:id="9" w:name="page10"/>
    <w:bookmarkEnd w:id="9"/>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8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Gross Amounts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Gross Liabilities</w:t>
            </w:r>
          </w:p>
        </w:tc>
        <w:tc>
          <w:tcPr>
            <w:tcW w:w="100" w:type="dxa"/>
            <w:vAlign w:val="bottom"/>
          </w:tcPr>
          <w:p>
            <w:pPr>
              <w:spacing w:after="0"/>
              <w:rPr>
                <w:sz w:val="10"/>
                <w:szCs w:val="10"/>
                <w:color w:val="auto"/>
              </w:rPr>
            </w:pPr>
          </w:p>
        </w:tc>
        <w:tc>
          <w:tcPr>
            <w:tcW w:w="1380" w:type="dxa"/>
            <w:vAlign w:val="bottom"/>
          </w:tcPr>
          <w:p>
            <w:pPr>
              <w:jc w:val="center"/>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Net Amounts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Gross Amounts</w:t>
            </w:r>
          </w:p>
        </w:tc>
        <w:tc>
          <w:tcPr>
            <w:tcW w:w="100" w:type="dxa"/>
            <w:vAlign w:val="bottom"/>
          </w:tcPr>
          <w:p>
            <w:pPr>
              <w:spacing w:after="0"/>
              <w:rPr>
                <w:sz w:val="10"/>
                <w:szCs w:val="10"/>
                <w:color w:val="auto"/>
              </w:rPr>
            </w:pPr>
          </w:p>
        </w:tc>
        <w:tc>
          <w:tcPr>
            <w:tcW w:w="114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Gross Assets</w:t>
            </w:r>
          </w:p>
        </w:tc>
        <w:tc>
          <w:tcPr>
            <w:tcW w:w="80" w:type="dxa"/>
            <w:vAlign w:val="bottom"/>
          </w:tcPr>
          <w:p>
            <w:pPr>
              <w:spacing w:after="0"/>
              <w:rPr>
                <w:sz w:val="10"/>
                <w:szCs w:val="10"/>
                <w:color w:val="auto"/>
              </w:rPr>
            </w:pPr>
          </w:p>
        </w:tc>
        <w:tc>
          <w:tcPr>
            <w:tcW w:w="1380" w:type="dxa"/>
            <w:vAlign w:val="bottom"/>
          </w:tcPr>
          <w:p>
            <w:pPr>
              <w:jc w:val="right"/>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Net Amounts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0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 Assets Presented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80" w:type="dxa"/>
            <w:vAlign w:val="bottom"/>
          </w:tcPr>
          <w:p>
            <w:pPr>
              <w:spacing w:after="0"/>
              <w:rPr>
                <w:sz w:val="12"/>
                <w:szCs w:val="12"/>
                <w:color w:val="auto"/>
              </w:rPr>
            </w:pPr>
          </w:p>
        </w:tc>
        <w:tc>
          <w:tcPr>
            <w:tcW w:w="14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Presented</w:t>
            </w:r>
          </w:p>
        </w:tc>
        <w:tc>
          <w:tcPr>
            <w:tcW w:w="0" w:type="dxa"/>
            <w:vAlign w:val="bottom"/>
          </w:tcPr>
          <w:p>
            <w:pPr>
              <w:spacing w:after="0"/>
              <w:rPr>
                <w:sz w:val="1"/>
                <w:szCs w:val="1"/>
                <w:color w:val="auto"/>
              </w:rPr>
            </w:pPr>
          </w:p>
        </w:tc>
      </w:tr>
      <w:tr>
        <w:trPr>
          <w:trHeight w:val="173"/>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30, 2015</w:t>
            </w: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5"/>
                <w:szCs w:val="15"/>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the Balance Sheet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8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 the Balance Sheet</w:t>
            </w:r>
          </w:p>
        </w:tc>
        <w:tc>
          <w:tcPr>
            <w:tcW w:w="0" w:type="dxa"/>
            <w:vAlign w:val="bottom"/>
          </w:tcPr>
          <w:p>
            <w:pPr>
              <w:spacing w:after="0"/>
              <w:rPr>
                <w:sz w:val="1"/>
                <w:szCs w:val="1"/>
                <w:color w:val="auto"/>
              </w:rPr>
            </w:pPr>
          </w:p>
        </w:tc>
      </w:tr>
      <w:tr>
        <w:trPr>
          <w:trHeight w:val="210"/>
        </w:trPr>
        <w:tc>
          <w:tcPr>
            <w:tcW w:w="2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Cross currency contracts</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3"/>
        </w:trPr>
        <w:tc>
          <w:tcPr>
            <w:tcW w:w="2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8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225" w:lineRule="exact"/>
        <w:rPr>
          <w:sz w:val="20"/>
          <w:szCs w:val="20"/>
          <w:color w:val="auto"/>
        </w:rPr>
      </w:pPr>
    </w:p>
    <w:p>
      <w:pPr>
        <w:ind w:right="20" w:firstLine="135"/>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Level 3 — Unobservable inputs reflecting management’s assumptions about the inputs used in pricing the asset or liability.</w:t>
      </w:r>
    </w:p>
    <w:p>
      <w:pPr>
        <w:spacing w:after="0" w:line="225" w:lineRule="exact"/>
        <w:rPr>
          <w:sz w:val="20"/>
          <w:szCs w:val="20"/>
          <w:color w:val="auto"/>
        </w:rPr>
      </w:pPr>
    </w:p>
    <w:p>
      <w:pPr>
        <w:ind w:right="80" w:firstLine="230"/>
        <w:spacing w:after="0" w:line="261" w:lineRule="auto"/>
        <w:rPr>
          <w:sz w:val="20"/>
          <w:szCs w:val="20"/>
          <w:color w:val="auto"/>
        </w:rPr>
      </w:pPr>
      <w:r>
        <w:rPr>
          <w:rFonts w:ascii="Times New Roman" w:cs="Times New Roman" w:eastAsia="Times New Roman" w:hAnsi="Times New Roman"/>
          <w:sz w:val="18"/>
          <w:szCs w:val="18"/>
          <w:color w:val="auto"/>
        </w:rPr>
        <w:t>Cash balances are valued at their carrying amounts in the consolidated balance sheets, which are reasonable estimates of their fair value due to their short-term nature. Forward currency contracts are valued based on observable market transactions of forward currency prices and spot currency rates as of the reporting date. The fair value of cross currency contracts is determined using discounted cash flow analysis on the expected cash flows of each derivative. This analysis reflects the contractual terms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derivatives, including the period to maturity, and uses observable market-based inputs such as interest rates and foreign currency exchange rates. In addition, credit valuation adjustments, which consider the impact of any credit enhancements to the contracts, such as collateral postings, thresholds, mutual puts, and guarantees, are incorporated in the fair values to account for potential nonperformance risk. The unfunded deferred compensation liability is primarily subject to changes in fixed-income investment contracts based on current yields. For accounts receivable and accounts payable, carrying amounts are a reasonable estimate of fair value given their short-term nature.</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as of January 29, 2016, January 30, 2015, and October 31, 2015 are summarized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3"/>
                <w:szCs w:val="13"/>
                <w:color w:val="auto"/>
              </w:rPr>
            </w:pPr>
          </w:p>
        </w:tc>
        <w:tc>
          <w:tcPr>
            <w:tcW w:w="1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3"/>
                <w:szCs w:val="13"/>
                <w:color w:val="auto"/>
              </w:rPr>
            </w:pPr>
          </w:p>
        </w:tc>
        <w:tc>
          <w:tcPr>
            <w:tcW w:w="136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January 29, 2016</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118,140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118,140</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4,740</w:t>
            </w:r>
          </w:p>
        </w:tc>
        <w:tc>
          <w:tcPr>
            <w:tcW w:w="14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Cross currency contracts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2,360</w:t>
            </w:r>
          </w:p>
        </w:tc>
        <w:tc>
          <w:tcPr>
            <w:tcW w:w="14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125,240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5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3,202</w:t>
            </w:r>
          </w:p>
        </w:tc>
        <w:tc>
          <w:tcPr>
            <w:tcW w:w="14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liabilities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1,524</w:t>
            </w:r>
          </w:p>
        </w:tc>
        <w:tc>
          <w:tcPr>
            <w:tcW w:w="14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January 30, 2015</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24"/>
                <w:szCs w:val="24"/>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82,914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82,914</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14,026</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14,026</w:t>
            </w:r>
          </w:p>
        </w:tc>
        <w:tc>
          <w:tcPr>
            <w:tcW w:w="14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Cross currency contracts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1,930</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 currency contracts</w:t>
            </w:r>
          </w:p>
        </w:tc>
        <w:tc>
          <w:tcPr>
            <w:tcW w:w="5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440</w:t>
            </w:r>
          </w:p>
        </w:tc>
        <w:tc>
          <w:tcPr>
            <w:tcW w:w="14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liabilities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2,016</w:t>
            </w:r>
          </w:p>
        </w:tc>
        <w:tc>
          <w:tcPr>
            <w:tcW w:w="14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24"/>
                <w:szCs w:val="24"/>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126,275</w:t>
            </w:r>
          </w:p>
        </w:tc>
        <w:tc>
          <w:tcPr>
            <w:tcW w:w="3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126,275</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3,173</w:t>
            </w:r>
          </w:p>
        </w:tc>
        <w:tc>
          <w:tcPr>
            <w:tcW w:w="14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Cross currency contracts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2,136</w:t>
            </w:r>
          </w:p>
        </w:tc>
        <w:tc>
          <w:tcPr>
            <w:tcW w:w="14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131,584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5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1,711</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1,711</w:t>
            </w:r>
          </w:p>
        </w:tc>
        <w:tc>
          <w:tcPr>
            <w:tcW w:w="14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ectPr>
          <w:pgSz w:w="11900" w:h="16897" w:orient="portrait"/>
          <w:cols w:equalWidth="0" w:num="1">
            <w:col w:w="11420"/>
          </w:cols>
          <w:pgMar w:left="240" w:top="140"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Cross currency contracts</w:t>
            </w:r>
          </w:p>
        </w:tc>
        <w:tc>
          <w:tcPr>
            <w:tcW w:w="52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134</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134</w:t>
            </w:r>
          </w:p>
        </w:tc>
        <w:tc>
          <w:tcPr>
            <w:tcW w:w="14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liabilities</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1,652</w:t>
            </w:r>
          </w:p>
        </w:tc>
        <w:tc>
          <w:tcPr>
            <w:tcW w:w="148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520" w:type="dxa"/>
            <w:vAlign w:val="bottom"/>
            <w:tcBorders>
              <w:top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300" w:type="dxa"/>
            <w:vAlign w:val="bottom"/>
          </w:tcPr>
          <w:p>
            <w:pPr>
              <w:spacing w:after="0"/>
              <w:rPr>
                <w:sz w:val="18"/>
                <w:szCs w:val="18"/>
                <w:color w:val="auto"/>
              </w:rPr>
            </w:pPr>
          </w:p>
        </w:tc>
        <w:tc>
          <w:tcPr>
            <w:tcW w:w="138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520" w:type="dxa"/>
            <w:vAlign w:val="bottom"/>
            <w:tcBorders>
              <w:top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280" w:type="dxa"/>
            <w:vAlign w:val="bottom"/>
          </w:tcPr>
          <w:p>
            <w:pPr>
              <w:spacing w:after="0"/>
              <w:rPr>
                <w:sz w:val="18"/>
                <w:szCs w:val="18"/>
                <w:color w:val="auto"/>
              </w:rPr>
            </w:pPr>
          </w:p>
        </w:tc>
        <w:tc>
          <w:tcPr>
            <w:tcW w:w="138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gridSpan w:val="2"/>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firstLine="230"/>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during the three months ended January 29, 2016, January 30, 2015, or the twelve months ended October 31,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 — Litigation</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products. To avoid potential liability with respect to others’ patents, the company regularly reviews certain patents issued by the United States Patent and Trademark Office and foreign patent offices. Management believes these activities help minimize its risk of being a defendant in patent infringement litigation. The company is currently involved in patent litigation cases, including cases by or against competitors, where it is asserting and defending against claims of patent infringement. Such cases are at varying stages in the litigation process. 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w:t>
      </w:r>
    </w:p>
    <w:p>
      <w:pPr>
        <w:spacing w:after="0" w:line="229" w:lineRule="exact"/>
        <w:rPr>
          <w:sz w:val="20"/>
          <w:szCs w:val="20"/>
          <w:color w:val="auto"/>
        </w:rPr>
      </w:pPr>
    </w:p>
    <w:p>
      <w:pPr>
        <w:jc w:val="both"/>
        <w:ind w:right="380"/>
        <w:spacing w:after="0" w:line="272" w:lineRule="auto"/>
        <w:rPr>
          <w:sz w:val="20"/>
          <w:szCs w:val="20"/>
          <w:color w:val="auto"/>
        </w:rPr>
      </w:pPr>
      <w:r>
        <w:rPr>
          <w:rFonts w:ascii="Times New Roman" w:cs="Times New Roman" w:eastAsia="Times New Roman" w:hAnsi="Times New Roman"/>
          <w:sz w:val="17"/>
          <w:szCs w:val="17"/>
          <w:color w:val="auto"/>
        </w:rPr>
        <w:t>On November 14, 2014, during the first quarter of fiscal 2015, the company acquired substantially all of the assets (excluding accounts receivable) of the BOSS® professional snow and ice management business of privately held Northern Star Industries, Inc. The purchase price included a cash payment and issuance of an unsecured promissory note in the aggregate principal amount of $30 million. Under the terms of the note, interest will accrue at the rate of</w:t>
      </w:r>
    </w:p>
    <w:p>
      <w:pPr>
        <w:spacing w:after="0" w:line="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4.0% per year and principal payments of $10 million each, together with accrued interest, will be payable on the first, second, and third anniversaries of the closing date of the acquisition, subject to certain conditions. Effective as of the closing of the acquisition on November 14, 2014, the company hired David J. Brule II, who is also a minority shareholder of Northern Star Industries, Inc., as an executive officer of the company. During the first quarter of fiscal 2016, the first principal payment of $10 million plus interest was paid in accordance with the terms of the note.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evaluated all subsequent events and concluded that no subsequent events have occurred that would require recognition in the consolidated financial statements or disclosure in the notes to the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Toro Company is in the business of designing, manufacturing, and marketing professional turf maintenance equipment and services, turf irrigation systems, landscaping equipment and lighting, snow and ice management products, agricultural micro-irrigation systems, rental and specialty construction equipment, and residential yard and snow thrower products. We sell our products worldwide through a network of distributors, dealers, hardware retailers, home centers, mass retailers, and over the Internet. Our businesses are organized into three reportable business segments: Professional, Residential, and Distribution. Our Distribution segment, which consists of our company-owned domestic distributorship, has been combined with our corporate activities and is shown as “Other.” We strive to provide innovative, well-built, and dependable products supported by an extensive service network. A significant portion of our revenues has historically been, and we expect will continue to be, attributable to new and enhanced products. We define new products as those introduced in the current and previous two fiscal years.</w:t>
      </w:r>
    </w:p>
    <w:p>
      <w:pPr>
        <w:spacing w:after="0" w:line="185" w:lineRule="exact"/>
        <w:rPr>
          <w:sz w:val="20"/>
          <w:szCs w:val="20"/>
          <w:color w:val="auto"/>
        </w:rPr>
      </w:pPr>
    </w:p>
    <w:p>
      <w:pPr>
        <w:ind w:right="60" w:firstLine="230"/>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(“MD&amp;A”) should be read in conjunction with the MD&amp;A included in Part II, Item 7 of our Annual Report on Form 10-K for the fiscal year ended October 31, 2015. This discussion contains various “Forward-Looking Statements” within the meaning of the Private Securities Litigation Reform Act of 1995 and we refer readers to the section titled “Forward-Looking Information” located at the end of Part I, Item 2 of this report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ectPr>
          <w:pgSz w:w="11900" w:h="16838" w:orient="portrait"/>
          <w:cols w:equalWidth="0" w:num="1">
            <w:col w:w="11420"/>
          </w:cols>
          <w:pgMar w:left="240" w:top="121" w:right="239" w:bottom="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For the first quarter of fiscal 2016, our net sales were up 2.6 percent compared to the first quarter of fiscal 2015. Residential segment net sales increased 7.1 percent, driven by strong demand and higher preseason shipments of zero-turn radius riding mowers due to improved product availability. The sales increase in our residential segment was partially offset by lower sales of snow thrower products due to a lack of snow fall in key markets in the first quarter of fiscal 2016, as well as a decline in shipments of walk power mowers. Professional segment net sales decreased slightly by 0.3 percent due to unfavorable foreign currency exchange rates, which was also the main contributing factor for a decline in international sales of golf and grounds equipment for the first quarter comparison. Additionally, BOSS sales decreased due to a lack of snow fall in key markets in the first quarter of fiscal 2016. These decreases were offset by continued growth and demand for our landscape contractor and specialty construction equipment products due primarily to our new and innovative product offerings. Additionally, overall international net sales were down 11.0 percent for the fiscal first quarter comparison mainly due to unfavorable currency exchange rates.</w:t>
      </w:r>
    </w:p>
    <w:p>
      <w:pPr>
        <w:spacing w:after="0" w:line="189" w:lineRule="exact"/>
        <w:rPr>
          <w:sz w:val="20"/>
          <w:szCs w:val="20"/>
          <w:color w:val="auto"/>
        </w:rPr>
      </w:pPr>
    </w:p>
    <w:p>
      <w:pPr>
        <w:ind w:right="20" w:firstLine="230"/>
        <w:spacing w:after="0" w:line="266" w:lineRule="auto"/>
        <w:rPr>
          <w:sz w:val="20"/>
          <w:szCs w:val="20"/>
          <w:color w:val="auto"/>
        </w:rPr>
      </w:pPr>
      <w:r>
        <w:rPr>
          <w:rFonts w:ascii="Times New Roman" w:cs="Times New Roman" w:eastAsia="Times New Roman" w:hAnsi="Times New Roman"/>
          <w:sz w:val="18"/>
          <w:szCs w:val="18"/>
          <w:color w:val="auto"/>
        </w:rPr>
        <w:t>Our net earnings increased 26.9 percent for the first quarter of fiscal 2016 compared to the first quarter of fiscal 2015. Our gross margin rate increased 200 basis points, which was partially offset by an increase in our selling, general, and administrative (“SG&amp;A”) expense as a percentage of net sales of 30 basis points. Additionally, an increase in other income contributed to our improvement in net earnings.</w:t>
      </w:r>
    </w:p>
    <w:p>
      <w:pPr>
        <w:spacing w:after="0" w:line="176" w:lineRule="exact"/>
        <w:rPr>
          <w:sz w:val="20"/>
          <w:szCs w:val="20"/>
          <w:color w:val="auto"/>
        </w:rPr>
      </w:pPr>
    </w:p>
    <w:p>
      <w:pPr>
        <w:ind w:right="400" w:firstLine="230"/>
        <w:spacing w:after="0" w:line="282" w:lineRule="auto"/>
        <w:rPr>
          <w:sz w:val="20"/>
          <w:szCs w:val="20"/>
          <w:color w:val="auto"/>
        </w:rPr>
      </w:pPr>
      <w:r>
        <w:rPr>
          <w:rFonts w:ascii="Times New Roman" w:cs="Times New Roman" w:eastAsia="Times New Roman" w:hAnsi="Times New Roman"/>
          <w:sz w:val="18"/>
          <w:szCs w:val="18"/>
          <w:color w:val="auto"/>
        </w:rPr>
        <w:t>We increased our first quarter cash dividend by 20 percent to $0.30 per share compared to the $0.25 per share quarterly cash dividend paid in the first quarter of fiscal 2015.</w:t>
      </w:r>
    </w:p>
    <w:p>
      <w:pPr>
        <w:spacing w:after="0" w:line="162" w:lineRule="exact"/>
        <w:rPr>
          <w:sz w:val="20"/>
          <w:szCs w:val="20"/>
          <w:color w:val="auto"/>
        </w:rPr>
      </w:pPr>
    </w:p>
    <w:p>
      <w:pPr>
        <w:ind w:firstLine="230"/>
        <w:spacing w:after="0" w:line="255" w:lineRule="auto"/>
        <w:rPr>
          <w:sz w:val="20"/>
          <w:szCs w:val="20"/>
          <w:color w:val="auto"/>
        </w:rPr>
      </w:pPr>
      <w:r>
        <w:rPr>
          <w:rFonts w:ascii="Times New Roman" w:cs="Times New Roman" w:eastAsia="Times New Roman" w:hAnsi="Times New Roman"/>
          <w:sz w:val="18"/>
          <w:szCs w:val="18"/>
          <w:color w:val="auto"/>
        </w:rPr>
        <w:t>Inventory levels increased $57.6 million, or 15.8 percent, as of the end of the first quarter of fiscal 2016 compared to the end of the first quarter of fiscal 2015 due to higher snow thrower and BOSS inventory levels as a result of unfavorable weather conditions, as well as increased residential segment riding products and landscape contractor inventory due to the timing of production in anticipation of strong demand this fiscal year. Receivables decreased $15.0 million, or 7.3 percent, largely due to additional customers financing receivables with Red Iron as of the end of the first quarter of fiscal 2016 compared to the end of the first quarter of fiscal 2015. Field inventory levels were also up as of the end of the first quarter of fiscal 2016 compared to the end of the first quarter of fiscal 2015 primarily due to higher field inventory levels of residential snow thrower and riding products, as well as higher landscape contractor field inventory levels in anticipation of strong retail demand in fiscal 2016.</w:t>
      </w:r>
    </w:p>
    <w:p>
      <w:pPr>
        <w:spacing w:after="0" w:line="189" w:lineRule="exact"/>
        <w:rPr>
          <w:sz w:val="20"/>
          <w:szCs w:val="20"/>
          <w:color w:val="auto"/>
        </w:rPr>
      </w:pPr>
    </w:p>
    <w:p>
      <w:pPr>
        <w:ind w:right="60" w:firstLine="230"/>
        <w:spacing w:after="0" w:line="255" w:lineRule="auto"/>
        <w:rPr>
          <w:sz w:val="20"/>
          <w:szCs w:val="20"/>
          <w:color w:val="auto"/>
        </w:rPr>
      </w:pPr>
      <w:r>
        <w:rPr>
          <w:rFonts w:ascii="Times New Roman" w:cs="Times New Roman" w:eastAsia="Times New Roman" w:hAnsi="Times New Roman"/>
          <w:sz w:val="18"/>
          <w:szCs w:val="18"/>
          <w:color w:val="auto"/>
        </w:rPr>
        <w:t>Our multi-year initiative, “Destination PRIME,” which began with our 2015 fiscal year, continues our journey into our second century. This is our second year of this three-year initiative, which is intended to help us drive revenue and earnings growth and further improve productivity, while also continuing our century-long commitment to innovation, relationships, and excellence. Through our Destination PRIME initiative, we intend to strive to achieve our goals by pursuing a progression of annual milestones. Our organic revenue growth goal is to achieve five percent or more of organic revenue growth each fiscal year during this initiative. We define organic revenue growth as the increase in net sales, less net sales from acquisitions that occurred in the current fiscal year. Our operating earnings goal is to raise operating earnings as a percentage of net sales to more than 13 percent by the end of fiscal 2017. Additionally, our working capital goal is to drive down average net working capital as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 percentage of net sales to less than 13 percent by the end of fiscal 2017. We define average net working capital as accounts receivable plus inventory less trade payables as a percentage of net sales for a twelve month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earnings for the first quarter of fiscal 2016 were $39.3 million, or $0.70 per diluted share, compared to $31.0 million, or $0.54 per diluted share, for the first quarter of fiscal 2015, resulting in a net earnings per diluted share increase of 29.6 percent. The primary factors contributing to the net earnings increase included higher net sales, an increase in our gross margin rate, and recovery for a litigation settlement, partially offset by higher SG&amp;A expense. Our fiscal 2016 first quarter diluted net earnings per share were benefited by approximately $0.01 per share compared to fiscal 2015 first quarter diluted net earnings per share as a result of reduced shares outstanding from repurchases of our common stock.</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as a percentage of our net sales: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3140" w:type="dxa"/>
            <w:vAlign w:val="bottom"/>
            <w:gridSpan w:val="4"/>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4400" w:type="dxa"/>
            <w:vAlign w:val="bottom"/>
          </w:tcPr>
          <w:p>
            <w:pPr>
              <w:spacing w:after="0"/>
              <w:rPr>
                <w:sz w:val="10"/>
                <w:szCs w:val="10"/>
                <w:color w:val="auto"/>
              </w:rPr>
            </w:pPr>
          </w:p>
        </w:tc>
        <w:tc>
          <w:tcPr>
            <w:tcW w:w="1620" w:type="dxa"/>
            <w:vAlign w:val="bottom"/>
            <w:tcBorders>
              <w:top w:val="single" w:sz="8" w:color="auto"/>
            </w:tcBorders>
            <w:gridSpan w:val="2"/>
          </w:tcPr>
          <w:p>
            <w:pPr>
              <w:jc w:val="right"/>
              <w:ind w:right="49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1340" w:type="dxa"/>
            <w:vAlign w:val="bottom"/>
            <w:tcBorders>
              <w:top w:val="single" w:sz="8" w:color="auto"/>
            </w:tcBorders>
          </w:tcPr>
          <w:p>
            <w:pPr>
              <w:jc w:val="right"/>
              <w:ind w:right="214"/>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180" w:type="dxa"/>
            <w:vAlign w:val="bottom"/>
          </w:tcPr>
          <w:p>
            <w:pPr>
              <w:spacing w:after="0"/>
              <w:rPr>
                <w:sz w:val="10"/>
                <w:szCs w:val="10"/>
                <w:color w:val="auto"/>
              </w:rPr>
            </w:pPr>
          </w:p>
        </w:tc>
      </w:tr>
      <w:tr>
        <w:trPr>
          <w:trHeight w:val="173"/>
        </w:trPr>
        <w:tc>
          <w:tcPr>
            <w:tcW w:w="44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CEEFF"/>
            </w:tcBorders>
          </w:tcPr>
          <w:p>
            <w:pPr>
              <w:spacing w:after="0"/>
              <w:rPr>
                <w:sz w:val="15"/>
                <w:szCs w:val="15"/>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(62.4)</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r>
      <w:tr>
        <w:trPr>
          <w:trHeight w:val="210"/>
        </w:trPr>
        <w:tc>
          <w:tcPr>
            <w:tcW w:w="44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1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(26.5)</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(26.2)</w:t>
            </w:r>
          </w:p>
        </w:tc>
      </w:tr>
      <w:tr>
        <w:trPr>
          <w:trHeight w:val="210"/>
        </w:trPr>
        <w:tc>
          <w:tcPr>
            <w:tcW w:w="44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earnings</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c>
          <w:tcPr>
            <w:tcW w:w="1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44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4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Worldwide consolidated net sales for the first quarter of fiscal 2016 were $486.4 million compared to $474.2 million in the first quarter of fiscal 2015, an increase of 2.6 percent. Residential segment net sales increased by 7.1 percent compared to the first quarter of fiscal 2015 due to higher preseason shipments of zero-turn radius riding mowers as a result of improved product availability after production delays from supply inefficiencies negatively affected sales in fiscal 2015 and such production delays were not repeated in fiscal 2016. Partially offsetting the residential segment sales increase were lower sales of snow thrower products due to a lack of snow fall during the first quarter of fiscal 2016, a decrease in shipments of walk power mowers, and unfavorable currency exchange rates. Professional segment net sales in the first quarter of fiscal 2016 slightly decreased by 0.3 percent compared to the first quarter of fiscal 2015 due to unfavorable foreign currency exchange rates, which was also the main contributing factor for a decline in international sales of golf and grounds equipment for the first quarter comparison. Additionally, BOSS sales declined due to lower snow falls in key markets in the first quarter of fiscal 2016.</w:t>
      </w:r>
    </w:p>
    <w:p>
      <w:pPr>
        <w:sectPr>
          <w:pgSz w:w="11900" w:h="16838" w:orient="portrait"/>
          <w:cols w:equalWidth="0" w:num="1">
            <w:col w:w="11400"/>
          </w:cols>
          <w:pgMar w:left="240" w:top="117" w:right="259" w:bottom="0" w:gutter="0" w:footer="0" w:header="0"/>
        </w:sectPr>
      </w:pPr>
    </w:p>
    <w:bookmarkStart w:id="12" w:name="page13"/>
    <w:bookmarkEnd w:id="12"/>
    <w:p>
      <w:pPr>
        <w:ind w:right="60"/>
        <w:spacing w:after="0" w:line="258" w:lineRule="auto"/>
        <w:rPr>
          <w:sz w:val="20"/>
          <w:szCs w:val="20"/>
          <w:color w:val="auto"/>
        </w:rPr>
      </w:pPr>
      <w:r>
        <w:rPr>
          <w:rFonts w:ascii="Times New Roman" w:cs="Times New Roman" w:eastAsia="Times New Roman" w:hAnsi="Times New Roman"/>
          <w:sz w:val="18"/>
          <w:szCs w:val="18"/>
          <w:color w:val="auto"/>
        </w:rPr>
        <w:t>However, these decreases were offset by continued growth and demand for our landscape contractor equipment and higher sales of specialty construction equipment driven by strong demand for new products we introduced. Net sales for our other segment were up $3.5 million due to a decrease in sales that are eliminated for shipments to our company-owned distribution companies as a result of the sale of our Northwestern U.S. distribution company early in the first quarter of fiscal 2016. Our overall international net sales were down 11.0 percent primarily from unfavorable foreign currency exchange rate fluctuations that resulted in a decline of approximately $14 million of our overall net sales for the first quarter of fiscal 2016 compared to the first quarter of fiscal 2015.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a percentage of net sales, gross profit for the first quarter of fiscal 2016 increased 200 basis points to 37.6 percent compared to 35.6 percent in the first quarter of fiscal 2015. This increase was primarily attributable to the purchase accounting impact of the incremental charge for the sale of inventory that was written-up to fair value related to the acquisition of the BOSS business in fiscal 2015, productivity improvements, lower commodity prices, and improved price realization. These increases were partially offset by unfavorable currency exchange rate fluctuations.</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SG&amp;A expense for the first quarter of fiscal 2016 increased $4.2 million, or 3.4 percent, compared to the same period last fiscal year. SG&amp;A expense as a percentage of net sales increased 30 basis points to 26.5 percent in the first quarter of fiscal 2016 compared to 26.2 percent in the first quarter of fiscal 2015. This increase was primarily due to higher employee incentive compensation expense, increased expenses for advertising, and higher warehousing costs from increased inventory levels.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Interest expense for the first quarter of fiscal 2016 decreased slightly by 1.3 percent compared to the first quarter of fiscal 2015 due to repayments of long-term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Other income, net for the first quarter of fiscal 2016 was $4.5 million compared to $2.3 million for the same period last fiscal year, an increase of $2.2 million. The increase was primarily due to recovery from a litigation settlement, higher earnings from our equity investment in Red Iron, and a gain on the sale of our Northwestern U.S. distribution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effective tax rate for the first quarter of fiscal 2016 was 26.9 percent compared to 26.3 percent in the first quarter of fiscal 2015. The increase in the tax rate was the result of a slightly lower rate benefit from the federal research credit extension year over year due to higher pre-tax earnings in the first quarter of fiscal 2016 as compared to the first quarter of fiscal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operate in three reportable business segments: Professional, Residential, and Distribution. Our Distribution segment, which consists of our company-owned domestic distributorship, has been combined with our corporate activities and elimination of intersegment revenues and expenses that is shown as “Other” in the following tables. Operating earnings for our Professional and Residential segments are defined as operating earnings plus other income, net. Operating loss for “Other” includes operating earnings (loss), corporate activities, other income, net, and interest expense.</w:t>
      </w:r>
    </w:p>
    <w:p>
      <w:pPr>
        <w:spacing w:after="0" w:line="1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following table summarizes net sales by segment: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0"/>
                <w:szCs w:val="10"/>
                <w:color w:val="auto"/>
              </w:rPr>
            </w:pPr>
          </w:p>
        </w:tc>
        <w:tc>
          <w:tcPr>
            <w:tcW w:w="148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200" w:type="dxa"/>
            <w:vAlign w:val="bottom"/>
          </w:tcPr>
          <w:p>
            <w:pPr>
              <w:spacing w:after="0"/>
              <w:rPr>
                <w:sz w:val="10"/>
                <w:szCs w:val="10"/>
                <w:color w:val="auto"/>
              </w:rPr>
            </w:pPr>
          </w:p>
        </w:tc>
        <w:tc>
          <w:tcPr>
            <w:tcW w:w="1440" w:type="dxa"/>
            <w:vAlign w:val="bottom"/>
            <w:gridSpan w:val="2"/>
          </w:tcPr>
          <w:p>
            <w:pPr>
              <w:jc w:val="right"/>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3"/>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64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8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gridSpan w:val="2"/>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w:t>
            </w:r>
          </w:p>
        </w:tc>
        <w:tc>
          <w:tcPr>
            <w:tcW w:w="3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338,836</w:t>
            </w:r>
          </w:p>
        </w:tc>
        <w:tc>
          <w:tcPr>
            <w:tcW w:w="3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339,706</w:t>
            </w:r>
          </w:p>
        </w:tc>
        <w:tc>
          <w:tcPr>
            <w:tcW w:w="28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ind w:right="33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300" w:type="dxa"/>
            <w:vAlign w:val="bottom"/>
            <w:gridSpan w:val="2"/>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144,284</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134,743</w:t>
            </w: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9,541</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3,278</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3,516</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486,398</w:t>
            </w: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474,211</w:t>
            </w:r>
          </w:p>
        </w:tc>
        <w:tc>
          <w:tcPr>
            <w:tcW w:w="2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64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Includes international sales of:</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127,246</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142,901</w:t>
            </w:r>
          </w:p>
        </w:tc>
        <w:tc>
          <w:tcPr>
            <w:tcW w:w="500" w:type="dxa"/>
            <w:vAlign w:val="bottom"/>
          </w:tcPr>
          <w:p>
            <w:pPr>
              <w:jc w:val="right"/>
              <w:ind w:right="338"/>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(15,655)</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segment earnings (loss) before income taxes: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January 29,</w:t>
            </w:r>
          </w:p>
        </w:tc>
        <w:tc>
          <w:tcPr>
            <w:tcW w:w="200" w:type="dxa"/>
            <w:vAlign w:val="bottom"/>
          </w:tcPr>
          <w:p>
            <w:pPr>
              <w:spacing w:after="0"/>
              <w:rPr>
                <w:sz w:val="10"/>
                <w:szCs w:val="10"/>
                <w:color w:val="auto"/>
              </w:rPr>
            </w:pPr>
          </w:p>
        </w:tc>
        <w:tc>
          <w:tcPr>
            <w:tcW w:w="1440" w:type="dxa"/>
            <w:vAlign w:val="bottom"/>
            <w:gridSpan w:val="2"/>
          </w:tcPr>
          <w:p>
            <w:pPr>
              <w:jc w:val="right"/>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240" w:type="dxa"/>
            <w:vAlign w:val="bottom"/>
          </w:tcPr>
          <w:p>
            <w:pPr>
              <w:spacing w:after="0"/>
              <w:rPr>
                <w:sz w:val="10"/>
                <w:szCs w:val="10"/>
                <w:color w:val="auto"/>
              </w:rPr>
            </w:pPr>
          </w:p>
        </w:tc>
        <w:tc>
          <w:tcPr>
            <w:tcW w:w="112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vMerge w:val="restart"/>
          </w:tcPr>
          <w:p>
            <w:pPr>
              <w:spacing w:after="0"/>
              <w:rPr>
                <w:sz w:val="10"/>
                <w:szCs w:val="10"/>
                <w:color w:val="auto"/>
              </w:rPr>
            </w:pPr>
          </w:p>
        </w:tc>
        <w:tc>
          <w:tcPr>
            <w:tcW w:w="13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vMerge w:val="continue"/>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8"/>
              </w:rPr>
              <w:t>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16,739</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13,727</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3,012</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(24,634)</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(27,413)</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2,779</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53,697</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41,973</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280" w:type="dxa"/>
            <w:vAlign w:val="bottom"/>
          </w:tcPr>
          <w:p>
            <w:pPr>
              <w:spacing w:after="0"/>
              <w:rPr>
                <w:sz w:val="18"/>
                <w:szCs w:val="18"/>
                <w:color w:val="auto"/>
              </w:rPr>
            </w:pP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w w:val="98"/>
              </w:rPr>
              <w:t>27.9%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60"/>
          </w:cols>
          <w:pgMar w:left="240" w:top="121" w:right="199" w:bottom="0" w:gutter="0" w:footer="0" w:header="0"/>
        </w:sectPr>
      </w:pPr>
    </w:p>
    <w:bookmarkStart w:id="13" w:name="page14"/>
    <w:bookmarkEnd w:id="13"/>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Net Sales</w:t>
      </w:r>
      <w:r>
        <w:rPr>
          <w:rFonts w:ascii="Times New Roman" w:cs="Times New Roman" w:eastAsia="Times New Roman" w:hAnsi="Times New Roman"/>
          <w:sz w:val="18"/>
          <w:szCs w:val="18"/>
          <w:color w:val="auto"/>
        </w:rPr>
        <w:t>. Worldwide net sales for the professional segment in the first quarter of fiscal 2016 were slightly down 0.3 percent compared to the first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2015 mainly due to unfavorable foreign currency exchange rates fluctuations, which was also the main contributing factor for a decline in international sales of golf and grounds equipment for the first quarter comparison. Sales of BOSS products decreased for the first quarter of fiscal 2016 compared to the first quarter of fiscal 2015 due to a lack of snow fall in key markets in the first quarter of fiscal 2016. Partially offsetting these negative factors for professional segment net sales for the first quarter comparison were higher sales of landscape contractor equipment due primarily to continued growth and demand for our innovative product offerings and newly introduced products as contractors continued to invest in equipment for the upcoming spring and summer season. Sales of specialty construction equipment products were also up for the first quarter of fiscal 2016 compared to the same period last fiscal year due primarily to demand for our new product offerings and continued growth of the rental market. Field inventory levels of professional segment products were higher as of the end of the first quarter of fiscal 2016 compared to the end of the first quarter of fiscal 2015 due primarily to strong preseason shipments of landscape contractor equipment in anticipation of retail demand in fiscal 2016.</w:t>
      </w:r>
    </w:p>
    <w:p>
      <w:pPr>
        <w:spacing w:after="0" w:line="18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Operating Earnings.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earnings for the professional segment were $61.6 million in the first quarter of fiscal 2016 compared to $55.7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quarter of fiscal 2015, an increase of 10.7 percent. Expressed as a percentage of net sales, professional segment operating margin increased to 18.2 percent in the first quarter of fiscal 2016 compared to 16.4 percent in the first quarter of fiscal 2015. These profit increases in operating earnings and margin were driven by higher gross margins in the first quarter of fiscal 2016 compared to the same period last fiscal year mainly due to the purchase accounting impact of the incremental charge for the sale of inventory that was written-up to fair value related to the acquisition of the BOSS business in fiscal 2015 that was not repeated this fiscal quarter, productivity improvements, lower commodity prices, and improved price realization, slightly offset by unfavorable foreign currency exchange rate fluctuations. SG&amp;A expense as a percentage of net sales increased due to higher fixed SG&amp;A costs over flat sales volumes.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Net Sales</w:t>
      </w:r>
      <w:r>
        <w:rPr>
          <w:rFonts w:ascii="Times New Roman" w:cs="Times New Roman" w:eastAsia="Times New Roman" w:hAnsi="Times New Roman"/>
          <w:sz w:val="18"/>
          <w:szCs w:val="18"/>
          <w:color w:val="auto"/>
        </w:rPr>
        <w:t>. Worldwide net sales for the residential segment in the first quarter of fiscal 2016 were up 7.1 percent compared to the first quarter of fiscal 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sales increase was primarily attributable to higher preseason shipments of zero-turn radius riding mowers along with improved product availability after production delays from supply inefficiencies that negatively impacted sales in fiscal 2015 and such production delays were not repeated in fiscal 2016. Partially offsetting the increase was lower sales of snow thrower products due to a lack of snow fall in key markets during the first quarter of fiscal 2016. Lower shipments of walk power mowers and unfavorable currency exchange rates also dampened the residential segment sales increase in the first quarter of fiscal 2016 compared to the same period last fiscal year. Field inventory levels of residential segment products were up as of the end of the first quarter of fiscal 2016 compared to the end of the first quarter of fiscal 2015 due to strong preseason demand for zero-turn radius riding mowers from improved product availability and influenced, in part, by last year’s supply inefficiencies, as well as higher inventory levels of snow throwers.</w:t>
      </w:r>
    </w:p>
    <w:p>
      <w:pPr>
        <w:spacing w:after="0" w:line="1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Operating Earnings.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earnings for the residential segment were $16.7 million in the first quarter of fiscal 2016 compared to $13.7 million in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fiscal 2015, an increase of 21.9 percent. Expressed as a percentage of net sales, residential segment operating margins increased to 11.6 percent in the first quarter of fiscal 2016 compared to 10.2 percent in the first quarter of fiscal 2015. These increases in operating earnings and margin were primarily attributable to gross profit increases from lower commodity prices and freight costs, slightly offset by unfavorable changes in foreign currency exchange rates. Leveraging SG&amp;A costs over higher sales volumes also contributed to the improvement in operating earnings and margin for the residential segment.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Net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sales for the other segment include sales from our wholly owned domestic distribution companies less sales from the professional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residential segments to those distribution companies. The other segment net sales increased $3.5 million for the first quarter of fiscal 2016 compared to the first quarter of fiscal 2015 due to a decrease in sales that are eliminated for shipments to our company-owned distribution companies as a result of the sale of our Northwestern U.S. distribution company in the first quarter of fiscal 2016.</w:t>
      </w:r>
    </w:p>
    <w:p>
      <w:pPr>
        <w:spacing w:after="0" w:line="18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Operating Loss</w:t>
      </w:r>
      <w:r>
        <w:rPr>
          <w:rFonts w:ascii="Times New Roman" w:cs="Times New Roman" w:eastAsia="Times New Roman" w:hAnsi="Times New Roman"/>
          <w:sz w:val="18"/>
          <w:szCs w:val="18"/>
          <w:color w:val="auto"/>
        </w:rPr>
        <w:t>. Operating loss for the other segment was down by $2.8 million, or 10.1 percent, for the first quarter of fiscal 2016 compared to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fiscal 2015. The lower operating loss was primarily attributable to recovery from a litigation settlement, higher earnings from our equity investment in Red Iron, and a gain on the sale of our Northwestern U.S. distribution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the remainder of fiscal 2016, we plan to place an increased emphasis on improving asset utilization with a focus on reducing the amount of working capital in the supply chain, adjusting production plans, and maintaining or improving order replenishment and service levels to end users. Our average net working capital as a percentage of net sales for the twelve months ended January 29, 2016 was 16.4 percent compared to 15.5 percent for the twelve months ended January 30, 2015.</w:t>
      </w:r>
    </w:p>
    <w:p>
      <w:pPr>
        <w:spacing w:after="0" w:line="180" w:lineRule="exact"/>
        <w:rPr>
          <w:sz w:val="20"/>
          <w:szCs w:val="20"/>
          <w:color w:val="auto"/>
        </w:rPr>
      </w:pPr>
    </w:p>
    <w:p>
      <w:pPr>
        <w:ind w:right="40" w:firstLine="230"/>
        <w:spacing w:after="0" w:line="255" w:lineRule="auto"/>
        <w:rPr>
          <w:sz w:val="20"/>
          <w:szCs w:val="20"/>
          <w:color w:val="auto"/>
        </w:rPr>
      </w:pPr>
      <w:r>
        <w:rPr>
          <w:rFonts w:ascii="Times New Roman" w:cs="Times New Roman" w:eastAsia="Times New Roman" w:hAnsi="Times New Roman"/>
          <w:sz w:val="18"/>
          <w:szCs w:val="18"/>
          <w:color w:val="auto"/>
        </w:rPr>
        <w:t>Inventory levels were up $57.6 million, or 15.8 percent, as of the end of the first quarter of fiscal 2016 compared to the end of the first quarter of fiscal 2015 due primarily to higher snow thrower and BOSS inventory levels from unfavorable weather conditions. Residential riding products and landscape contractor equipment inventory levels were also up due primarily to the timing of production in anticipation of strong demand this fiscal year. Receivables as of the end of the first quarter of fiscal 2016 decreased $15.0 million, or 7.3 percent, compared to the end of the first quarter of fiscal 2015 as a result of additional customers financing receivables with Red Iron. Our average days sales outstanding for receivables decreased to 33.4 days based on sales for the last twelve months ended January 29, 2016, compared to 34.8 days for the twelve months ended January 30, 2015. In addition, accounts payable increased as of the end of our first quarter of fiscal 2016 compared to the end of the first quarter of fiscal 2015, by $15.6 million, or 8.0 percent due to increased purchases of components.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7"/>
          <w:szCs w:val="17"/>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w:t>
      </w:r>
    </w:p>
    <w:p>
      <w:pPr>
        <w:sectPr>
          <w:pgSz w:w="11900" w:h="16889" w:orient="portrait"/>
          <w:cols w:equalWidth="0" w:num="1">
            <w:col w:w="11400"/>
          </w:cols>
          <w:pgMar w:left="240" w:top="117" w:right="259" w:bottom="0" w:gutter="0" w:footer="0" w:header="0"/>
        </w:sectPr>
      </w:pPr>
    </w:p>
    <w:bookmarkStart w:id="14" w:name="page15"/>
    <w:bookmarkEnd w:id="14"/>
    <w:p>
      <w:pPr>
        <w:spacing w:after="0" w:line="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financing receivables from customers that are not financed with Red Iron. We believe that anticipated cash generated from operations, together with our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w:t>
      </w:r>
    </w:p>
    <w:p>
      <w:pPr>
        <w:spacing w:after="0" w:line="184" w:lineRule="exact"/>
        <w:rPr>
          <w:sz w:val="20"/>
          <w:szCs w:val="20"/>
          <w:color w:val="auto"/>
        </w:rPr>
      </w:pPr>
    </w:p>
    <w:p>
      <w:pPr>
        <w:ind w:right="400" w:firstLine="230"/>
        <w:spacing w:after="0" w:line="282" w:lineRule="auto"/>
        <w:rPr>
          <w:sz w:val="20"/>
          <w:szCs w:val="20"/>
          <w:color w:val="auto"/>
        </w:rPr>
      </w:pPr>
      <w:r>
        <w:rPr>
          <w:rFonts w:ascii="Times New Roman" w:cs="Times New Roman" w:eastAsia="Times New Roman" w:hAnsi="Times New Roman"/>
          <w:sz w:val="18"/>
          <w:szCs w:val="18"/>
          <w:color w:val="auto"/>
        </w:rPr>
        <w:t>Our Board of Directors approved a cash dividend of $0.30 per share for the first quarter of fiscal 2016 that was paid on January 11, 2016. This was an increase of 20 percent over our cash dividend of $0.25 per share for the first quarter of fiscal 2015.</w:t>
      </w:r>
    </w:p>
    <w:p>
      <w:pPr>
        <w:spacing w:after="0" w:line="1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Cash 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historically have used more operating cash in the first quarter compared to other fiscal quarters due to the seasonality of our business.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by operating activities for the first three months of fiscal 2016 was $1.2 million compared to cash used in operating activities in the first three months of fiscal 2015 of $23.4 million, an improvement of $24.6 million. This change was due mainly to a decrease in accounts receivable and higher net earnings, partially offset by a higher increase in inventory levels for the first quarter comparison. Cash used in investing activities for the first quarter of fiscal 2016 decreased $199.9 million compared to the first quarter of fiscal 2015 due to cash utilized for the acquisition of the BOSS business in the first quarter of fiscal 2015. Cash provided by financing activities for the first quarter of fiscal 2016 decreased $2.2 million compared to the first quarter of fiscal 2015 as a result of repayments of long-term debt and an increase in cash utilized for share repurchases, partially offset by additional borrowings of short-term debt.</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Credit Lines and Other Capital Resources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businesses are seasonal, with accounts receivable balances historically increasing between January and April,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typically higher sales volumes and extended payment terms made available to our customers, and typically decreasing between May and December when payments are received. The seasonality of production and shipments causes our working capital requirements to fluctuate during the year. Seasonal cash requirements are financed from operations, cash on hand, and with short-term financing arrangements, including our $150.0 million unsecured senior five-year revolving credit facility that expires in October 2019. Included in our $150.0 million revolving credit facility is a $20.0 million sublimit for standby letters of credit and a $20.0 million sublimit for swingline loans. At our election, and with the approval of the named borrowers on the revolving credit facility, the aggregate maximum principal amount available under the facility may be increased by an amount up to $100.0 million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In addition, our non-U.S. operations maintain short-term lines of credit in the aggregate amount of approximately $10.9 million. These facilities bear interest at various rates depending on the rates in their respective countries of operation. As of January 29, 2016, we had $52.9 million outstanding short-term debt under these lines of credit compared to $47.0 million outstanding short-term debt as of January 30, 2015. As of January 29, 2016, we had $11.4 million of outstanding letters of credit and $96.6 million of unutilized availability under our credit agreements.</w:t>
      </w:r>
    </w:p>
    <w:p>
      <w:pPr>
        <w:spacing w:after="0" w:line="189" w:lineRule="exact"/>
        <w:rPr>
          <w:sz w:val="20"/>
          <w:szCs w:val="20"/>
          <w:color w:val="auto"/>
        </w:rPr>
      </w:pPr>
    </w:p>
    <w:p>
      <w:pPr>
        <w:ind w:right="740" w:firstLine="230"/>
        <w:spacing w:after="0" w:line="282" w:lineRule="auto"/>
        <w:rPr>
          <w:sz w:val="20"/>
          <w:szCs w:val="20"/>
          <w:color w:val="auto"/>
        </w:rPr>
      </w:pPr>
      <w:r>
        <w:rPr>
          <w:rFonts w:ascii="Times New Roman" w:cs="Times New Roman" w:eastAsia="Times New Roman" w:hAnsi="Times New Roman"/>
          <w:sz w:val="18"/>
          <w:szCs w:val="18"/>
          <w:color w:val="auto"/>
        </w:rPr>
        <w:t>As of January 29, 2016, we had $364.5 million outstanding in long-term debt that includes $100.0 million in aggregate principal amount of 7.8% debentures due June 15, 2027, $125.0 million in aggregate principal amount of 6.625% senior notes due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May 1, 2037, and a $120.3 million term loan. The term loan bears interest based on a LIBOR rate (or other rates quoted by the Administrative Agent, Bank of America, N.A.) plus a basis point spread defined in the credit agreement. The term loan can be repaid in part or in full at any time without penalty, but in any event must be paid in full by October 2019. We also have outstanding $20.0 million in aggregate principal note to the former owners of the BOSS business.</w:t>
      </w:r>
    </w:p>
    <w:p>
      <w:pPr>
        <w:spacing w:after="0" w:line="176" w:lineRule="exact"/>
        <w:rPr>
          <w:sz w:val="20"/>
          <w:szCs w:val="20"/>
          <w:color w:val="auto"/>
        </w:rPr>
      </w:pPr>
    </w:p>
    <w:p>
      <w:pPr>
        <w:ind w:firstLine="230"/>
        <w:spacing w:after="0" w:line="265" w:lineRule="auto"/>
        <w:rPr>
          <w:sz w:val="20"/>
          <w:szCs w:val="20"/>
          <w:color w:val="auto"/>
        </w:rPr>
      </w:pPr>
      <w:r>
        <w:rPr>
          <w:rFonts w:ascii="Times New Roman" w:cs="Times New Roman" w:eastAsia="Times New Roman" w:hAnsi="Times New Roman"/>
          <w:sz w:val="18"/>
          <w:szCs w:val="18"/>
          <w:color w:val="auto"/>
        </w:rPr>
        <w:t xml:space="preserve">Our revolving and term loan credit facility contains standard covenants, including, without limitation, financial covenants, such as the maintenance of minimum interest coverage </w:t>
      </w:r>
      <w:r>
        <w:rPr>
          <w:rFonts w:ascii="Times New Roman" w:cs="Times New Roman" w:eastAsia="Times New Roman" w:hAnsi="Times New Roman"/>
          <w:sz w:val="17"/>
          <w:szCs w:val="17"/>
          <w:color w:val="auto"/>
        </w:rPr>
        <w:t>and maximum debt to earnings ratios; and negative covenants, which among other things, limit loans and investments,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in the amount for payments of cash dividends and stock repurchases as long as our debt to earnings before interest, taxes, depreciation, and amortization (“EBITDA”) ratio from the previous quarter compliance certificate is less than or equal to 3.25, provided that immediately after giving effect of any such proposed action, no default or event of default would exist. As of January 29, 2016, we were not limited in the amount for payments of cash dividends and stock repurchases. We were in compliance with all covenants related to our credit agreement for our revolving credit facility as of January 29, 2016, and we expect to be in compliance with all covenants during the remainder of fiscal 2016. If we were out of compliance with any debt covenant required by this credit agreement following the applicable cure period, the banks could terminate their commitments unless we could negotiate a covenant waiver from the banks. In addition, our long-term senior notes, debentures, term loan, and any amounts outstanding under the revolving credit facility could become due and payable if we were unable to obtain a covenant waiver or refinance our short-term debt under our credit agreement. If our credit rating falls below investment grade and/or our average debt to EBITDA ratio rises above 1.50, the basis point spread over LIBOR (or other rates quoted by the Administrative Agent, Bank of America, N.A.) we currently pay on outstanding debt under the credit agreement would increase. However, the credit commitment could not be cancelled by the banks based solely on a ratings downgrade. Our debt rating for long-term unsecured senior, non-credit enhanced debt was unchanged during the first quarter of fiscal 2016 by Standard and Poor’s Ratings Group at BBB and by Moody’s Investors Service at Baa3.</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Financing Arrangements and Contractual Obligations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Red Iron joint venture with TCFIF provides inventory financing, including floor plan and open accounts receivable financing, to distributors and dealers of our products in the U.S. and to select distributors of our products in Canada to enable our distributors and dealers to carry representative inventories of our products. Some independent international dealers continue to finance their products with a third party finance company. This third party financing company purchased $8.1 million of receivables from us during the first quarter of fiscal 2016. As of January 29, 2016, $11.8 million of receivables financed by a third party financing company, excluding Red Iron, were outstanding. See our most recently filed Annual Report on Form 10-K for further details regarding our customer financing arrangements and contractual obligations.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are subject to the effects of inflation, deflation, and changing prices. In the first quarter of fiscal 2016, average prices paid for commodities and components we purchase were slightly lower compared to the average prices paid in the first quarter of fiscal 2015. We intend to continue to closely follow prices of commodities and components that affect our product lines, and we anticipate average prices paid for some commodities and components to be slightly lower for the remainder of fiscal 2016 as compared to fiscal 2015. Historically, we have mitigated, and we currently expect to continue to mitigate,</w:t>
      </w:r>
    </w:p>
    <w:p>
      <w:pPr>
        <w:sectPr>
          <w:pgSz w:w="11900" w:h="16848" w:orient="portrait"/>
          <w:cols w:equalWidth="0" w:num="1">
            <w:col w:w="11420"/>
          </w:cols>
          <w:pgMar w:left="240" w:top="121" w:right="239" w:bottom="0" w:gutter="0" w:footer="0" w:header="0"/>
        </w:sectPr>
      </w:pPr>
    </w:p>
    <w:bookmarkStart w:id="15" w:name="page16"/>
    <w:bookmarkEnd w:id="15"/>
    <w:p>
      <w:pPr>
        <w:ind w:right="240"/>
        <w:spacing w:after="0" w:line="282" w:lineRule="auto"/>
        <w:rPr>
          <w:sz w:val="20"/>
          <w:szCs w:val="20"/>
          <w:color w:val="auto"/>
        </w:rPr>
      </w:pPr>
      <w:r>
        <w:rPr>
          <w:rFonts w:ascii="Times New Roman" w:cs="Times New Roman" w:eastAsia="Times New Roman" w:hAnsi="Times New Roman"/>
          <w:sz w:val="18"/>
          <w:szCs w:val="18"/>
          <w:color w:val="auto"/>
        </w:rPr>
        <w:t>commodity price increases, in part, by collaborating with suppliers, reviewing alternative sourcing options, substituting materials, engaging in internal cost reduction efforts, and increasing prices on some of our products, all as 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our most recent Annual Report on Form 10-K for the fiscal year ended October 31, 2015 for a discussion of our critical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to be Adopted</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No.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that updates the principles for recognizing revenue. The core principle of the guidance is that an entity should recognize revenue to depict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transfer of promised goods or services to customers in an amount that reflects the consideration to which the entity expects to be entitled to in exchange for those goods or services. The guidance provides a five-step analysis of transactions to determine when and how revenue is recognized. The guidance also requires enhanced disclosures regarding the nature, amount, timing, and uncertainty of revenue and cash flows arising from an entity’s contracts with customers. In August 2015, the FASB issued ASU No. 2015-14,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which deferred the effective date of this standard by one year. We expect to adopt this guidance on November 1, 2018, as required, based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the new effective date. The guidance permits the use of either a retrospective or cumulative effect transition method. We have not yet selected a transition method and are currently evaluating the impact of the amended guidance on our existing revenue recognition policies and procedures.</w:t>
      </w:r>
    </w:p>
    <w:p>
      <w:pPr>
        <w:spacing w:after="0" w:line="160" w:lineRule="exact"/>
        <w:rPr>
          <w:sz w:val="20"/>
          <w:szCs w:val="20"/>
          <w:color w:val="auto"/>
        </w:rPr>
      </w:pPr>
    </w:p>
    <w:p>
      <w:pPr>
        <w:ind w:right="120" w:firstLine="230"/>
        <w:spacing w:after="0" w:line="267" w:lineRule="auto"/>
        <w:rPr>
          <w:sz w:val="20"/>
          <w:szCs w:val="20"/>
          <w:color w:val="auto"/>
        </w:rPr>
      </w:pPr>
      <w:r>
        <w:rPr>
          <w:rFonts w:ascii="Times New Roman" w:cs="Times New Roman" w:eastAsia="Times New Roman" w:hAnsi="Times New Roman"/>
          <w:sz w:val="18"/>
          <w:szCs w:val="18"/>
          <w:color w:val="auto"/>
        </w:rPr>
        <w:t xml:space="preserve">In February 2015, the FASB issued ASU No. 2015-02, </w:t>
      </w:r>
      <w:r>
        <w:rPr>
          <w:rFonts w:ascii="Times New Roman" w:cs="Times New Roman" w:eastAsia="Times New Roman" w:hAnsi="Times New Roman"/>
          <w:sz w:val="18"/>
          <w:szCs w:val="18"/>
          <w:i w:val="1"/>
          <w:iCs w:val="1"/>
          <w:color w:val="auto"/>
        </w:rPr>
        <w:t>Consolidation (Topic 810)</w:t>
      </w:r>
      <w:r>
        <w:rPr>
          <w:rFonts w:ascii="Times New Roman" w:cs="Times New Roman" w:eastAsia="Times New Roman" w:hAnsi="Times New Roman"/>
          <w:sz w:val="18"/>
          <w:szCs w:val="18"/>
          <w:color w:val="auto"/>
        </w:rPr>
        <w:t>, which amends certain requirements for determining whether a variable interest entity must be consolidated. The amended guidance will become effective for us commencing in the first quarter of fiscal 2017. Early adoption is permitted. We anticipate the adoption of this guidance will not have a material impact on our consolidated financial position.</w:t>
      </w:r>
    </w:p>
    <w:p>
      <w:pPr>
        <w:spacing w:after="0" w:line="174" w:lineRule="exact"/>
        <w:rPr>
          <w:sz w:val="20"/>
          <w:szCs w:val="20"/>
          <w:color w:val="auto"/>
        </w:rPr>
      </w:pPr>
    </w:p>
    <w:p>
      <w:pPr>
        <w:ind w:right="320" w:firstLine="230"/>
        <w:spacing w:after="0" w:line="261" w:lineRule="auto"/>
        <w:rPr>
          <w:sz w:val="20"/>
          <w:szCs w:val="20"/>
          <w:color w:val="auto"/>
        </w:rPr>
      </w:pPr>
      <w:r>
        <w:rPr>
          <w:rFonts w:ascii="Times New Roman" w:cs="Times New Roman" w:eastAsia="Times New Roman" w:hAnsi="Times New Roman"/>
          <w:sz w:val="18"/>
          <w:szCs w:val="18"/>
          <w:color w:val="auto"/>
        </w:rPr>
        <w:t xml:space="preserve">In April 2015, the FASB issued ASU No. 2015-03, </w:t>
      </w:r>
      <w:r>
        <w:rPr>
          <w:rFonts w:ascii="Times New Roman" w:cs="Times New Roman" w:eastAsia="Times New Roman" w:hAnsi="Times New Roman"/>
          <w:sz w:val="18"/>
          <w:szCs w:val="18"/>
          <w:i w:val="1"/>
          <w:iCs w:val="1"/>
          <w:color w:val="auto"/>
        </w:rPr>
        <w:t>Interest—Imputation of Interest (Subtopic 835-30): Simplifying the Presentation of Debt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Costs</w:t>
      </w:r>
      <w:r>
        <w:rPr>
          <w:rFonts w:ascii="Times New Roman" w:cs="Times New Roman" w:eastAsia="Times New Roman" w:hAnsi="Times New Roman"/>
          <w:sz w:val="18"/>
          <w:szCs w:val="18"/>
          <w:color w:val="auto"/>
        </w:rPr>
        <w:t>. This guidance requires that debt issuance costs related to a recognized debt liability be presented in the balance sheet as a direct deduction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amount of the related debt liability. The amended guidance will become effective for us commencing in the first quarter of fiscal 2017. Early adoption is permitted. We anticipate the adoption of this guidance will not have a material impact on our consolidated financial position.</w:t>
      </w:r>
    </w:p>
    <w:p>
      <w:pPr>
        <w:spacing w:after="0" w:line="180" w:lineRule="exact"/>
        <w:rPr>
          <w:sz w:val="20"/>
          <w:szCs w:val="20"/>
          <w:color w:val="auto"/>
        </w:rPr>
      </w:pPr>
    </w:p>
    <w:p>
      <w:pPr>
        <w:ind w:firstLine="230"/>
        <w:spacing w:after="0" w:line="259" w:lineRule="auto"/>
        <w:rPr>
          <w:sz w:val="20"/>
          <w:szCs w:val="20"/>
          <w:color w:val="auto"/>
        </w:rPr>
      </w:pPr>
      <w:r>
        <w:rPr>
          <w:rFonts w:ascii="Times New Roman" w:cs="Times New Roman" w:eastAsia="Times New Roman" w:hAnsi="Times New Roman"/>
          <w:sz w:val="18"/>
          <w:szCs w:val="18"/>
          <w:color w:val="auto"/>
        </w:rPr>
        <w:t xml:space="preserve">In April 2015, the FASB issued ASU No. 2015-05, </w:t>
      </w:r>
      <w:r>
        <w:rPr>
          <w:rFonts w:ascii="Times New Roman" w:cs="Times New Roman" w:eastAsia="Times New Roman" w:hAnsi="Times New Roman"/>
          <w:sz w:val="18"/>
          <w:szCs w:val="18"/>
          <w:i w:val="1"/>
          <w:iCs w:val="1"/>
          <w:color w:val="auto"/>
        </w:rPr>
        <w:t>Customer’s Accounting for Fees Paid in a Cloud Computing Arrangement</w:t>
      </w:r>
      <w:r>
        <w:rPr>
          <w:rFonts w:ascii="Times New Roman" w:cs="Times New Roman" w:eastAsia="Times New Roman" w:hAnsi="Times New Roman"/>
          <w:sz w:val="18"/>
          <w:szCs w:val="18"/>
          <w:color w:val="auto"/>
        </w:rPr>
        <w:t>. This amended guidance requires customers to determine whether or not an arrangement contains a software license element. If the arrangement contains a software element, the related fees paid should be accounted for as an acquisition of a software license. If the arrangement does not contain a software license, it is accounted for as a service contract. The amended guidance will become effective for us commencing in the first quarter of fiscal 2017. Early adoption is permitted. We anticipate the adoption of this guidance will not have a material impact on our consolidated financial statements.</w:t>
      </w:r>
    </w:p>
    <w:p>
      <w:pPr>
        <w:spacing w:after="0" w:line="180" w:lineRule="exact"/>
        <w:rPr>
          <w:sz w:val="20"/>
          <w:szCs w:val="20"/>
          <w:color w:val="auto"/>
        </w:rPr>
      </w:pPr>
    </w:p>
    <w:p>
      <w:pPr>
        <w:ind w:right="120" w:firstLine="230"/>
        <w:spacing w:after="0" w:line="261" w:lineRule="auto"/>
        <w:rPr>
          <w:sz w:val="20"/>
          <w:szCs w:val="20"/>
          <w:color w:val="auto"/>
        </w:rPr>
      </w:pPr>
      <w:r>
        <w:rPr>
          <w:rFonts w:ascii="Times New Roman" w:cs="Times New Roman" w:eastAsia="Times New Roman" w:hAnsi="Times New Roman"/>
          <w:sz w:val="18"/>
          <w:szCs w:val="18"/>
          <w:color w:val="auto"/>
        </w:rPr>
        <w:t>In July 2015, the FASB issued ASU No. 2015-11</w:t>
      </w:r>
      <w:r>
        <w:rPr>
          <w:rFonts w:ascii="Times New Roman" w:cs="Times New Roman" w:eastAsia="Times New Roman" w:hAnsi="Times New Roman"/>
          <w:sz w:val="18"/>
          <w:szCs w:val="18"/>
          <w:i w:val="1"/>
          <w:iCs w:val="1"/>
          <w:color w:val="auto"/>
        </w:rPr>
        <w:t>, Inventory (Topic 330): Simplifying the Measurement of Inventory</w:t>
      </w:r>
      <w:r>
        <w:rPr>
          <w:rFonts w:ascii="Times New Roman" w:cs="Times New Roman" w:eastAsia="Times New Roman" w:hAnsi="Times New Roman"/>
          <w:sz w:val="18"/>
          <w:szCs w:val="18"/>
          <w:color w:val="auto"/>
        </w:rPr>
        <w:t>. This amended guidance changes the measurement principle for inventory from the lower of cost or market to lower of cost and net realizable value. The amended guidance will become effective for us commencing in the first quarter of fiscal 2018. Early adoption is permitted. We are currently evaluating the impact of this amended guidance on our consolidated financial statements.</w:t>
      </w:r>
    </w:p>
    <w:p>
      <w:pPr>
        <w:spacing w:after="0" w:line="180" w:lineRule="exact"/>
        <w:rPr>
          <w:sz w:val="20"/>
          <w:szCs w:val="20"/>
          <w:color w:val="auto"/>
        </w:rPr>
      </w:pPr>
    </w:p>
    <w:p>
      <w:pPr>
        <w:ind w:right="240" w:firstLine="230"/>
        <w:spacing w:after="0" w:line="261" w:lineRule="auto"/>
        <w:rPr>
          <w:sz w:val="20"/>
          <w:szCs w:val="20"/>
          <w:color w:val="auto"/>
        </w:rPr>
      </w:pPr>
      <w:r>
        <w:rPr>
          <w:rFonts w:ascii="Times New Roman" w:cs="Times New Roman" w:eastAsia="Times New Roman" w:hAnsi="Times New Roman"/>
          <w:sz w:val="18"/>
          <w:szCs w:val="18"/>
          <w:color w:val="auto"/>
        </w:rPr>
        <w:t>In November 2015, the FASB issued ASU No. 2015-17</w:t>
      </w:r>
      <w:r>
        <w:rPr>
          <w:rFonts w:ascii="Times New Roman" w:cs="Times New Roman" w:eastAsia="Times New Roman" w:hAnsi="Times New Roman"/>
          <w:sz w:val="18"/>
          <w:szCs w:val="18"/>
          <w:i w:val="1"/>
          <w:iCs w:val="1"/>
          <w:color w:val="auto"/>
        </w:rPr>
        <w:t>, Income Taxes (Topic 740): Balance Sheet Classification of Deferred Taxes</w:t>
      </w:r>
      <w:r>
        <w:rPr>
          <w:rFonts w:ascii="Times New Roman" w:cs="Times New Roman" w:eastAsia="Times New Roman" w:hAnsi="Times New Roman"/>
          <w:sz w:val="18"/>
          <w:szCs w:val="18"/>
          <w:color w:val="auto"/>
        </w:rPr>
        <w:t>. This amended guidance requires an entity to present deferred tax assets and liabilities as noncurrent in the statement of financial position. The amended guidance will become effective for us commencing in the first quarter of fiscal 2018. Early adoption is permitted. We are currently evaluating the impact of this amended guidance on our consolidated financial statements.</w:t>
      </w:r>
    </w:p>
    <w:p>
      <w:pPr>
        <w:spacing w:after="0" w:line="182" w:lineRule="exact"/>
        <w:rPr>
          <w:sz w:val="20"/>
          <w:szCs w:val="20"/>
          <w:color w:val="auto"/>
        </w:rPr>
      </w:pPr>
    </w:p>
    <w:p>
      <w:pPr>
        <w:ind w:right="160" w:firstLine="230"/>
        <w:spacing w:after="0" w:line="282" w:lineRule="auto"/>
        <w:rPr>
          <w:sz w:val="20"/>
          <w:szCs w:val="20"/>
          <w:color w:val="auto"/>
        </w:rPr>
      </w:pPr>
      <w:r>
        <w:rPr>
          <w:rFonts w:ascii="Times New Roman" w:cs="Times New Roman" w:eastAsia="Times New Roman" w:hAnsi="Times New Roman"/>
          <w:sz w:val="18"/>
          <w:szCs w:val="18"/>
          <w:color w:val="auto"/>
        </w:rPr>
        <w:t>No new accounting pronouncement that has been issued but not yet effective for us during the first quarter of fiscal 2016 has had or is expected to have a material impact on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not only historical information, but also forward-looking statements within the meaning of Section 27A of the Securities Act of 1933, as amended (“Securities Act”), and Section 21E under the Securities Exchange Act of 1934, as amended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and similar expressions or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188" w:lineRule="exact"/>
        <w:rPr>
          <w:sz w:val="20"/>
          <w:szCs w:val="20"/>
          <w:color w:val="auto"/>
        </w:rPr>
      </w:pPr>
    </w:p>
    <w:p>
      <w:pPr>
        <w:jc w:val="both"/>
        <w:ind w:right="120"/>
        <w:spacing w:after="0" w:line="313" w:lineRule="auto"/>
        <w:rPr>
          <w:sz w:val="20"/>
          <w:szCs w:val="20"/>
          <w:color w:val="auto"/>
        </w:rPr>
      </w:pPr>
      <w:r>
        <w:rPr>
          <w:rFonts w:ascii="Times New Roman" w:cs="Times New Roman" w:eastAsia="Times New Roman" w:hAnsi="Times New Roman"/>
          <w:sz w:val="17"/>
          <w:szCs w:val="17"/>
          <w:color w:val="auto"/>
        </w:rPr>
        <w:t>Forward-looking statements involve risks and uncertainties that could cause actual results to differ materially from those projected or implied. The following are some of the factors known to us that could cause our actual results to differ materially from what we have anticipated in our forward-looking statements:</w:t>
      </w:r>
    </w:p>
    <w:p>
      <w:pPr>
        <w:spacing w:after="0" w:line="138" w:lineRule="exact"/>
        <w:rPr>
          <w:sz w:val="20"/>
          <w:szCs w:val="20"/>
          <w:color w:val="auto"/>
        </w:rPr>
      </w:pPr>
    </w:p>
    <w:p>
      <w:pPr>
        <w:ind w:left="260" w:right="80" w:hanging="252"/>
        <w:spacing w:after="0" w:line="255" w:lineRule="auto"/>
        <w:tabs>
          <w:tab w:leader="none" w:pos="2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and outlook in the United States and in other countries in which we conduct business could adversely affect our net sales and earnings, which include but are not limited to recessionary conditions; slow or negative economic growth rates; the impact of U.S. federal debt,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resulting from tax increases or other factors; prolonged high unemployment rates; higher commodity and component costs and fuel prices; inflationary or deflationary pressures; reduced credit availability or unfavorable credit terms for our distributors, dealers, and end-user customers; higher short-term, mortgage, and other interest rates; and general economic and political conditions and expectations.</w:t>
      </w:r>
    </w:p>
    <w:p>
      <w:pPr>
        <w:sectPr>
          <w:pgSz w:w="11900" w:h="16838" w:orient="portrait"/>
          <w:cols w:equalWidth="0" w:num="1">
            <w:col w:w="11420"/>
          </w:cols>
          <w:pgMar w:left="240" w:top="121" w:right="239" w:bottom="0" w:gutter="0" w:footer="0" w:header="0"/>
        </w:sectPr>
      </w:pPr>
    </w:p>
    <w:bookmarkStart w:id="16" w:name="page17"/>
    <w:bookmarkEnd w:id="16"/>
    <w:p>
      <w:pPr>
        <w:spacing w:after="0" w:line="99" w:lineRule="exact"/>
        <w:rPr>
          <w:sz w:val="20"/>
          <w:szCs w:val="20"/>
          <w:color w:val="auto"/>
        </w:rPr>
      </w:pPr>
    </w:p>
    <w:p>
      <w:pPr>
        <w:jc w:val="both"/>
        <w:ind w:left="260" w:right="260" w:hanging="252"/>
        <w:spacing w:after="0" w:line="266"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including unfavorable weather conditions exacerbated by global climate changes or otherwise, may reduce demand for some of our products and adversely affect our net sales and operating results, or may affect the timing of demand for some of our products and may adversely affect net sales and operating results in subsequent periods.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260" w:right="40" w:hanging="252"/>
        <w:spacing w:after="0" w:line="261"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have already affected our operating results and could continue to result in declines in our reported net sales and net earnings.</w:t>
      </w:r>
    </w:p>
    <w:p>
      <w:pPr>
        <w:jc w:val="both"/>
        <w:ind w:left="260" w:right="220" w:hanging="252"/>
        <w:spacing w:after="0" w:line="250"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or disruption in the availability, of raw materials, components, and parts containing various commodities that we purchase, such as steel, aluminum, petroleum and natural gas-based resins, linerboard, copper, lead, rubber, engines, transmissions, transaxles, hydraulics, electric motors, and other commodities and components, and increases in our other costs of doing business, such as transportation costs.</w:t>
      </w:r>
    </w:p>
    <w:p>
      <w:pPr>
        <w:spacing w:after="0" w:line="1" w:lineRule="exact"/>
        <w:rPr>
          <w:rFonts w:ascii="Times New Roman" w:cs="Times New Roman" w:eastAsia="Times New Roman" w:hAnsi="Times New Roman"/>
          <w:sz w:val="18"/>
          <w:szCs w:val="18"/>
          <w:color w:val="auto"/>
        </w:rPr>
      </w:pPr>
    </w:p>
    <w:p>
      <w:pPr>
        <w:ind w:left="260" w:right="80" w:hanging="252"/>
        <w:spacing w:after="0" w:line="250"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professional segment net sales are dependent upon certain factors, including golf course revenues and the amount of investment in golf course renovations and improvements; the level of new golf course development and golf course closures; the level of homeowners who outsource their lawn care; the level of residential and commercial construction; continued acceptance of and demand for micro-irrigation solutions for agricultural markets; the integration of the BOSS business into our professional segment; demand for our products in the rental and specialty construction market; availability of cash or credit to professional segment customers on acceptable terms to finance new product purchases; and the amount of government revenues, budget, and spending levels for grounds maintenance equipment.</w:t>
      </w:r>
    </w:p>
    <w:p>
      <w:pPr>
        <w:spacing w:after="0" w:line="2" w:lineRule="exact"/>
        <w:rPr>
          <w:rFonts w:ascii="Times New Roman" w:cs="Times New Roman" w:eastAsia="Times New Roman" w:hAnsi="Times New Roman"/>
          <w:sz w:val="18"/>
          <w:szCs w:val="18"/>
          <w:color w:val="auto"/>
        </w:rPr>
      </w:pPr>
    </w:p>
    <w:p>
      <w:pPr>
        <w:ind w:left="260" w:right="480" w:hanging="252"/>
        <w:spacing w:after="0" w:line="265" w:lineRule="auto"/>
        <w:tabs>
          <w:tab w:leader="none" w:pos="22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residential segment net sales are dependent upon consumers buying our products at dealers, mass retailers, and home centers, such as The Home Depot, Inc., the amount of product placement at retailers, consumer confidence and spending levels, and changing buying patterns of customers.</w:t>
      </w:r>
    </w:p>
    <w:p>
      <w:pPr>
        <w:ind w:left="260" w:right="220" w:hanging="252"/>
        <w:spacing w:after="0" w:line="250"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 impact our financial performance, including profit margins and net earnings, as our professional segment products generally have higher profit margins than our residential segment products.</w:t>
      </w:r>
    </w:p>
    <w:p>
      <w:pPr>
        <w:ind w:left="260" w:right="160" w:hanging="252"/>
        <w:spacing w:after="0" w:line="265" w:lineRule="auto"/>
        <w:tabs>
          <w:tab w:leader="none" w:pos="22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intend to grow our business in part through acquisitions and alliances, stronger customer relations, and new joint ventures and partnerships, all of which are risky and could harm our business, particularly if we are not able to successfully integrate such acquisitions and alliances, joint ventures, and partnerships. If previous or future acquisitions do not produce the expected results or integration into our operations takes more time than expected, our business could be harmed. We cannot guarantee previous or future acquisitions, alliances, joint ventures or partnerships will in fact produce any benefits.</w:t>
      </w:r>
    </w:p>
    <w:p>
      <w:pPr>
        <w:ind w:left="260" w:right="20" w:hanging="252"/>
        <w:spacing w:after="0" w:line="265" w:lineRule="auto"/>
        <w:tabs>
          <w:tab w:leader="none" w:pos="22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our inventory levels to meet our customer’s demand for our products is important for our business. If we underestimate or overestimate demand for our products and do not maintain appropriate inventory levels, our net sales and/or working capital could be negatively impacted.</w:t>
      </w:r>
    </w:p>
    <w:p>
      <w:pPr>
        <w:ind w:left="260" w:right="560" w:hanging="252"/>
        <w:spacing w:after="0" w:line="250"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operating results are subject to the inventory management decisions of our distribution channel customers. Any adjustments in the carrying amount of inventories by our distribution channel customers may impact our inventory management and working capital goals as well as operating results.</w:t>
      </w:r>
    </w:p>
    <w:p>
      <w:pPr>
        <w:spacing w:after="0" w:line="1" w:lineRule="exact"/>
        <w:rPr>
          <w:rFonts w:ascii="Times New Roman" w:cs="Times New Roman" w:eastAsia="Times New Roman" w:hAnsi="Times New Roman"/>
          <w:sz w:val="18"/>
          <w:szCs w:val="18"/>
          <w:color w:val="auto"/>
        </w:rPr>
      </w:pPr>
    </w:p>
    <w:p>
      <w:pPr>
        <w:ind w:left="260" w:right="100" w:hanging="252"/>
        <w:spacing w:after="0" w:line="265" w:lineRule="auto"/>
        <w:tabs>
          <w:tab w:leader="none" w:pos="22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intense competition in all of our product lines with numerous manufacturers, including from some competitors that have larger operations and financial resources than us. We may not be able to compete effectively against competitors’ actions, which could harm our business and operating results.</w:t>
      </w:r>
    </w:p>
    <w:p>
      <w:pPr>
        <w:ind w:left="260" w:right="100" w:hanging="252"/>
        <w:spacing w:after="0" w:line="250"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percentage of our consolidated net sales are generated outside of the United States, and we intend to continue to expand our international operations. Our international operations also require significant management attention and financial resources, expose us to difficulties presented by international economic, political, legal, accounting, and business factors;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2" w:lineRule="exact"/>
        <w:rPr>
          <w:rFonts w:ascii="Times New Roman" w:cs="Times New Roman" w:eastAsia="Times New Roman" w:hAnsi="Times New Roman"/>
          <w:sz w:val="18"/>
          <w:szCs w:val="18"/>
          <w:color w:val="auto"/>
        </w:rPr>
      </w:pPr>
    </w:p>
    <w:p>
      <w:pPr>
        <w:ind w:left="260" w:right="180" w:hanging="252"/>
        <w:spacing w:after="0" w:line="250"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or use of new and existing products, we may experience a decrease in demand for our products, and our business could suffer.</w:t>
      </w:r>
    </w:p>
    <w:p>
      <w:pPr>
        <w:spacing w:after="0" w:line="1" w:lineRule="exact"/>
        <w:rPr>
          <w:rFonts w:ascii="Times New Roman" w:cs="Times New Roman" w:eastAsia="Times New Roman" w:hAnsi="Times New Roman"/>
          <w:sz w:val="18"/>
          <w:szCs w:val="18"/>
          <w:color w:val="auto"/>
        </w:rPr>
      </w:pPr>
    </w:p>
    <w:p>
      <w:pPr>
        <w:ind w:left="260" w:right="160" w:hanging="252"/>
        <w:spacing w:after="0" w:line="250"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manufacture our products at and distribute our products from several locations in the United States and internationally. Any disruption at any of these facilities or our inability to cost-effectively expand existing facilities, open and manage new facilities, and/or move production between manufacturing facilities could adversely affect our business and operating results.</w:t>
      </w:r>
    </w:p>
    <w:p>
      <w:pPr>
        <w:spacing w:after="0" w:line="1" w:lineRule="exact"/>
        <w:rPr>
          <w:rFonts w:ascii="Times New Roman" w:cs="Times New Roman" w:eastAsia="Times New Roman" w:hAnsi="Times New Roman"/>
          <w:sz w:val="18"/>
          <w:szCs w:val="18"/>
          <w:color w:val="auto"/>
        </w:rPr>
      </w:pPr>
    </w:p>
    <w:p>
      <w:pPr>
        <w:jc w:val="both"/>
        <w:ind w:left="260" w:right="140" w:hanging="252"/>
        <w:spacing w:after="0" w:line="250"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production employee population fluctuates during the year, with an increase in the number of our production employees, some of which may be new to our manufacturing processes, during periods of peak manufacturing activity and any failure by such production employees to adequately perform their jobs or our inability to properly train such production employees could adversely affect our business, operating results, and reputation.</w:t>
      </w:r>
    </w:p>
    <w:p>
      <w:pPr>
        <w:spacing w:after="0" w:line="1" w:lineRule="exact"/>
        <w:rPr>
          <w:rFonts w:ascii="Times New Roman" w:cs="Times New Roman" w:eastAsia="Times New Roman" w:hAnsi="Times New Roman"/>
          <w:sz w:val="18"/>
          <w:szCs w:val="18"/>
          <w:color w:val="auto"/>
        </w:rPr>
      </w:pPr>
    </w:p>
    <w:p>
      <w:pPr>
        <w:ind w:left="260" w:right="20" w:hanging="252"/>
        <w:spacing w:after="0" w:line="254"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information systems are critical to our business. If our information systems or those of our business partners or third party service providers fail to adequately perform, or if we, our business partners or third party service providers experience an interruption in their operation, including by theft, loss or damage from unauthorized access, security breaches, natural or man-made disasters, cyber attacks, computer viruses, power loss or other disruptive events, our business, reputation, financial condition, and operating results could be adversely affected.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260" w:right="420" w:hanging="252"/>
        <w:spacing w:after="0" w:line="261" w:lineRule="auto"/>
        <w:tabs>
          <w:tab w:leader="none" w:pos="2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ind w:left="260" w:right="80" w:hanging="252"/>
        <w:spacing w:after="0" w:line="250" w:lineRule="auto"/>
        <w:tabs>
          <w:tab w:leader="none" w:pos="2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properties, and products are subject to governmental regulation with which compliance may require us to incur expenses or modify our products or operations and non-compliance may result in harm to our reputation and/or expose us to penalties. Governmental regulation may also adversely affect the demand for some of our products and our operating results. In addition, changes in laws and regulations also may adversely affect our operating results, including, (i) taxation and tax policy changes, tax rate changes, new tax laws, revised tax law interpretations, which individually or in combination may cause our effective tax rate to increase, or (ii) healthcare laws or regulations, such as the Patient Protection and Affordable Care Act, which may cause us to incur higher employee healthcare and other costs.</w:t>
      </w:r>
    </w:p>
    <w:p>
      <w:pPr>
        <w:spacing w:after="0" w:line="2"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and climate change regulations may adversely impact our operations.</w:t>
      </w:r>
    </w:p>
    <w:p>
      <w:pPr>
        <w:spacing w:after="0" w:line="9" w:lineRule="exact"/>
        <w:rPr>
          <w:rFonts w:ascii="Times New Roman" w:cs="Times New Roman" w:eastAsia="Times New Roman" w:hAnsi="Times New Roman"/>
          <w:sz w:val="18"/>
          <w:szCs w:val="18"/>
          <w:color w:val="auto"/>
        </w:rPr>
      </w:pPr>
    </w:p>
    <w:p>
      <w:pPr>
        <w:ind w:left="260" w:hanging="252"/>
        <w:spacing w:after="0" w:line="250" w:lineRule="auto"/>
        <w:tabs>
          <w:tab w:leader="none" w:pos="2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the various environmental laws related to our ownership and/or lease of real property, such as clean-up costs and liability that may be associated with certain hazardous waste disposal activities, could adversely affect our financial condition and operating results.</w:t>
      </w:r>
    </w:p>
    <w:p>
      <w:pPr>
        <w:ind w:left="220" w:hanging="212"/>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enactments could impact the competitive landscape within our markets and affect demand for our products.</w:t>
      </w:r>
    </w:p>
    <w:p>
      <w:pPr>
        <w:spacing w:after="0" w:line="9" w:lineRule="exact"/>
        <w:rPr>
          <w:rFonts w:ascii="Times New Roman" w:cs="Times New Roman" w:eastAsia="Times New Roman" w:hAnsi="Times New Roman"/>
          <w:sz w:val="18"/>
          <w:szCs w:val="18"/>
          <w:color w:val="auto"/>
        </w:rPr>
      </w:pPr>
    </w:p>
    <w:p>
      <w:pPr>
        <w:ind w:left="260" w:right="200" w:hanging="252"/>
        <w:spacing w:after="0" w:line="265" w:lineRule="auto"/>
        <w:tabs>
          <w:tab w:leader="none" w:pos="22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many different jurisdictions and we could be adversely affected by violations of the U.S. Foreign Corrupt Practices Act and similar worldwide anti-corruption laws. The continued expansion of our international operations could increase the risk of violations of these laws in the future.</w:t>
      </w:r>
    </w:p>
    <w:p>
      <w:pPr>
        <w:jc w:val="both"/>
        <w:ind w:left="260" w:right="100" w:hanging="252"/>
        <w:spacing w:after="0" w:line="290" w:lineRule="auto"/>
        <w:tabs>
          <w:tab w:leader="none" w:pos="22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comply with “conflict minerals” rules promulgated by the SEC, which has imposed costs on us and raised reputational and other risks. We have, and we expect that we will continue to, incur additional costs and expenses, which may be significant in order to comply with these rules. Since</w:t>
      </w:r>
    </w:p>
    <w:p>
      <w:pPr>
        <w:sectPr>
          <w:pgSz w:w="11900" w:h="16938" w:orient="portrait"/>
          <w:cols w:equalWidth="0" w:num="1">
            <w:col w:w="11420"/>
          </w:cols>
          <w:pgMar w:left="240" w:top="121" w:right="239" w:bottom="0" w:gutter="0" w:footer="0" w:header="0"/>
        </w:sectPr>
      </w:pPr>
    </w:p>
    <w:bookmarkStart w:id="17" w:name="page18"/>
    <w:bookmarkEnd w:id="17"/>
    <w:p>
      <w:pPr>
        <w:jc w:val="both"/>
        <w:ind w:left="260" w:right="140"/>
        <w:spacing w:after="0" w:line="257" w:lineRule="auto"/>
        <w:rPr>
          <w:sz w:val="20"/>
          <w:szCs w:val="20"/>
          <w:color w:val="auto"/>
        </w:rPr>
      </w:pPr>
      <w:r>
        <w:rPr>
          <w:rFonts w:ascii="Times New Roman" w:cs="Times New Roman" w:eastAsia="Times New Roman" w:hAnsi="Times New Roman"/>
          <w:sz w:val="18"/>
          <w:szCs w:val="18"/>
          <w:color w:val="auto"/>
        </w:rPr>
        <w:t>our supply chain is complex, ultimately we may not be able to sufficiently verify the origin of the conflict minerals used in our products through the due diligence procedures that we implement or we may identify through our due diligence procedures that some or all of the conflict minerals in our products are sourced from covered regions, which may adversely affect our reputation with our customers, shareholders, and other stakeholders.</w:t>
      </w:r>
    </w:p>
    <w:p>
      <w:pPr>
        <w:spacing w:after="0" w:line="2" w:lineRule="exact"/>
        <w:rPr>
          <w:sz w:val="20"/>
          <w:szCs w:val="20"/>
          <w:color w:val="auto"/>
        </w:rPr>
      </w:pPr>
    </w:p>
    <w:p>
      <w:pPr>
        <w:ind w:left="260" w:right="80" w:hanging="252"/>
        <w:spacing w:after="0" w:line="250" w:lineRule="auto"/>
        <w:tabs>
          <w:tab w:leader="none" w:pos="2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product liability claims, product quality issues, and other litigation from time to time that could adversely affect our business, reputation, operating results, or financial condition.</w:t>
      </w:r>
    </w:p>
    <w:p>
      <w:pPr>
        <w:ind w:left="260" w:right="460" w:hanging="252"/>
        <w:spacing w:after="0" w:line="250" w:lineRule="auto"/>
        <w:tabs>
          <w:tab w:leader="none" w:pos="2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our key employees, and attract and retain other qualified personnel, we may not be able to meet strategic objectives and our business could suffer.</w:t>
      </w:r>
    </w:p>
    <w:p>
      <w:pPr>
        <w:ind w:left="260" w:right="140" w:hanging="252"/>
        <w:spacing w:after="0" w:line="250" w:lineRule="auto"/>
        <w:tabs>
          <w:tab w:leader="none" w:pos="2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our Red Iron joint venture, we are dependent upon the joint venture to provide competitive inventory financing programs, including floor plan and open account receivable financing, to certain distributors and dealers of our products. Any material change in the availability or terms of credit offered to our customers by the joint venture, challenges or delays in transferring new distributors and dealers from any business we might acquire to this financing platform, any termination or disruption of our joint venture relationship or any delay in securing replacement credit sources could adversely affect our net sales and operating results.</w:t>
      </w:r>
    </w:p>
    <w:p>
      <w:pPr>
        <w:spacing w:after="0" w:line="2" w:lineRule="exact"/>
        <w:rPr>
          <w:rFonts w:ascii="Times New Roman" w:cs="Times New Roman" w:eastAsia="Times New Roman" w:hAnsi="Times New Roman"/>
          <w:sz w:val="18"/>
          <w:szCs w:val="18"/>
          <w:color w:val="auto"/>
        </w:rPr>
      </w:pPr>
    </w:p>
    <w:p>
      <w:pPr>
        <w:ind w:left="260" w:hanging="252"/>
        <w:spacing w:after="0" w:line="250" w:lineRule="auto"/>
        <w:tabs>
          <w:tab w:leader="none" w:pos="2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debentures, term loan, and any amounts outstanding under our revolving credit facility could become due and payable.</w:t>
      </w:r>
    </w:p>
    <w:p>
      <w:pPr>
        <w:spacing w:after="0" w:line="2"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expanding and renovating our corporate facilities and could experience disruptions to our operations in connection with such efforts.</w:t>
      </w:r>
    </w:p>
    <w:p>
      <w:pPr>
        <w:spacing w:after="0" w:line="9" w:lineRule="exact"/>
        <w:rPr>
          <w:rFonts w:ascii="Times New Roman" w:cs="Times New Roman" w:eastAsia="Times New Roman" w:hAnsi="Times New Roman"/>
          <w:sz w:val="18"/>
          <w:szCs w:val="18"/>
          <w:color w:val="auto"/>
        </w:rPr>
      </w:pPr>
    </w:p>
    <w:p>
      <w:pPr>
        <w:ind w:left="260" w:right="80" w:hanging="252"/>
        <w:spacing w:after="0" w:line="252" w:lineRule="auto"/>
        <w:tabs>
          <w:tab w:leader="none" w:pos="2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number of other factors that may adversely affect our operating results, financial condition, or business, such as: our ability to achieve the revenue growth, operating earnings, and working capital goals of our “Destination PRIME” initiative; natural or man-made disasters or global pandemics that may result in shortages of raw materials and components, higher fuel and commodity costs, delays in shipments to customers, and increases in insurance premiums; financial viability of our distributors and dealers, changes in distributor ownership, changes in channel distribution of our products, relationships with our distribution channel partners, our success in partnering with new dealers, and our customers’ ability to pay amounts owed to us; a decline in retail sales or financial difficulties of our distributors or dealers, which would cause us to repurchase financed product; and the threat of terrorist acts and war that may result in heightened security and higher costs for import and export shipments of components or finished goods, reduced leisure travel, and contraction of the U.S. and world economies.</w:t>
      </w:r>
    </w:p>
    <w:p>
      <w:pPr>
        <w:spacing w:after="0" w:line="18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100" w:firstLine="230"/>
        <w:spacing w:after="0" w:line="254" w:lineRule="auto"/>
        <w:rPr>
          <w:sz w:val="20"/>
          <w:szCs w:val="20"/>
          <w:color w:val="auto"/>
        </w:rPr>
      </w:pPr>
      <w:r>
        <w:rPr>
          <w:rFonts w:ascii="Times New Roman" w:cs="Times New Roman" w:eastAsia="Times New Roman" w:hAnsi="Times New Roman"/>
          <w:sz w:val="18"/>
          <w:szCs w:val="18"/>
          <w:i w:val="1"/>
          <w:iCs w:val="1"/>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undertake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earnings and cash flows. See further discussion on these market risks below. See our most recently filed Annual Report on Form 10-K for discussion on equity market risk.</w:t>
      </w:r>
    </w:p>
    <w:p>
      <w:pPr>
        <w:spacing w:after="0" w:line="17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Foreign Currency Exchange Rate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normal course of business, we actively manage the exposure of our foreign currency exchange rate market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entering into various hedging instruments, authorized under company policies that place controls on these activities, with counterparties that are highly rated financial institutions. Our hedging activities involve primarily the use of forward currency contracts. We also utilize cross currency swaps to offset intercompany loan exposures.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to third party customers, sales and loans to wholly owned foreign subsidiaries, foreign plant operations, and purchases from suppliers. Because our products are manufactured or sourced primarily from the U.S. and Mexico, a stronger U.S. dollar and Mexican peso generally have a negative impact on our results from operations, while a weaker dollar and peso generally have a positive effect.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195" w:lineRule="exact"/>
        <w:rPr>
          <w:sz w:val="20"/>
          <w:szCs w:val="20"/>
          <w:color w:val="auto"/>
        </w:rPr>
      </w:pPr>
    </w:p>
    <w:p>
      <w:pPr>
        <w:ind w:right="60" w:firstLine="176"/>
        <w:spacing w:after="0" w:line="255" w:lineRule="auto"/>
        <w:rPr>
          <w:sz w:val="20"/>
          <w:szCs w:val="20"/>
          <w:color w:val="auto"/>
        </w:rPr>
      </w:pPr>
      <w:r>
        <w:rPr>
          <w:rFonts w:ascii="Times New Roman" w:cs="Times New Roman" w:eastAsia="Times New Roman" w:hAnsi="Times New Roman"/>
          <w:sz w:val="18"/>
          <w:szCs w:val="18"/>
          <w:color w:val="auto"/>
        </w:rPr>
        <w:t>We enter into various contracts, primarily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values of the related exposures. Therefore, changes in values of these hedge instruments are highly correlated with changes in market values of underlying hedged items both at inception of the hedge and over the life of the hedge contract. Additional information regarding gains and losses on our derivative instruments is presented in the Notes to Condensed Consolidated Financial Statements (Unaudited) in Item 1 of this Quarterly Report on Form 10-Q, in the section entitled “Derivative Instruments and Hedging Activities.”</w:t>
      </w:r>
    </w:p>
    <w:p>
      <w:pPr>
        <w:sectPr>
          <w:pgSz w:w="11900" w:h="16838" w:orient="portrait"/>
          <w:cols w:equalWidth="0" w:num="1">
            <w:col w:w="11420"/>
          </w:cols>
          <w:pgMar w:left="240" w:top="121" w:right="239" w:bottom="104"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04"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firstLine="162"/>
        <w:spacing w:after="0" w:line="261" w:lineRule="auto"/>
        <w:rPr>
          <w:sz w:val="20"/>
          <w:szCs w:val="20"/>
          <w:color w:val="auto"/>
        </w:rPr>
      </w:pPr>
      <w:r>
        <w:rPr>
          <w:rFonts w:ascii="Times New Roman" w:cs="Times New Roman" w:eastAsia="Times New Roman" w:hAnsi="Times New Roman"/>
          <w:sz w:val="18"/>
          <w:szCs w:val="18"/>
          <w:color w:val="auto"/>
        </w:rPr>
        <w:t>The following foreign currency exchange contracts held by us have maturity dates in fiscal 2016 and 2017. All items are non-trading and stated in U.S. dollars. Some derivative instruments we enter into do not meet the cash flow hedging criteria; therefore, changes in fair value are recorded in other income, net. The average contracted rate, notional amount, pre-tax value of derivative instruments in accumulated other comprehensive loss, and fair value impact of derivative instruments in other income, net as of and for the fiscal period ended January 29, 2016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Value in</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gridSpan w:val="2"/>
            <w:vMerge w:val="continue"/>
          </w:tcPr>
          <w:p>
            <w:pPr>
              <w:spacing w:after="0"/>
              <w:rPr>
                <w:sz w:val="12"/>
                <w:szCs w:val="12"/>
                <w:color w:val="auto"/>
              </w:rPr>
            </w:pPr>
          </w:p>
        </w:tc>
        <w:tc>
          <w:tcPr>
            <w:tcW w:w="15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Contracted</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Impact</w:t>
            </w:r>
          </w:p>
        </w:tc>
        <w:tc>
          <w:tcPr>
            <w:tcW w:w="0" w:type="dxa"/>
            <w:vAlign w:val="bottom"/>
          </w:tcPr>
          <w:p>
            <w:pPr>
              <w:spacing w:after="0"/>
              <w:rPr>
                <w:sz w:val="1"/>
                <w:szCs w:val="1"/>
                <w:color w:val="auto"/>
              </w:rPr>
            </w:pPr>
          </w:p>
        </w:tc>
      </w:tr>
      <w:tr>
        <w:trPr>
          <w:trHeight w:val="173"/>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(except average contracted rate)</w:t>
            </w: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 Gain</w:t>
            </w:r>
          </w:p>
        </w:tc>
        <w:tc>
          <w:tcPr>
            <w:tcW w:w="0" w:type="dxa"/>
            <w:vAlign w:val="bottom"/>
          </w:tcPr>
          <w:p>
            <w:pPr>
              <w:spacing w:after="0"/>
              <w:rPr>
                <w:sz w:val="1"/>
                <w:szCs w:val="1"/>
                <w:color w:val="auto"/>
              </w:rPr>
            </w:pPr>
          </w:p>
        </w:tc>
      </w:tr>
      <w:tr>
        <w:trPr>
          <w:trHeight w:val="210"/>
        </w:trPr>
        <w:tc>
          <w:tcPr>
            <w:tcW w:w="4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Buy US dollar/Sell Australian dollar</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2"/>
              </w:rPr>
              <w:t>0.7163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44,461.2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 US dollar/Sell Canadian dollar</w:t>
            </w:r>
          </w:p>
        </w:tc>
        <w:tc>
          <w:tcPr>
            <w:tcW w:w="15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1.3304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15,145.3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905.3</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Buy US dollar/Sell Euro</w:t>
            </w: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2"/>
              </w:rPr>
              <w:t>1.1186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86,326.2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1,177.9</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 US dollar/Sell British pound</w:t>
            </w:r>
          </w:p>
        </w:tc>
        <w:tc>
          <w:tcPr>
            <w:tcW w:w="15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1.4453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25,437.9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633.7</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443.6</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Buy Euro/Sell US dollar</w:t>
            </w:r>
          </w:p>
        </w:tc>
        <w:tc>
          <w:tcPr>
            <w:tcW w:w="15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1.0894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2,217.6</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 Mexican peso/Sell US dollar</w:t>
            </w:r>
          </w:p>
        </w:tc>
        <w:tc>
          <w:tcPr>
            <w:tcW w:w="13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5"/>
              </w:rPr>
              <w:t>16.5241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21,967.9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(3,216.6)</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(665.5)</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Buy Euro/Sell Romanian New Leu</w:t>
            </w: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2"/>
              </w:rPr>
              <w:t>4.5411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0" w:firstLine="230"/>
        <w:spacing w:after="0" w:line="282" w:lineRule="auto"/>
        <w:rPr>
          <w:sz w:val="20"/>
          <w:szCs w:val="20"/>
          <w:color w:val="auto"/>
        </w:rPr>
      </w:pPr>
      <w:r>
        <w:rPr>
          <w:rFonts w:ascii="Times New Roman" w:cs="Times New Roman" w:eastAsia="Times New Roman" w:hAnsi="Times New Roman"/>
          <w:sz w:val="18"/>
          <w:szCs w:val="18"/>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6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Interest Rate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market risk on interest rates relates primarily to LIBOR-based short-term debt and a term loan from commercial banks,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increase in fair value of our fixed-rate long-term debt resulting from a potential decrease in interest rates. Included in long-term debt is $223.8 million of fixed-rate debt that is not subject to variable interest rate fluctuations, a fixed-rate promissory note for the principal amount of $20.0 million issued to the former owners of the BOSS business, and a $120.3 million LIBOR-based term loan, which is subject to market risk based on changes in LIBOR rates. We have no earnings or cash flow exposure due to market risks on our fixed-rate long-term debt obligations. We generally do not use interest rate swaps to mitigate the impact of fluctuations in interest rates. See our most recently filed Annual Report on Form 10-K (Item 7A Quantitative and Qualitative Disclosures about Market Risk). There has been no material change in this information.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Commodity Price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Some raw materials used in our products are exposed to commodity price changes. The primary commodity price exposures are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steel, aluminum, petroleum and natural gas-based resins, and linerboard. In addition, we are a purchaser of components and parts containing various commodities, including steel, aluminum, copper, lead, rubber, and others that are integrated into our end products. Further information regarding rising prices for commodities is presented in Item 2 of this Quarterly Report on Form 10-Q, in the section entitled “Inflation.”</w:t>
      </w:r>
    </w:p>
    <w:p>
      <w:pPr>
        <w:spacing w:after="0" w:line="18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We enter into fixed-price contracts for future purchases of natural gas in the normal course of operations as a means to manage natural gas price risks.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disclosure. There was no change in our internal control over financial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reporting that occurred during our fiscal quarter ended January 29, 2016 that has materially affected, or is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including cases by or against competitors, where we are asserting and defending against claims of patent infringement. Such cases are at varying stages in the litigation process.</w:t>
      </w:r>
    </w:p>
    <w:p>
      <w:pPr>
        <w:spacing w:after="0" w:line="189" w:lineRule="exact"/>
        <w:rPr>
          <w:sz w:val="20"/>
          <w:szCs w:val="20"/>
          <w:color w:val="auto"/>
        </w:rPr>
      </w:pPr>
    </w:p>
    <w:p>
      <w:pPr>
        <w:ind w:right="580" w:firstLine="230"/>
        <w:spacing w:after="0" w:line="282" w:lineRule="auto"/>
        <w:rPr>
          <w:sz w:val="20"/>
          <w:szCs w:val="20"/>
          <w:color w:val="auto"/>
        </w:rPr>
      </w:pPr>
      <w:r>
        <w:rPr>
          <w:rFonts w:ascii="Times New Roman" w:cs="Times New Roman" w:eastAsia="Times New Roman" w:hAnsi="Times New Roman"/>
          <w:sz w:val="18"/>
          <w:szCs w:val="18"/>
          <w:color w:val="auto"/>
        </w:rPr>
        <w:t>For a description of our material legal proceedings, see Notes to Condensed Consolidated Financial Statements under the heading “Contingencies - Litigation” included in Item 1 of this Quarterly Report on Form 10-Q, which is incorporated into this Part II. Item 1 by reference.</w:t>
      </w:r>
    </w:p>
    <w:p>
      <w:pPr>
        <w:sectPr>
          <w:pgSz w:w="11900" w:h="16838" w:orient="portrait"/>
          <w:cols w:equalWidth="0" w:num="1">
            <w:col w:w="11420"/>
          </w:cols>
          <w:pgMar w:left="240" w:top="121" w:right="239" w:bottom="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w:t>
      </w:r>
    </w:p>
    <w:p>
      <w:pPr>
        <w:spacing w:after="0" w:line="17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first quarter of fiscal 2016 stock repurchase activity: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9"/>
        </w:trPr>
        <w:tc>
          <w:tcPr>
            <w:tcW w:w="4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1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3"/>
        </w:trPr>
        <w:tc>
          <w:tcPr>
            <w:tcW w:w="4540" w:type="dxa"/>
            <w:vAlign w:val="bottom"/>
            <w:gridSpan w:val="3"/>
            <w:vMerge w:val="continue"/>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(1,2,3)</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(or Unit)</w:t>
            </w: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or Programs (1)</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2015 through November 27, 2015</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1,159,314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28, 2015 through January 1, 2016</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172,971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76.06</w:t>
            </w:r>
          </w:p>
        </w:tc>
        <w:tc>
          <w:tcPr>
            <w:tcW w:w="1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172,971</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4,986,343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 2016 through January 29, 2016</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205,289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68.47</w:t>
            </w:r>
          </w:p>
        </w:tc>
        <w:tc>
          <w:tcPr>
            <w:tcW w:w="1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203,870</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4,782,473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378,260</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71.94</w:t>
            </w:r>
          </w:p>
        </w:tc>
        <w:tc>
          <w:tcPr>
            <w:tcW w:w="1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376,841</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180" w:hanging="328"/>
        <w:spacing w:after="0" w:line="261" w:lineRule="auto"/>
        <w:tabs>
          <w:tab w:leader="none" w:pos="66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2012, the company’s Board of Directors authorized the repurchase of 5,000,000 shares of the company’s common stock in open-market or in privately negotiated transactions. This program has no expiration date but may be terminated by the company’s Board of Directors at any time. The company repurchased 376,841 shares during the period indicated above under this program and 782,473 shares remain available to repurchase under this program.</w:t>
      </w:r>
    </w:p>
    <w:p>
      <w:pPr>
        <w:spacing w:after="0" w:line="180"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 2015, the company’s Board of Directors authorized the repurchase of an additional 4,000,000 shares of the company’s common stock in open-market or in privately negotiated transactions. This program has no expiration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right="420"/>
        <w:spacing w:after="0" w:line="282" w:lineRule="auto"/>
        <w:rPr>
          <w:sz w:val="20"/>
          <w:szCs w:val="20"/>
          <w:color w:val="auto"/>
        </w:rPr>
      </w:pPr>
      <w:r>
        <w:rPr>
          <w:rFonts w:ascii="Times New Roman" w:cs="Times New Roman" w:eastAsia="Times New Roman" w:hAnsi="Times New Roman"/>
          <w:sz w:val="18"/>
          <w:szCs w:val="18"/>
          <w:color w:val="auto"/>
        </w:rPr>
        <w:t>but may be terminated by the company’s Board of Directors at any time. No shares were repurchased under this program during the time period indicated above.</w:t>
      </w:r>
    </w:p>
    <w:p>
      <w:pPr>
        <w:spacing w:after="0" w:line="162" w:lineRule="exact"/>
        <w:rPr>
          <w:sz w:val="20"/>
          <w:szCs w:val="20"/>
          <w:color w:val="auto"/>
        </w:rPr>
      </w:pPr>
    </w:p>
    <w:p>
      <w:pPr>
        <w:ind w:left="660" w:right="100" w:hanging="328"/>
        <w:spacing w:after="0" w:line="266" w:lineRule="auto"/>
        <w:tabs>
          <w:tab w:leader="none" w:pos="6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1,419 units (shares) of the company’s common stock purchased in open-market transactions at an average price of $68.45 per share on behalf of a rabbi trust formed to pay benefit obligations of the company to participants in deferred compensation plans. These 1,419 shares were not repurchased under the company’s repurchase program described in footnotes 1 and 2 above.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1800" w:right="140" w:hanging="1283"/>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and 4.1Restated Certificate of Incorporation of The Toro Company (incorporated by reference to Exhibit 3.1 to Registrant’s Current Report on Form 8-K dated June 17, 2008, Commission File No. 1-8649).</w:t>
      </w:r>
    </w:p>
    <w:p>
      <w:pPr>
        <w:spacing w:after="0" w:line="161" w:lineRule="exact"/>
        <w:rPr>
          <w:rFonts w:ascii="Times New Roman" w:cs="Times New Roman" w:eastAsia="Times New Roman" w:hAnsi="Times New Roman"/>
          <w:sz w:val="18"/>
          <w:szCs w:val="18"/>
          <w:color w:val="auto"/>
        </w:rPr>
      </w:pPr>
    </w:p>
    <w:p>
      <w:pPr>
        <w:ind w:left="1800" w:right="60" w:hanging="1283"/>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and 4.2Certificate of Amendment to Restated Certificate of Incorporation of The Toro Company (incorporated by reference to Exhibit 3.1 to Registrant’s Current Report on Form 8-K dated March 13, 2013, Commission File No. 1-8649).</w:t>
      </w:r>
    </w:p>
    <w:p>
      <w:pPr>
        <w:spacing w:after="0" w:line="161" w:lineRule="exact"/>
        <w:rPr>
          <w:rFonts w:ascii="Times New Roman" w:cs="Times New Roman" w:eastAsia="Times New Roman" w:hAnsi="Times New Roman"/>
          <w:sz w:val="18"/>
          <w:szCs w:val="18"/>
          <w:color w:val="auto"/>
        </w:rPr>
      </w:pPr>
    </w:p>
    <w:p>
      <w:pPr>
        <w:ind w:left="1800" w:right="300" w:hanging="1283"/>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and 4.3Amended and Restated Bylaws of The Toro Company (incorporated by reference to Exhibit 3.2 to Registrant’s Current Report on Form 8-K dated June 17, 2008, Commission File No. 1-8649).</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7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7"/>
              </w:rPr>
              <w:t>4.4</w:t>
            </w:r>
          </w:p>
        </w:tc>
        <w:tc>
          <w:tcPr>
            <w:tcW w:w="10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Specimen Form of Common Stock Certificate (incorporated by reference to Exhibit 4(c) to Registrant’s Quarterly Report on</w:t>
            </w:r>
          </w:p>
        </w:tc>
      </w:tr>
      <w:tr>
        <w:trPr>
          <w:trHeight w:val="234"/>
        </w:trPr>
        <w:tc>
          <w:tcPr>
            <w:tcW w:w="76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 10-Q for the fiscal quarter ended August 1, 2008, Commission File No. 1-8649).</w:t>
            </w:r>
          </w:p>
        </w:tc>
      </w:tr>
      <w:tr>
        <w:trPr>
          <w:trHeight w:val="414"/>
        </w:trPr>
        <w:tc>
          <w:tcPr>
            <w:tcW w:w="7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7"/>
              </w:rPr>
              <w:t>4.5</w:t>
            </w:r>
          </w:p>
        </w:tc>
        <w:tc>
          <w:tcPr>
            <w:tcW w:w="10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Indenture dated as of January 31, 1997, between Registrant and First National Trust Association, as Trustee, relating to The Toro</w:t>
            </w:r>
          </w:p>
        </w:tc>
      </w:tr>
      <w:tr>
        <w:trPr>
          <w:trHeight w:val="216"/>
        </w:trPr>
        <w:tc>
          <w:tcPr>
            <w:tcW w:w="760" w:type="dxa"/>
            <w:vAlign w:val="bottom"/>
          </w:tcPr>
          <w:p>
            <w:pPr>
              <w:spacing w:after="0"/>
              <w:rPr>
                <w:sz w:val="18"/>
                <w:szCs w:val="18"/>
                <w:color w:val="auto"/>
              </w:rPr>
            </w:pPr>
          </w:p>
        </w:tc>
        <w:tc>
          <w:tcPr>
            <w:tcW w:w="10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Company’s 7.80% Debentures due June 15, 2027 (incorporated by reference to Exhibit 4(a) to Registrant’s Current Report on</w:t>
            </w:r>
          </w:p>
        </w:tc>
      </w:tr>
      <w:tr>
        <w:trPr>
          <w:trHeight w:val="234"/>
        </w:trPr>
        <w:tc>
          <w:tcPr>
            <w:tcW w:w="76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 8-K dated June 24, 1997, Commission File No. 1-8649).</w:t>
            </w:r>
          </w:p>
        </w:tc>
      </w:tr>
      <w:tr>
        <w:trPr>
          <w:trHeight w:val="414"/>
        </w:trPr>
        <w:tc>
          <w:tcPr>
            <w:tcW w:w="7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7"/>
              </w:rPr>
              <w:t>4.6</w:t>
            </w:r>
          </w:p>
        </w:tc>
        <w:tc>
          <w:tcPr>
            <w:tcW w:w="10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Indenture dated as of April 20, 2007, between Registrant and The Bank of New York Trust Company, N.A., as Trustee, relating to</w:t>
            </w:r>
          </w:p>
        </w:tc>
      </w:tr>
      <w:tr>
        <w:trPr>
          <w:trHeight w:val="216"/>
        </w:trPr>
        <w:tc>
          <w:tcPr>
            <w:tcW w:w="760" w:type="dxa"/>
            <w:vAlign w:val="bottom"/>
          </w:tcPr>
          <w:p>
            <w:pPr>
              <w:spacing w:after="0"/>
              <w:rPr>
                <w:sz w:val="18"/>
                <w:szCs w:val="18"/>
                <w:color w:val="auto"/>
              </w:rPr>
            </w:pPr>
          </w:p>
        </w:tc>
        <w:tc>
          <w:tcPr>
            <w:tcW w:w="101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The Toro Company’s 6.625% Notes due May 1, 2037 (incorporated by reference to Exhibit 4.3 to Registrant’s Registration Statement</w:t>
            </w:r>
          </w:p>
        </w:tc>
      </w:tr>
      <w:tr>
        <w:trPr>
          <w:trHeight w:val="234"/>
        </w:trPr>
        <w:tc>
          <w:tcPr>
            <w:tcW w:w="76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on Form S-3 filed with the Securities and Exchange Commission on April 23, 2007, Registration No. 333-142282).</w:t>
            </w:r>
          </w:p>
        </w:tc>
      </w:tr>
      <w:tr>
        <w:trPr>
          <w:trHeight w:val="414"/>
        </w:trPr>
        <w:tc>
          <w:tcPr>
            <w:tcW w:w="7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7"/>
              </w:rPr>
              <w:t>4.7</w:t>
            </w:r>
          </w:p>
        </w:tc>
        <w:tc>
          <w:tcPr>
            <w:tcW w:w="10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First Supplemental Indenture dated as of April 26, 2007, between Registrant and The Bank of New York Trust Company, N.A., as</w:t>
            </w:r>
          </w:p>
        </w:tc>
      </w:tr>
      <w:tr>
        <w:trPr>
          <w:trHeight w:val="216"/>
        </w:trPr>
        <w:tc>
          <w:tcPr>
            <w:tcW w:w="760" w:type="dxa"/>
            <w:vAlign w:val="bottom"/>
          </w:tcPr>
          <w:p>
            <w:pPr>
              <w:spacing w:after="0"/>
              <w:rPr>
                <w:sz w:val="18"/>
                <w:szCs w:val="18"/>
                <w:color w:val="auto"/>
              </w:rPr>
            </w:pPr>
          </w:p>
        </w:tc>
        <w:tc>
          <w:tcPr>
            <w:tcW w:w="10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Trustee, relating to The Toro Company’s 6.625% Notes due May 1, 2037 (incorporated by reference to Exhibit 4.1 to Registrant’s</w:t>
            </w:r>
          </w:p>
        </w:tc>
      </w:tr>
      <w:tr>
        <w:trPr>
          <w:trHeight w:val="234"/>
        </w:trPr>
        <w:tc>
          <w:tcPr>
            <w:tcW w:w="76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Current Report on Form 8-K dated April 23, 2007, Commission File No. 1-8649).</w:t>
            </w:r>
          </w:p>
        </w:tc>
      </w:tr>
      <w:tr>
        <w:trPr>
          <w:trHeight w:val="432"/>
        </w:trPr>
        <w:tc>
          <w:tcPr>
            <w:tcW w:w="7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7"/>
              </w:rPr>
              <w:t>4.8</w:t>
            </w:r>
          </w:p>
        </w:tc>
        <w:tc>
          <w:tcPr>
            <w:tcW w:w="10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 of The Toro Company 6.625% Note due May 1, 2037 (incorporated by reference to Exhibit 4.2 to Registrant’s Current Report</w:t>
            </w:r>
          </w:p>
        </w:tc>
      </w:tr>
    </w:tbl>
    <w:p>
      <w:pPr>
        <w:sectPr>
          <w:pgSz w:w="11900" w:h="16838" w:orient="portrait"/>
          <w:cols w:equalWidth="0" w:num="1">
            <w:col w:w="11420"/>
          </w:cols>
          <w:pgMar w:left="240" w:top="333" w:right="239" w:bottom="0" w:gutter="0" w:footer="0" w:header="0"/>
        </w:sectPr>
      </w:pPr>
    </w:p>
    <w:bookmarkStart w:id="20" w:name="page21"/>
    <w:bookmarkEnd w:id="20"/>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0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on Form 8-K dated April 23, 2007, Commission File No. 1-8649).</w:t>
            </w:r>
          </w:p>
        </w:tc>
      </w:tr>
      <w:tr>
        <w:trPr>
          <w:trHeight w:val="414"/>
        </w:trPr>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5"/>
              </w:rPr>
              <w:t>31.1</w:t>
            </w:r>
          </w:p>
        </w:tc>
        <w:tc>
          <w:tcPr>
            <w:tcW w:w="10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(Section 302 of the Sarbanes-Oxley Act of 2002) (filed</w:t>
            </w:r>
          </w:p>
        </w:tc>
      </w:tr>
      <w:tr>
        <w:trPr>
          <w:trHeight w:val="234"/>
        </w:trPr>
        <w:tc>
          <w:tcPr>
            <w:tcW w:w="800" w:type="dxa"/>
            <w:vAlign w:val="bottom"/>
          </w:tcPr>
          <w:p>
            <w:pPr>
              <w:spacing w:after="0"/>
              <w:rPr>
                <w:sz w:val="20"/>
                <w:szCs w:val="20"/>
                <w:color w:val="auto"/>
              </w:rPr>
            </w:pPr>
          </w:p>
        </w:tc>
        <w:tc>
          <w:tcPr>
            <w:tcW w:w="10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herewith).</w:t>
            </w:r>
          </w:p>
        </w:tc>
      </w:tr>
      <w:tr>
        <w:trPr>
          <w:trHeight w:val="432"/>
        </w:trPr>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5"/>
              </w:rPr>
              <w:t>31.2</w:t>
            </w:r>
          </w:p>
        </w:tc>
        <w:tc>
          <w:tcPr>
            <w:tcW w:w="101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Certification of Chief Financial Officer Pursuant to Rule 13a-14(a) (Section 302 of the Sarbanes-Oxley Act of 2002) (filed herewith).</w:t>
            </w:r>
          </w:p>
        </w:tc>
      </w:tr>
    </w:tbl>
    <w:p>
      <w:pPr>
        <w:spacing w:after="0" w:line="198" w:lineRule="exact"/>
        <w:rPr>
          <w:sz w:val="20"/>
          <w:szCs w:val="20"/>
          <w:color w:val="auto"/>
        </w:rPr>
      </w:pPr>
    </w:p>
    <w:p>
      <w:pPr>
        <w:ind w:left="1800" w:right="400" w:hanging="1292"/>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Chief Executive Officer and Chief Financial Officer Pursuant to 18 U.S.C. Section 1350, as Adopted Pursuant to Section 906 of the Sarbanes-Oxley Act of 2002 (furnished herewith).</w:t>
      </w:r>
    </w:p>
    <w:p>
      <w:pPr>
        <w:spacing w:after="0" w:line="162" w:lineRule="exact"/>
        <w:rPr>
          <w:sz w:val="20"/>
          <w:szCs w:val="20"/>
          <w:color w:val="auto"/>
        </w:rPr>
      </w:pPr>
    </w:p>
    <w:p>
      <w:pPr>
        <w:ind w:left="1800" w:right="560" w:hanging="1292"/>
        <w:spacing w:after="0" w:line="276" w:lineRule="auto"/>
        <w:tabs>
          <w:tab w:leader="none" w:pos="18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The Toro Company’s Quarterly Report on Form 10-Q for the quarterly period ended January 29, 2016, filed with the SEC on March 2, 2016, formatted in eXtensible Business Reporting Language (XBRL):</w:t>
      </w:r>
    </w:p>
    <w:p>
      <w:pPr>
        <w:ind w:left="2000" w:hanging="209"/>
        <w:spacing w:after="0"/>
        <w:tabs>
          <w:tab w:leader="none" w:pos="20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Earnings for the three-month periods ended January 29, 2016 and January 30, 2015,</w:t>
      </w:r>
    </w:p>
    <w:p>
      <w:pPr>
        <w:spacing w:after="0" w:line="9" w:lineRule="exact"/>
        <w:rPr>
          <w:rFonts w:ascii="Times New Roman" w:cs="Times New Roman" w:eastAsia="Times New Roman" w:hAnsi="Times New Roman"/>
          <w:sz w:val="18"/>
          <w:szCs w:val="18"/>
          <w:color w:val="auto"/>
        </w:rPr>
      </w:pPr>
    </w:p>
    <w:p>
      <w:pPr>
        <w:ind w:left="1800" w:right="400" w:hanging="9"/>
        <w:spacing w:after="0" w:line="265" w:lineRule="auto"/>
        <w:tabs>
          <w:tab w:leader="none" w:pos="2065"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Condensed Consolidated Statements of Comprehensive Income for the three-month periods ended January 29, 2016 and January 30, 2015, (iii) Condensed Consolidated Balance Sheets as of January 29, 2016, January 30, 2015, and October 31, 2015,</w:t>
      </w:r>
    </w:p>
    <w:p>
      <w:pPr>
        <w:ind w:left="1800" w:right="320" w:hanging="9"/>
        <w:spacing w:after="0" w:line="261" w:lineRule="auto"/>
        <w:tabs>
          <w:tab w:leader="none" w:pos="210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 of Cash Flows for the three-month periods ended January 29, 2016 and January 30, 2015, and (v) Notes to Condensed Consolidated Financial Statements (filed herewith).</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200" w:right="40" w:firstLine="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8260" w:type="dxa"/>
            <w:vAlign w:val="bottom"/>
            <w:gridSpan w:val="2"/>
          </w:tcPr>
          <w:p>
            <w:pPr>
              <w:jc w:val="center"/>
              <w:ind w:right="3070"/>
              <w:spacing w:after="0"/>
              <w:rPr>
                <w:sz w:val="20"/>
                <w:szCs w:val="20"/>
                <w:color w:val="auto"/>
              </w:rPr>
            </w:pPr>
            <w:r>
              <w:rPr>
                <w:rFonts w:ascii="Times New Roman" w:cs="Times New Roman" w:eastAsia="Times New Roman" w:hAnsi="Times New Roman"/>
                <w:sz w:val="18"/>
                <w:szCs w:val="18"/>
                <w:color w:val="auto"/>
                <w:w w:val="99"/>
              </w:rPr>
              <w:t>THE TORO COMPANY</w:t>
            </w:r>
          </w:p>
        </w:tc>
        <w:tc>
          <w:tcPr>
            <w:tcW w:w="4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8260" w:type="dxa"/>
            <w:vAlign w:val="bottom"/>
            <w:gridSpan w:val="2"/>
          </w:tcPr>
          <w:p>
            <w:pPr>
              <w:jc w:val="center"/>
              <w:ind w:right="3070"/>
              <w:spacing w:after="0"/>
              <w:rPr>
                <w:sz w:val="20"/>
                <w:szCs w:val="20"/>
                <w:color w:val="auto"/>
              </w:rPr>
            </w:pPr>
            <w:r>
              <w:rPr>
                <w:rFonts w:ascii="Times New Roman" w:cs="Times New Roman" w:eastAsia="Times New Roman" w:hAnsi="Times New Roman"/>
                <w:sz w:val="18"/>
                <w:szCs w:val="18"/>
                <w:color w:val="auto"/>
                <w:w w:val="99"/>
              </w:rPr>
              <w:t>(Registrant)</w:t>
            </w:r>
          </w:p>
        </w:tc>
        <w:tc>
          <w:tcPr>
            <w:tcW w:w="40" w:type="dxa"/>
            <w:vAlign w:val="bottom"/>
          </w:tcPr>
          <w:p>
            <w:pPr>
              <w:spacing w:after="0"/>
              <w:rPr>
                <w:sz w:val="20"/>
                <w:szCs w:val="20"/>
                <w:color w:val="auto"/>
              </w:rPr>
            </w:pPr>
          </w:p>
        </w:tc>
      </w:tr>
      <w:tr>
        <w:trPr>
          <w:trHeight w:val="43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2016</w:t>
            </w:r>
          </w:p>
        </w:tc>
        <w:tc>
          <w:tcPr>
            <w:tcW w:w="826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By  /s/ Renee J. Peterson</w:t>
            </w:r>
          </w:p>
        </w:tc>
        <w:tc>
          <w:tcPr>
            <w:tcW w:w="40" w:type="dxa"/>
            <w:vAlign w:val="bottom"/>
          </w:tcPr>
          <w:p>
            <w:pPr>
              <w:spacing w:after="0"/>
              <w:rPr>
                <w:sz w:val="24"/>
                <w:szCs w:val="24"/>
                <w:color w:val="auto"/>
              </w:rPr>
            </w:pPr>
          </w:p>
        </w:tc>
      </w:tr>
      <w:tr>
        <w:trPr>
          <w:trHeight w:val="178"/>
        </w:trPr>
        <w:tc>
          <w:tcPr>
            <w:tcW w:w="3160" w:type="dxa"/>
            <w:vAlign w:val="bottom"/>
          </w:tcPr>
          <w:p>
            <w:pPr>
              <w:spacing w:after="0"/>
              <w:rPr>
                <w:sz w:val="15"/>
                <w:szCs w:val="15"/>
                <w:color w:val="auto"/>
              </w:rPr>
            </w:pPr>
          </w:p>
        </w:tc>
        <w:tc>
          <w:tcPr>
            <w:tcW w:w="2920" w:type="dxa"/>
            <w:vAlign w:val="bottom"/>
          </w:tcPr>
          <w:p>
            <w:pPr>
              <w:ind w:left="2560"/>
              <w:spacing w:after="0" w:line="178" w:lineRule="exact"/>
              <w:rPr>
                <w:sz w:val="20"/>
                <w:szCs w:val="20"/>
                <w:color w:val="auto"/>
              </w:rPr>
            </w:pPr>
            <w:r>
              <w:rPr>
                <w:rFonts w:ascii="Times New Roman" w:cs="Times New Roman" w:eastAsia="Times New Roman" w:hAnsi="Times New Roman"/>
                <w:sz w:val="18"/>
                <w:szCs w:val="18"/>
                <w:color w:val="auto"/>
                <w:w w:val="75"/>
              </w:rPr>
              <w:t>Renee</w:t>
            </w:r>
          </w:p>
        </w:tc>
        <w:tc>
          <w:tcPr>
            <w:tcW w:w="5340" w:type="dxa"/>
            <w:vAlign w:val="bottom"/>
            <w:tcBorders>
              <w:top w:val="single" w:sz="8" w:color="auto"/>
            </w:tcBorders>
          </w:tcPr>
          <w:p>
            <w:pPr>
              <w:ind w:left="140"/>
              <w:spacing w:after="0" w:line="178" w:lineRule="exact"/>
              <w:rPr>
                <w:sz w:val="20"/>
                <w:szCs w:val="20"/>
                <w:color w:val="auto"/>
              </w:rPr>
            </w:pPr>
            <w:r>
              <w:rPr>
                <w:rFonts w:ascii="Times New Roman" w:cs="Times New Roman" w:eastAsia="Times New Roman" w:hAnsi="Times New Roman"/>
                <w:sz w:val="18"/>
                <w:szCs w:val="18"/>
                <w:color w:val="auto"/>
              </w:rPr>
              <w:t>J. Peterson</w:t>
            </w:r>
          </w:p>
        </w:tc>
        <w:tc>
          <w:tcPr>
            <w:tcW w:w="40" w:type="dxa"/>
            <w:vAlign w:val="bottom"/>
          </w:tcPr>
          <w:p>
            <w:pPr>
              <w:spacing w:after="0"/>
              <w:rPr>
                <w:sz w:val="15"/>
                <w:szCs w:val="15"/>
                <w:color w:val="auto"/>
              </w:rPr>
            </w:pPr>
          </w:p>
        </w:tc>
      </w:tr>
      <w:tr>
        <w:trPr>
          <w:trHeight w:val="216"/>
        </w:trPr>
        <w:tc>
          <w:tcPr>
            <w:tcW w:w="3160" w:type="dxa"/>
            <w:vAlign w:val="bottom"/>
          </w:tcPr>
          <w:p>
            <w:pPr>
              <w:spacing w:after="0"/>
              <w:rPr>
                <w:sz w:val="18"/>
                <w:szCs w:val="18"/>
                <w:color w:val="auto"/>
              </w:rPr>
            </w:pPr>
          </w:p>
        </w:tc>
        <w:tc>
          <w:tcPr>
            <w:tcW w:w="826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Vice President, Treasurer</w:t>
            </w:r>
          </w:p>
        </w:tc>
        <w:tc>
          <w:tcPr>
            <w:tcW w:w="4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826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and Chief Financial Officer</w:t>
            </w:r>
          </w:p>
        </w:tc>
        <w:tc>
          <w:tcPr>
            <w:tcW w:w="4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826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tc>
        <w:tc>
          <w:tcPr>
            <w:tcW w:w="4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292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99"/>
              </w:rPr>
              <w:t>29</w:t>
            </w: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160" w:type="dxa"/>
            <w:vAlign w:val="bottom"/>
            <w:tcBorders>
              <w:bottom w:val="single" w:sz="8" w:color="808080"/>
            </w:tcBorders>
          </w:tcPr>
          <w:p>
            <w:pPr>
              <w:spacing w:after="0"/>
              <w:rPr>
                <w:sz w:val="11"/>
                <w:szCs w:val="11"/>
                <w:color w:val="auto"/>
              </w:rPr>
            </w:pPr>
          </w:p>
        </w:tc>
        <w:tc>
          <w:tcPr>
            <w:tcW w:w="2920" w:type="dxa"/>
            <w:vAlign w:val="bottom"/>
            <w:tcBorders>
              <w:bottom w:val="single" w:sz="8" w:color="808080"/>
            </w:tcBorders>
          </w:tcPr>
          <w:p>
            <w:pPr>
              <w:spacing w:after="0"/>
              <w:rPr>
                <w:sz w:val="11"/>
                <w:szCs w:val="11"/>
                <w:color w:val="auto"/>
              </w:rPr>
            </w:pPr>
          </w:p>
        </w:tc>
        <w:tc>
          <w:tcPr>
            <w:tcW w:w="5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Toro Company;</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J. Hoffman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Renee J. Peterson,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Toro Company;</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Renee J. Peterson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The Toro Company (the “Company”) on Form 10-Q for the quarterly period ended January 29, 2016 as filed with the Securities and Exchange Commission on the date hereof (the “Report”), we, Michael J. Hoffman, Chairman of the Board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80"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760" w:hanging="324"/>
        <w:spacing w:after="0" w:line="282" w:lineRule="auto"/>
        <w:tabs>
          <w:tab w:leader="none" w:pos="9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J. Hoffman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2016</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Renee J. Peterson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2016</w:t>
      </w:r>
    </w:p>
    <w:p>
      <w:pPr>
        <w:spacing w:after="0" w:line="200" w:lineRule="exact"/>
        <w:rPr>
          <w:sz w:val="20"/>
          <w:szCs w:val="20"/>
          <w:color w:val="auto"/>
        </w:rPr>
      </w:pPr>
    </w:p>
    <w:p>
      <w:pPr>
        <w:spacing w:after="0" w:line="22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32"/>
    </w:lvl>
  </w:abstractNum>
  <w:abstractNum w:abstractNumId="9">
    <w:nsid w:val="66EF438D"/>
    <w:multiLevelType w:val="hybridMultilevel"/>
    <w:lvl w:ilvl="0">
      <w:lvlJc w:val="left"/>
      <w:lvlText w:val="%1"/>
      <w:numFmt w:val="decimal"/>
      <w:start w:val="101"/>
    </w:lvl>
    <w:lvl w:ilvl="1">
      <w:lvlJc w:val="left"/>
      <w:lvlText w:val="(%2)"/>
      <w:numFmt w:val="lowerRoman"/>
      <w:start w:val="1"/>
    </w:lvl>
  </w:abstractNum>
  <w:abstractNum w:abstractNumId="10">
    <w:nsid w:val="140E0F76"/>
    <w:multiLevelType w:val="hybridMultilevel"/>
    <w:lvl w:ilvl="0">
      <w:lvlJc w:val="left"/>
      <w:lvlText w:val="%1"/>
      <w:numFmt w:val="decimal"/>
      <w:start w:val="1"/>
    </w:lvl>
    <w:lvl w:ilvl="1">
      <w:lvlJc w:val="left"/>
      <w:lvlText w:val="(%2)"/>
      <w:numFmt w:val="lowerRoman"/>
      <w:start w:val="4"/>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2019-12-29T14:23:27Z</dcterms:created>
  <dcterms:modified xsi:type="dcterms:W3CDTF">2019-12-29T14:23:27Z</dcterms:modified>
</cp:coreProperties>
</file>