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As filed with the Securities and Exchange Commission on June 12, 2000</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S-8</w:t>
      </w:r>
    </w:p>
    <w:p>
      <w:pPr>
        <w:spacing w:after="0" w:line="24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REGISTRATION STATEMENT</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UNDER</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060" w:type="dxa"/>
            <w:vAlign w:val="bottom"/>
            <w:gridSpan w:val="5"/>
          </w:tcPr>
          <w:p>
            <w:pPr>
              <w:jc w:val="center"/>
              <w:ind w:left="748"/>
              <w:spacing w:after="0"/>
              <w:rPr>
                <w:sz w:val="20"/>
                <w:szCs w:val="20"/>
                <w:color w:val="auto"/>
              </w:rPr>
            </w:pPr>
            <w:r>
              <w:rPr>
                <w:rFonts w:ascii="Arial" w:cs="Arial" w:eastAsia="Arial" w:hAnsi="Arial"/>
                <w:sz w:val="32"/>
                <w:szCs w:val="32"/>
                <w:b w:val="1"/>
                <w:bCs w:val="1"/>
                <w:color w:val="auto"/>
              </w:rPr>
              <w:t>THE TORO COMPANY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060" w:type="dxa"/>
            <w:vAlign w:val="bottom"/>
            <w:gridSpan w:val="5"/>
          </w:tcPr>
          <w:p>
            <w:pPr>
              <w:jc w:val="center"/>
              <w:ind w:left="748"/>
              <w:spacing w:after="0"/>
              <w:rPr>
                <w:sz w:val="20"/>
                <w:szCs w:val="20"/>
                <w:color w:val="auto"/>
              </w:rPr>
            </w:pPr>
            <w:r>
              <w:rPr>
                <w:rFonts w:ascii="Arial" w:cs="Arial" w:eastAsia="Arial" w:hAnsi="Arial"/>
                <w:sz w:val="18"/>
                <w:szCs w:val="18"/>
                <w:color w:val="auto"/>
                <w:w w:val="88"/>
              </w:rPr>
              <w:t>(Exact name of issuer as specified in its charter)</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60" w:type="dxa"/>
            <w:vAlign w:val="bottom"/>
            <w:gridSpan w:val="3"/>
          </w:tcPr>
          <w:p>
            <w:pPr>
              <w:jc w:val="center"/>
              <w:ind w:left="346"/>
              <w:spacing w:after="0"/>
              <w:rPr>
                <w:sz w:val="20"/>
                <w:szCs w:val="20"/>
                <w:color w:val="auto"/>
              </w:rPr>
            </w:pPr>
            <w:r>
              <w:rPr>
                <w:rFonts w:ascii="Arial" w:cs="Arial" w:eastAsia="Arial" w:hAnsi="Arial"/>
                <w:sz w:val="18"/>
                <w:szCs w:val="18"/>
                <w:b w:val="1"/>
                <w:bCs w:val="1"/>
                <w:color w:val="auto"/>
                <w:w w:val="89"/>
              </w:rPr>
              <w:t>41-0580470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incorporation or organization)</w:t>
            </w:r>
          </w:p>
        </w:tc>
        <w:tc>
          <w:tcPr>
            <w:tcW w:w="1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91"/>
              </w:rPr>
              <w:t>Identification Number)</w:t>
            </w: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40" w:type="dxa"/>
            <w:vAlign w:val="bottom"/>
            <w:gridSpan w:val="4"/>
          </w:tcPr>
          <w:p>
            <w:pPr>
              <w:jc w:val="center"/>
              <w:ind w:right="692"/>
              <w:spacing w:after="0"/>
              <w:rPr>
                <w:sz w:val="20"/>
                <w:szCs w:val="20"/>
                <w:color w:val="auto"/>
              </w:rPr>
            </w:pPr>
            <w:r>
              <w:rPr>
                <w:rFonts w:ascii="Arial" w:cs="Arial" w:eastAsia="Arial" w:hAnsi="Arial"/>
                <w:sz w:val="18"/>
                <w:szCs w:val="18"/>
                <w:b w:val="1"/>
                <w:bCs w:val="1"/>
                <w:color w:val="auto"/>
                <w:w w:val="86"/>
              </w:rPr>
              <w:t>8111 Lyndale Avenue South</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40" w:type="dxa"/>
            <w:vAlign w:val="bottom"/>
            <w:gridSpan w:val="4"/>
          </w:tcPr>
          <w:p>
            <w:pPr>
              <w:jc w:val="center"/>
              <w:ind w:right="672"/>
              <w:spacing w:after="0"/>
              <w:rPr>
                <w:sz w:val="20"/>
                <w:szCs w:val="20"/>
                <w:color w:val="auto"/>
              </w:rPr>
            </w:pPr>
            <w:r>
              <w:rPr>
                <w:rFonts w:ascii="Arial" w:cs="Arial" w:eastAsia="Arial" w:hAnsi="Arial"/>
                <w:sz w:val="18"/>
                <w:szCs w:val="18"/>
                <w:b w:val="1"/>
                <w:bCs w:val="1"/>
                <w:color w:val="auto"/>
                <w:w w:val="87"/>
              </w:rPr>
              <w:t>Bloomington, Minnesota 55420</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060" w:type="dxa"/>
            <w:vAlign w:val="bottom"/>
            <w:gridSpan w:val="5"/>
          </w:tcPr>
          <w:p>
            <w:pPr>
              <w:jc w:val="center"/>
              <w:ind w:left="768"/>
              <w:spacing w:after="0"/>
              <w:rPr>
                <w:sz w:val="20"/>
                <w:szCs w:val="20"/>
                <w:color w:val="auto"/>
              </w:rPr>
            </w:pPr>
            <w:r>
              <w:rPr>
                <w:rFonts w:ascii="Arial" w:cs="Arial" w:eastAsia="Arial" w:hAnsi="Arial"/>
                <w:sz w:val="18"/>
                <w:szCs w:val="18"/>
                <w:color w:val="auto"/>
                <w:w w:val="90"/>
              </w:rPr>
              <w:t>(Address of principal executive offices) (Zip Code)</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Borders>
              <w:bottom w:val="single" w:sz="8" w:color="808080"/>
            </w:tcBorders>
            <w:gridSpan w:val="2"/>
          </w:tcPr>
          <w:p>
            <w:pPr>
              <w:spacing w:after="0"/>
              <w:rPr>
                <w:sz w:val="19"/>
                <w:szCs w:val="19"/>
                <w:color w:val="auto"/>
              </w:rPr>
            </w:pPr>
          </w:p>
        </w:tc>
        <w:tc>
          <w:tcPr>
            <w:tcW w:w="1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40" w:type="dxa"/>
            <w:vAlign w:val="bottom"/>
            <w:gridSpan w:val="4"/>
          </w:tcPr>
          <w:p>
            <w:pPr>
              <w:jc w:val="center"/>
              <w:ind w:right="692"/>
              <w:spacing w:after="0"/>
              <w:rPr>
                <w:sz w:val="20"/>
                <w:szCs w:val="20"/>
                <w:color w:val="auto"/>
              </w:rPr>
            </w:pPr>
            <w:r>
              <w:rPr>
                <w:rFonts w:ascii="Arial" w:cs="Arial" w:eastAsia="Arial" w:hAnsi="Arial"/>
                <w:sz w:val="18"/>
                <w:szCs w:val="18"/>
                <w:b w:val="1"/>
                <w:bCs w:val="1"/>
                <w:color w:val="auto"/>
                <w:w w:val="95"/>
              </w:rPr>
              <w:t>2000 STOCK OPTION PLAN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20" w:type="dxa"/>
            <w:vAlign w:val="bottom"/>
            <w:gridSpan w:val="3"/>
          </w:tcPr>
          <w:p>
            <w:pPr>
              <w:jc w:val="center"/>
              <w:ind w:right="1192"/>
              <w:spacing w:after="0"/>
              <w:rPr>
                <w:sz w:val="20"/>
                <w:szCs w:val="20"/>
                <w:color w:val="auto"/>
              </w:rPr>
            </w:pPr>
            <w:r>
              <w:rPr>
                <w:rFonts w:ascii="Arial" w:cs="Arial" w:eastAsia="Arial" w:hAnsi="Arial"/>
                <w:sz w:val="18"/>
                <w:szCs w:val="18"/>
                <w:color w:val="auto"/>
                <w:w w:val="93"/>
              </w:rPr>
              <w:t>(Full title of the plan)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40" w:type="dxa"/>
            <w:vAlign w:val="bottom"/>
            <w:gridSpan w:val="4"/>
          </w:tcPr>
          <w:p>
            <w:pPr>
              <w:jc w:val="center"/>
              <w:ind w:right="692"/>
              <w:spacing w:after="0"/>
              <w:rPr>
                <w:sz w:val="20"/>
                <w:szCs w:val="20"/>
                <w:color w:val="auto"/>
              </w:rPr>
            </w:pPr>
            <w:r>
              <w:rPr>
                <w:rFonts w:ascii="Arial" w:cs="Arial" w:eastAsia="Arial" w:hAnsi="Arial"/>
                <w:sz w:val="18"/>
                <w:szCs w:val="18"/>
                <w:b w:val="1"/>
                <w:bCs w:val="1"/>
                <w:color w:val="auto"/>
                <w:w w:val="90"/>
              </w:rPr>
              <w:t>J. Lawrence McIntyre, Esquire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gridSpan w:val="5"/>
          </w:tcPr>
          <w:p>
            <w:pPr>
              <w:jc w:val="center"/>
              <w:ind w:left="748"/>
              <w:spacing w:after="0"/>
              <w:rPr>
                <w:sz w:val="20"/>
                <w:szCs w:val="20"/>
                <w:color w:val="auto"/>
              </w:rPr>
            </w:pPr>
            <w:r>
              <w:rPr>
                <w:rFonts w:ascii="Arial" w:cs="Arial" w:eastAsia="Arial" w:hAnsi="Arial"/>
                <w:sz w:val="18"/>
                <w:szCs w:val="18"/>
                <w:b w:val="1"/>
                <w:bCs w:val="1"/>
                <w:color w:val="auto"/>
                <w:w w:val="87"/>
              </w:rPr>
              <w:t>Vice President, Secretary and General Counsel</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20" w:type="dxa"/>
            <w:vAlign w:val="bottom"/>
            <w:gridSpan w:val="3"/>
          </w:tcPr>
          <w:p>
            <w:pPr>
              <w:jc w:val="center"/>
              <w:ind w:right="1212"/>
              <w:spacing w:after="0"/>
              <w:rPr>
                <w:sz w:val="20"/>
                <w:szCs w:val="20"/>
                <w:color w:val="auto"/>
              </w:rPr>
            </w:pPr>
            <w:r>
              <w:rPr>
                <w:rFonts w:ascii="Arial" w:cs="Arial" w:eastAsia="Arial" w:hAnsi="Arial"/>
                <w:sz w:val="18"/>
                <w:szCs w:val="18"/>
                <w:b w:val="1"/>
                <w:bCs w:val="1"/>
                <w:color w:val="auto"/>
                <w:w w:val="88"/>
              </w:rPr>
              <w:t>The Toro Company</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40" w:type="dxa"/>
            <w:vAlign w:val="bottom"/>
            <w:gridSpan w:val="4"/>
          </w:tcPr>
          <w:p>
            <w:pPr>
              <w:jc w:val="center"/>
              <w:ind w:right="692"/>
              <w:spacing w:after="0"/>
              <w:rPr>
                <w:sz w:val="20"/>
                <w:szCs w:val="20"/>
                <w:color w:val="auto"/>
              </w:rPr>
            </w:pPr>
            <w:r>
              <w:rPr>
                <w:rFonts w:ascii="Arial" w:cs="Arial" w:eastAsia="Arial" w:hAnsi="Arial"/>
                <w:sz w:val="18"/>
                <w:szCs w:val="18"/>
                <w:b w:val="1"/>
                <w:bCs w:val="1"/>
                <w:color w:val="auto"/>
                <w:w w:val="86"/>
              </w:rPr>
              <w:t>8111 Lyndale Avenue South</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40" w:type="dxa"/>
            <w:vAlign w:val="bottom"/>
            <w:gridSpan w:val="4"/>
          </w:tcPr>
          <w:p>
            <w:pPr>
              <w:jc w:val="center"/>
              <w:ind w:right="672"/>
              <w:spacing w:after="0"/>
              <w:rPr>
                <w:sz w:val="20"/>
                <w:szCs w:val="20"/>
                <w:color w:val="auto"/>
              </w:rPr>
            </w:pPr>
            <w:r>
              <w:rPr>
                <w:rFonts w:ascii="Arial" w:cs="Arial" w:eastAsia="Arial" w:hAnsi="Arial"/>
                <w:sz w:val="18"/>
                <w:szCs w:val="18"/>
                <w:b w:val="1"/>
                <w:bCs w:val="1"/>
                <w:color w:val="auto"/>
                <w:w w:val="87"/>
              </w:rPr>
              <w:t>Bloomington, Minnesota 55420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40" w:type="dxa"/>
            <w:vAlign w:val="bottom"/>
            <w:gridSpan w:val="4"/>
          </w:tcPr>
          <w:p>
            <w:pPr>
              <w:jc w:val="center"/>
              <w:ind w:right="672"/>
              <w:spacing w:after="0"/>
              <w:rPr>
                <w:sz w:val="20"/>
                <w:szCs w:val="20"/>
                <w:color w:val="auto"/>
              </w:rPr>
            </w:pPr>
            <w:r>
              <w:rPr>
                <w:rFonts w:ascii="Arial" w:cs="Arial" w:eastAsia="Arial" w:hAnsi="Arial"/>
                <w:sz w:val="18"/>
                <w:szCs w:val="18"/>
                <w:b w:val="1"/>
                <w:bCs w:val="1"/>
                <w:color w:val="auto"/>
                <w:w w:val="88"/>
              </w:rPr>
              <w:t>Telephone number: (952) 888-8801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060" w:type="dxa"/>
            <w:vAlign w:val="bottom"/>
            <w:gridSpan w:val="5"/>
          </w:tcPr>
          <w:p>
            <w:pPr>
              <w:jc w:val="center"/>
              <w:ind w:left="768"/>
              <w:spacing w:after="0"/>
              <w:rPr>
                <w:sz w:val="20"/>
                <w:szCs w:val="20"/>
                <w:color w:val="auto"/>
              </w:rPr>
            </w:pPr>
            <w:r>
              <w:rPr>
                <w:rFonts w:ascii="Arial" w:cs="Arial" w:eastAsia="Arial" w:hAnsi="Arial"/>
                <w:sz w:val="18"/>
                <w:szCs w:val="18"/>
                <w:color w:val="auto"/>
                <w:w w:val="87"/>
              </w:rPr>
              <w:t>(Name, address and telephone number of agent for service)</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jc w:val="center"/>
              <w:ind w:left="301"/>
              <w:spacing w:after="0"/>
              <w:rPr>
                <w:sz w:val="20"/>
                <w:szCs w:val="20"/>
                <w:color w:val="auto"/>
              </w:rPr>
            </w:pPr>
            <w:r>
              <w:rPr>
                <w:rFonts w:ascii="Arial" w:cs="Arial" w:eastAsia="Arial" w:hAnsi="Arial"/>
                <w:sz w:val="18"/>
                <w:szCs w:val="18"/>
                <w:b w:val="1"/>
                <w:bCs w:val="1"/>
                <w:color w:val="auto"/>
                <w:w w:val="90"/>
              </w:rPr>
              <w:t>Copy to:</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40" w:type="dxa"/>
            <w:vAlign w:val="bottom"/>
            <w:gridSpan w:val="4"/>
          </w:tcPr>
          <w:p>
            <w:pPr>
              <w:jc w:val="center"/>
              <w:ind w:right="672"/>
              <w:spacing w:after="0"/>
              <w:rPr>
                <w:sz w:val="20"/>
                <w:szCs w:val="20"/>
                <w:color w:val="auto"/>
              </w:rPr>
            </w:pPr>
            <w:r>
              <w:rPr>
                <w:rFonts w:ascii="Arial" w:cs="Arial" w:eastAsia="Arial" w:hAnsi="Arial"/>
                <w:sz w:val="18"/>
                <w:szCs w:val="18"/>
                <w:b w:val="1"/>
                <w:bCs w:val="1"/>
                <w:color w:val="auto"/>
                <w:w w:val="88"/>
              </w:rPr>
              <w:t>Helen P. Starr, Esquire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20" w:type="dxa"/>
            <w:vAlign w:val="bottom"/>
            <w:gridSpan w:val="3"/>
          </w:tcPr>
          <w:p>
            <w:pPr>
              <w:jc w:val="center"/>
              <w:ind w:right="1212"/>
              <w:spacing w:after="0"/>
              <w:rPr>
                <w:sz w:val="20"/>
                <w:szCs w:val="20"/>
                <w:color w:val="auto"/>
              </w:rPr>
            </w:pPr>
            <w:r>
              <w:rPr>
                <w:rFonts w:ascii="Arial" w:cs="Arial" w:eastAsia="Arial" w:hAnsi="Arial"/>
                <w:sz w:val="18"/>
                <w:szCs w:val="18"/>
                <w:color w:val="auto"/>
                <w:w w:val="90"/>
              </w:rPr>
              <w:t>Perkins Coie LLP</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40" w:type="dxa"/>
            <w:vAlign w:val="bottom"/>
            <w:gridSpan w:val="4"/>
          </w:tcPr>
          <w:p>
            <w:pPr>
              <w:jc w:val="center"/>
              <w:ind w:right="692"/>
              <w:spacing w:after="0"/>
              <w:rPr>
                <w:sz w:val="20"/>
                <w:szCs w:val="20"/>
                <w:color w:val="auto"/>
              </w:rPr>
            </w:pPr>
            <w:r>
              <w:rPr>
                <w:rFonts w:ascii="Arial" w:cs="Arial" w:eastAsia="Arial" w:hAnsi="Arial"/>
                <w:sz w:val="18"/>
                <w:szCs w:val="18"/>
                <w:color w:val="auto"/>
                <w:w w:val="87"/>
              </w:rPr>
              <w:t>607 Fourteenth Street, N.W.</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40" w:type="dxa"/>
            <w:vAlign w:val="bottom"/>
            <w:gridSpan w:val="4"/>
          </w:tcPr>
          <w:p>
            <w:pPr>
              <w:jc w:val="center"/>
              <w:ind w:right="692"/>
              <w:spacing w:after="0"/>
              <w:rPr>
                <w:sz w:val="20"/>
                <w:szCs w:val="20"/>
                <w:color w:val="auto"/>
              </w:rPr>
            </w:pPr>
            <w:r>
              <w:rPr>
                <w:rFonts w:ascii="Arial" w:cs="Arial" w:eastAsia="Arial" w:hAnsi="Arial"/>
                <w:sz w:val="18"/>
                <w:szCs w:val="18"/>
                <w:color w:val="auto"/>
                <w:w w:val="88"/>
              </w:rPr>
              <w:t>Washington, D.C. 20005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140" w:type="dxa"/>
            <w:vAlign w:val="bottom"/>
            <w:gridSpan w:val="2"/>
          </w:tcPr>
          <w:p>
            <w:pPr>
              <w:spacing w:after="0"/>
              <w:rPr>
                <w:sz w:val="19"/>
                <w:szCs w:val="19"/>
                <w:color w:val="auto"/>
              </w:rPr>
            </w:pPr>
          </w:p>
        </w:tc>
        <w:tc>
          <w:tcPr>
            <w:tcW w:w="1640" w:type="dxa"/>
            <w:vAlign w:val="bottom"/>
            <w:tcBorders>
              <w:bottom w:val="single" w:sz="8" w:color="808080"/>
            </w:tcBorders>
            <w:gridSpan w:val="2"/>
          </w:tcPr>
          <w:p>
            <w:pPr>
              <w:spacing w:after="0"/>
              <w:rPr>
                <w:sz w:val="19"/>
                <w:szCs w:val="19"/>
                <w:color w:val="auto"/>
              </w:rPr>
            </w:pPr>
          </w:p>
        </w:tc>
        <w:tc>
          <w:tcPr>
            <w:tcW w:w="1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060" w:type="dxa"/>
            <w:vAlign w:val="bottom"/>
            <w:gridSpan w:val="5"/>
          </w:tcPr>
          <w:p>
            <w:pPr>
              <w:jc w:val="center"/>
              <w:ind w:left="748"/>
              <w:spacing w:after="0"/>
              <w:rPr>
                <w:sz w:val="20"/>
                <w:szCs w:val="20"/>
                <w:color w:val="auto"/>
              </w:rPr>
            </w:pPr>
            <w:r>
              <w:rPr>
                <w:rFonts w:ascii="Arial" w:cs="Arial" w:eastAsia="Arial" w:hAnsi="Arial"/>
                <w:sz w:val="18"/>
                <w:szCs w:val="18"/>
                <w:b w:val="1"/>
                <w:bCs w:val="1"/>
                <w:color w:val="auto"/>
                <w:w w:val="99"/>
              </w:rPr>
              <w:t>CALCULATION OF REGISTRATION FEE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gridSpan w:val="2"/>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center"/>
              <w:ind w:right="581"/>
              <w:spacing w:after="0"/>
              <w:rPr>
                <w:sz w:val="20"/>
                <w:szCs w:val="20"/>
                <w:color w:val="auto"/>
              </w:rPr>
            </w:pPr>
            <w:r>
              <w:rPr>
                <w:rFonts w:ascii="Arial" w:cs="Arial" w:eastAsia="Arial" w:hAnsi="Arial"/>
                <w:sz w:val="14"/>
                <w:szCs w:val="14"/>
                <w:b w:val="1"/>
                <w:bCs w:val="1"/>
                <w:color w:val="auto"/>
                <w:w w:val="83"/>
              </w:rPr>
              <w:t>Proposed</w:t>
            </w:r>
          </w:p>
        </w:tc>
        <w:tc>
          <w:tcPr>
            <w:tcW w:w="1680" w:type="dxa"/>
            <w:vAlign w:val="bottom"/>
            <w:gridSpan w:val="2"/>
          </w:tcPr>
          <w:p>
            <w:pPr>
              <w:jc w:val="center"/>
              <w:ind w:right="292"/>
              <w:spacing w:after="0"/>
              <w:rPr>
                <w:sz w:val="20"/>
                <w:szCs w:val="20"/>
                <w:color w:val="auto"/>
              </w:rPr>
            </w:pPr>
            <w:r>
              <w:rPr>
                <w:rFonts w:ascii="Arial" w:cs="Arial" w:eastAsia="Arial" w:hAnsi="Arial"/>
                <w:sz w:val="14"/>
                <w:szCs w:val="14"/>
                <w:b w:val="1"/>
                <w:bCs w:val="1"/>
                <w:color w:val="auto"/>
                <w:w w:val="83"/>
              </w:rPr>
              <w:t>Proposed</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tcPr>
          <w:p>
            <w:pPr>
              <w:jc w:val="center"/>
              <w:ind w:right="581"/>
              <w:spacing w:after="0" w:line="149" w:lineRule="exact"/>
              <w:rPr>
                <w:sz w:val="20"/>
                <w:szCs w:val="20"/>
                <w:color w:val="auto"/>
              </w:rPr>
            </w:pPr>
            <w:r>
              <w:rPr>
                <w:rFonts w:ascii="Arial" w:cs="Arial" w:eastAsia="Arial" w:hAnsi="Arial"/>
                <w:sz w:val="14"/>
                <w:szCs w:val="14"/>
                <w:b w:val="1"/>
                <w:bCs w:val="1"/>
                <w:color w:val="auto"/>
                <w:w w:val="88"/>
              </w:rPr>
              <w:t>maximum</w:t>
            </w:r>
          </w:p>
        </w:tc>
        <w:tc>
          <w:tcPr>
            <w:tcW w:w="1680" w:type="dxa"/>
            <w:vAlign w:val="bottom"/>
            <w:gridSpan w:val="2"/>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maximum</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Title of securities</w:t>
            </w:r>
          </w:p>
        </w:tc>
        <w:tc>
          <w:tcPr>
            <w:tcW w:w="162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88"/>
              </w:rPr>
              <w:t>Amount to</w:t>
            </w:r>
          </w:p>
        </w:tc>
        <w:tc>
          <w:tcPr>
            <w:tcW w:w="1760" w:type="dxa"/>
            <w:vAlign w:val="bottom"/>
            <w:gridSpan w:val="2"/>
          </w:tcPr>
          <w:p>
            <w:pPr>
              <w:jc w:val="center"/>
              <w:ind w:right="61"/>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680" w:type="dxa"/>
            <w:vAlign w:val="bottom"/>
            <w:gridSpan w:val="2"/>
          </w:tcPr>
          <w:p>
            <w:pPr>
              <w:jc w:val="center"/>
              <w:ind w:right="312"/>
              <w:spacing w:after="0" w:line="149" w:lineRule="exact"/>
              <w:rPr>
                <w:sz w:val="20"/>
                <w:szCs w:val="20"/>
                <w:color w:val="auto"/>
              </w:rPr>
            </w:pPr>
            <w:r>
              <w:rPr>
                <w:rFonts w:ascii="Arial" w:cs="Arial" w:eastAsia="Arial" w:hAnsi="Arial"/>
                <w:sz w:val="14"/>
                <w:szCs w:val="14"/>
                <w:b w:val="1"/>
                <w:bCs w:val="1"/>
                <w:color w:val="auto"/>
                <w:w w:val="83"/>
              </w:rPr>
              <w:t>aggregate</w:t>
            </w:r>
          </w:p>
        </w:tc>
        <w:tc>
          <w:tcPr>
            <w:tcW w:w="108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85"/>
              </w:rPr>
              <w:t>to be registered</w:t>
            </w:r>
          </w:p>
        </w:tc>
        <w:tc>
          <w:tcPr>
            <w:tcW w:w="1620" w:type="dxa"/>
            <w:vAlign w:val="bottom"/>
          </w:tcPr>
          <w:p>
            <w:pPr>
              <w:jc w:val="center"/>
              <w:ind w:left="108"/>
              <w:spacing w:after="0"/>
              <w:rPr>
                <w:sz w:val="20"/>
                <w:szCs w:val="20"/>
                <w:color w:val="auto"/>
              </w:rPr>
            </w:pPr>
            <w:r>
              <w:rPr>
                <w:rFonts w:ascii="Arial" w:cs="Arial" w:eastAsia="Arial" w:hAnsi="Arial"/>
                <w:sz w:val="14"/>
                <w:szCs w:val="14"/>
                <w:b w:val="1"/>
                <w:bCs w:val="1"/>
                <w:color w:val="auto"/>
                <w:w w:val="84"/>
              </w:rPr>
              <w:t>be registered</w:t>
            </w:r>
          </w:p>
        </w:tc>
        <w:tc>
          <w:tcPr>
            <w:tcW w:w="520" w:type="dxa"/>
            <w:vAlign w:val="bottom"/>
          </w:tcPr>
          <w:p>
            <w:pPr>
              <w:spacing w:after="0"/>
              <w:rPr>
                <w:sz w:val="15"/>
                <w:szCs w:val="15"/>
                <w:color w:val="auto"/>
              </w:rPr>
            </w:pPr>
          </w:p>
        </w:tc>
        <w:tc>
          <w:tcPr>
            <w:tcW w:w="1240" w:type="dxa"/>
            <w:vAlign w:val="bottom"/>
          </w:tcPr>
          <w:p>
            <w:pPr>
              <w:jc w:val="center"/>
              <w:ind w:right="581"/>
              <w:spacing w:after="0"/>
              <w:rPr>
                <w:sz w:val="20"/>
                <w:szCs w:val="20"/>
                <w:color w:val="auto"/>
              </w:rPr>
            </w:pPr>
            <w:r>
              <w:rPr>
                <w:rFonts w:ascii="Arial" w:cs="Arial" w:eastAsia="Arial" w:hAnsi="Arial"/>
                <w:sz w:val="14"/>
                <w:szCs w:val="14"/>
                <w:b w:val="1"/>
                <w:bCs w:val="1"/>
                <w:color w:val="auto"/>
                <w:w w:val="85"/>
              </w:rPr>
              <w:t>per share</w:t>
            </w:r>
          </w:p>
        </w:tc>
        <w:tc>
          <w:tcPr>
            <w:tcW w:w="1680" w:type="dxa"/>
            <w:vAlign w:val="bottom"/>
            <w:gridSpan w:val="2"/>
          </w:tcPr>
          <w:p>
            <w:pPr>
              <w:jc w:val="center"/>
              <w:ind w:right="292"/>
              <w:spacing w:after="0"/>
              <w:rPr>
                <w:sz w:val="20"/>
                <w:szCs w:val="20"/>
                <w:color w:val="auto"/>
              </w:rPr>
            </w:pPr>
            <w:r>
              <w:rPr>
                <w:rFonts w:ascii="Arial" w:cs="Arial" w:eastAsia="Arial" w:hAnsi="Arial"/>
                <w:sz w:val="14"/>
                <w:szCs w:val="14"/>
                <w:b w:val="1"/>
                <w:bCs w:val="1"/>
                <w:color w:val="auto"/>
                <w:w w:val="87"/>
              </w:rPr>
              <w:t>offering price</w:t>
            </w:r>
          </w:p>
        </w:tc>
        <w:tc>
          <w:tcPr>
            <w:tcW w:w="1080" w:type="dxa"/>
            <w:vAlign w:val="bottom"/>
          </w:tcPr>
          <w:p>
            <w:pPr>
              <w:jc w:val="center"/>
              <w:ind w:right="66"/>
              <w:spacing w:after="0"/>
              <w:rPr>
                <w:sz w:val="20"/>
                <w:szCs w:val="20"/>
                <w:color w:val="auto"/>
              </w:rPr>
            </w:pPr>
            <w:r>
              <w:rPr>
                <w:rFonts w:ascii="Arial" w:cs="Arial" w:eastAsia="Arial" w:hAnsi="Arial"/>
                <w:sz w:val="14"/>
                <w:szCs w:val="14"/>
                <w:b w:val="1"/>
                <w:bCs w:val="1"/>
                <w:color w:val="auto"/>
                <w:w w:val="84"/>
              </w:rPr>
              <w:t>registration fee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gridSpan w:val="2"/>
          </w:tcPr>
          <w:p>
            <w:pPr>
              <w:spacing w:after="0"/>
              <w:rPr>
                <w:sz w:val="9"/>
                <w:szCs w:val="9"/>
                <w:color w:val="auto"/>
              </w:rPr>
            </w:pPr>
          </w:p>
        </w:tc>
        <w:tc>
          <w:tcPr>
            <w:tcW w:w="1680" w:type="dxa"/>
            <w:vAlign w:val="bottom"/>
            <w:tcBorders>
              <w:bottom w:val="single" w:sz="8" w:color="808080"/>
            </w:tcBorders>
            <w:gridSpan w:val="2"/>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4"/>
              </w:rPr>
              <w:t>Common Stock, par value $1.00 per</w:t>
            </w:r>
          </w:p>
        </w:tc>
        <w:tc>
          <w:tcPr>
            <w:tcW w:w="1620" w:type="dxa"/>
            <w:vAlign w:val="bottom"/>
            <w:shd w:val="clear" w:color="auto" w:fill="CCEEFF"/>
          </w:tcPr>
          <w:p>
            <w:pPr>
              <w:jc w:val="center"/>
              <w:ind w:left="108"/>
              <w:spacing w:after="0"/>
              <w:rPr>
                <w:sz w:val="20"/>
                <w:szCs w:val="20"/>
                <w:color w:val="auto"/>
              </w:rPr>
            </w:pPr>
            <w:r>
              <w:rPr>
                <w:rFonts w:ascii="Arial" w:cs="Arial" w:eastAsia="Arial" w:hAnsi="Arial"/>
                <w:sz w:val="18"/>
                <w:szCs w:val="18"/>
                <w:color w:val="auto"/>
                <w:w w:val="85"/>
              </w:rPr>
              <w:t>1,000,000 shares(b)</w:t>
            </w:r>
          </w:p>
        </w:tc>
        <w:tc>
          <w:tcPr>
            <w:tcW w:w="1760" w:type="dxa"/>
            <w:vAlign w:val="bottom"/>
            <w:gridSpan w:val="2"/>
            <w:shd w:val="clear" w:color="auto" w:fill="CCEEFF"/>
          </w:tcPr>
          <w:p>
            <w:pPr>
              <w:jc w:val="center"/>
              <w:ind w:right="41"/>
              <w:spacing w:after="0"/>
              <w:rPr>
                <w:sz w:val="20"/>
                <w:szCs w:val="20"/>
                <w:color w:val="auto"/>
              </w:rPr>
            </w:pPr>
            <w:r>
              <w:rPr>
                <w:rFonts w:ascii="Arial" w:cs="Arial" w:eastAsia="Arial" w:hAnsi="Arial"/>
                <w:sz w:val="18"/>
                <w:szCs w:val="18"/>
                <w:color w:val="auto"/>
                <w:w w:val="89"/>
              </w:rPr>
              <w:t>$35.25(c)</w:t>
            </w:r>
          </w:p>
        </w:tc>
        <w:tc>
          <w:tcPr>
            <w:tcW w:w="1680" w:type="dxa"/>
            <w:vAlign w:val="bottom"/>
            <w:gridSpan w:val="2"/>
            <w:shd w:val="clear" w:color="auto" w:fill="CCEEFF"/>
          </w:tcPr>
          <w:p>
            <w:pPr>
              <w:jc w:val="center"/>
              <w:ind w:right="292"/>
              <w:spacing w:after="0"/>
              <w:rPr>
                <w:sz w:val="20"/>
                <w:szCs w:val="20"/>
                <w:color w:val="auto"/>
              </w:rPr>
            </w:pPr>
            <w:r>
              <w:rPr>
                <w:rFonts w:ascii="Arial" w:cs="Arial" w:eastAsia="Arial" w:hAnsi="Arial"/>
                <w:sz w:val="18"/>
                <w:szCs w:val="18"/>
                <w:color w:val="auto"/>
                <w:w w:val="87"/>
              </w:rPr>
              <w:t>$35,250,000(c)</w:t>
            </w:r>
          </w:p>
        </w:tc>
        <w:tc>
          <w:tcPr>
            <w:tcW w:w="1080" w:type="dxa"/>
            <w:vAlign w:val="bottom"/>
            <w:shd w:val="clear" w:color="auto" w:fill="CCEEFF"/>
          </w:tcPr>
          <w:p>
            <w:pPr>
              <w:jc w:val="center"/>
              <w:ind w:right="66"/>
              <w:spacing w:after="0"/>
              <w:rPr>
                <w:sz w:val="20"/>
                <w:szCs w:val="20"/>
                <w:color w:val="auto"/>
              </w:rPr>
            </w:pPr>
            <w:r>
              <w:rPr>
                <w:rFonts w:ascii="Arial" w:cs="Arial" w:eastAsia="Arial" w:hAnsi="Arial"/>
                <w:sz w:val="18"/>
                <w:szCs w:val="18"/>
                <w:color w:val="auto"/>
                <w:w w:val="90"/>
              </w:rPr>
              <w:t>$9,306(d)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share(a)</w:t>
            </w:r>
          </w:p>
        </w:tc>
        <w:tc>
          <w:tcPr>
            <w:tcW w:w="1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-4387850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-4387850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-2586990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-2586990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-1471930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-1471930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-974725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-974725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-443230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(a)</w:t>
      </w:r>
    </w:p>
    <w:p>
      <w:pPr>
        <w:spacing w:after="0" w:line="15" w:lineRule="exact"/>
        <w:rPr>
          <w:sz w:val="24"/>
          <w:szCs w:val="24"/>
          <w:color w:val="auto"/>
        </w:rPr>
      </w:pPr>
    </w:p>
    <w:p>
      <w:pPr>
        <w:ind w:left="540"/>
        <w:spacing w:after="0" w:line="261" w:lineRule="auto"/>
        <w:rPr>
          <w:sz w:val="20"/>
          <w:szCs w:val="20"/>
          <w:color w:val="auto"/>
        </w:rPr>
      </w:pPr>
      <w:r>
        <w:rPr>
          <w:rFonts w:ascii="Arial" w:cs="Arial" w:eastAsia="Arial" w:hAnsi="Arial"/>
          <w:sz w:val="18"/>
          <w:szCs w:val="18"/>
          <w:color w:val="auto"/>
        </w:rPr>
        <w:t>Each share of Common Stock includes one Preferred Share Purchase Right pursuant to the Rights Agreement dated May 20, 1998. Value attributable to such Rights, if any, is reflected in the market price of the Common Stock.</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(b)</w:t>
      </w:r>
    </w:p>
    <w:p>
      <w:pPr>
        <w:spacing w:after="0" w:line="15" w:lineRule="exact"/>
        <w:rPr>
          <w:sz w:val="24"/>
          <w:szCs w:val="24"/>
          <w:color w:val="auto"/>
        </w:rPr>
      </w:pPr>
    </w:p>
    <w:p>
      <w:pPr>
        <w:ind w:left="540"/>
        <w:spacing w:after="0"/>
        <w:rPr>
          <w:sz w:val="20"/>
          <w:szCs w:val="20"/>
          <w:color w:val="auto"/>
        </w:rPr>
      </w:pPr>
      <w:r>
        <w:rPr>
          <w:rFonts w:ascii="Arial" w:cs="Arial" w:eastAsia="Arial" w:hAnsi="Arial"/>
          <w:sz w:val="18"/>
          <w:szCs w:val="18"/>
          <w:color w:val="auto"/>
        </w:rPr>
        <w:t>An indeterminate number of shares will be issued from time to time to participants pursuant to the Plan.</w:t>
      </w:r>
    </w:p>
    <w:p>
      <w:pPr>
        <w:sectPr>
          <w:pgSz w:w="11900" w:h="16838" w:orient="portrait"/>
          <w:cols w:equalWidth="0" w:num="1">
            <w:col w:w="11200"/>
          </w:cols>
          <w:pgMar w:left="240" w:top="226" w:right="459" w:bottom="0" w:gutter="0" w:footer="0" w:header="0"/>
        </w:sectPr>
      </w:pPr>
    </w:p>
    <w:bookmarkStart w:id="1" w:name="page2"/>
    <w:bookmarkEnd w:id="1"/>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15" w:lineRule="exact"/>
        <w:rPr>
          <w:sz w:val="20"/>
          <w:szCs w:val="20"/>
          <w:color w:val="auto"/>
        </w:rPr>
      </w:pPr>
    </w:p>
    <w:p>
      <w:pPr>
        <w:ind w:left="540" w:right="860"/>
        <w:spacing w:after="0" w:line="323" w:lineRule="auto"/>
        <w:rPr>
          <w:sz w:val="20"/>
          <w:szCs w:val="20"/>
          <w:color w:val="auto"/>
        </w:rPr>
      </w:pPr>
      <w:r>
        <w:rPr>
          <w:rFonts w:ascii="Arial" w:cs="Arial" w:eastAsia="Arial" w:hAnsi="Arial"/>
          <w:sz w:val="16"/>
          <w:szCs w:val="16"/>
          <w:color w:val="auto"/>
        </w:rPr>
        <w:t>Estimated solely to calculate the registration fee, pursuant to Rule 457(c), on the basis of the average of the high and low prices reported in the consolidated reporting system on June 7, 2000, as reported on the New York Stock Exchange Composite Tape.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Restricted fee to be applied to account number 737758.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450850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536575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31" w:lineRule="exact"/>
        <w:rPr>
          <w:sz w:val="20"/>
          <w:szCs w:val="20"/>
          <w:color w:val="auto"/>
        </w:rPr>
      </w:pPr>
    </w:p>
    <w:p>
      <w:pPr>
        <w:ind w:right="700" w:firstLine="166"/>
        <w:spacing w:after="0" w:line="268" w:lineRule="auto"/>
        <w:rPr>
          <w:sz w:val="20"/>
          <w:szCs w:val="20"/>
          <w:color w:val="auto"/>
        </w:rPr>
      </w:pPr>
      <w:r>
        <w:rPr>
          <w:rFonts w:ascii="Arial" w:cs="Arial" w:eastAsia="Arial" w:hAnsi="Arial"/>
          <w:sz w:val="18"/>
          <w:szCs w:val="18"/>
          <w:color w:val="auto"/>
        </w:rPr>
        <w:t>All information required by Part I to be contained in the prospectus is omitted from this Registration Statement in accordance with Rule 428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31" w:lineRule="exact"/>
        <w:rPr>
          <w:sz w:val="20"/>
          <w:szCs w:val="20"/>
          <w:color w:val="auto"/>
        </w:rPr>
      </w:pPr>
    </w:p>
    <w:p>
      <w:pPr>
        <w:ind w:right="360" w:firstLine="172"/>
        <w:spacing w:after="0" w:line="268" w:lineRule="auto"/>
        <w:rPr>
          <w:sz w:val="20"/>
          <w:szCs w:val="20"/>
          <w:color w:val="auto"/>
        </w:rPr>
      </w:pPr>
      <w:r>
        <w:rPr>
          <w:rFonts w:ascii="Arial" w:cs="Arial" w:eastAsia="Arial" w:hAnsi="Arial"/>
          <w:sz w:val="18"/>
          <w:szCs w:val="18"/>
          <w:color w:val="auto"/>
        </w:rPr>
        <w:t>The rules of the Securities and Exchange Commission allow the Registrant to "incorporate by reference" information into this Registration Statement. This means that the Registrant may disclose important information to you by referring you to another document.</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documents have been filed by the Registrant with the SEC and are incorporated by reference in this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Registrant's Annual Report on Form 10-K for the fiscal year ended October 31, 1999 (File No. 1-8649).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Its Quarterly Report on Form 10-Q for the quarter ended April 28, 2000 (File No. 1-8649).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ind w:left="540" w:right="160"/>
        <w:spacing w:after="0" w:line="255" w:lineRule="auto"/>
        <w:rPr>
          <w:sz w:val="20"/>
          <w:szCs w:val="20"/>
          <w:color w:val="auto"/>
        </w:rPr>
      </w:pPr>
      <w:r>
        <w:rPr>
          <w:rFonts w:ascii="Arial" w:cs="Arial" w:eastAsia="Arial" w:hAnsi="Arial"/>
          <w:sz w:val="18"/>
          <w:szCs w:val="18"/>
          <w:color w:val="auto"/>
        </w:rPr>
        <w:t>The descriptions of its Common Stock and Preferred Share Purchase Rights contained in its Registration Statements filed with the Commission pursuant to Section 12 of the Securities Exchange Act of 1934 (the "Exchange Act"), including any amendment or report filed for the purpose of updating such descriptions (File No. 1-8649).</w:t>
      </w:r>
    </w:p>
    <w:p>
      <w:pPr>
        <w:spacing w:after="0" w:line="198" w:lineRule="exact"/>
        <w:rPr>
          <w:sz w:val="20"/>
          <w:szCs w:val="20"/>
          <w:color w:val="auto"/>
        </w:rPr>
      </w:pPr>
    </w:p>
    <w:p>
      <w:pPr>
        <w:ind w:right="180" w:firstLine="166"/>
        <w:spacing w:after="0" w:line="255" w:lineRule="auto"/>
        <w:rPr>
          <w:sz w:val="20"/>
          <w:szCs w:val="20"/>
          <w:color w:val="auto"/>
        </w:rPr>
      </w:pPr>
      <w:r>
        <w:rPr>
          <w:rFonts w:ascii="Arial" w:cs="Arial" w:eastAsia="Arial" w:hAnsi="Arial"/>
          <w:sz w:val="18"/>
          <w:szCs w:val="18"/>
          <w:color w:val="auto"/>
        </w:rPr>
        <w:t>All documents subsequently filed by Registrant pursuant to Sections 13(a), 13(c), 14 and 15(d) of the Securities Exchange Act of 1934, prior to the filing of a post-effective amendment which indicates that all securities offered have been sold or which deregisters all securities then remaining unsold, shall be deemed to be incorporated by reference in this Registration Statement and to be part of this Registration Statement from the date of filing of those documents. The information contained in a document will automatically update and supersede any information previously incorporated by reference into this Registration Statement.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Common Stock is registered under Section 12(b) of the 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31" w:lineRule="exact"/>
        <w:rPr>
          <w:sz w:val="20"/>
          <w:szCs w:val="20"/>
          <w:color w:val="auto"/>
        </w:rPr>
      </w:pPr>
    </w:p>
    <w:p>
      <w:pPr>
        <w:ind w:right="620" w:firstLine="172"/>
        <w:spacing w:after="0" w:line="268" w:lineRule="auto"/>
        <w:rPr>
          <w:sz w:val="20"/>
          <w:szCs w:val="20"/>
          <w:color w:val="auto"/>
        </w:rPr>
      </w:pPr>
      <w:r>
        <w:rPr>
          <w:rFonts w:ascii="Arial" w:cs="Arial" w:eastAsia="Arial" w:hAnsi="Arial"/>
          <w:sz w:val="18"/>
          <w:szCs w:val="18"/>
          <w:color w:val="auto"/>
        </w:rPr>
        <w:t>The opinion of counsel as to the legality of the securities being registered, which is Exhibit 5 to this Registration Statement, is rendered by J. Lawrence McIntyre, Vice President, Secretary and General Counsel to Registrant.</w:t>
      </w:r>
    </w:p>
    <w:p>
      <w:pPr>
        <w:spacing w:after="0" w:line="186" w:lineRule="exact"/>
        <w:rPr>
          <w:sz w:val="20"/>
          <w:szCs w:val="20"/>
          <w:color w:val="auto"/>
        </w:rPr>
      </w:pPr>
    </w:p>
    <w:p>
      <w:pPr>
        <w:ind w:right="200" w:firstLine="172"/>
        <w:spacing w:after="0" w:line="259" w:lineRule="auto"/>
        <w:rPr>
          <w:sz w:val="20"/>
          <w:szCs w:val="20"/>
          <w:color w:val="auto"/>
        </w:rPr>
      </w:pPr>
      <w:r>
        <w:rPr>
          <w:rFonts w:ascii="Arial" w:cs="Arial" w:eastAsia="Arial" w:hAnsi="Arial"/>
          <w:sz w:val="18"/>
          <w:szCs w:val="18"/>
          <w:color w:val="auto"/>
        </w:rPr>
        <w:t>This Registration Statement incorporates the consolidated financial statements and related financial statement schedules of Registrant as of October 31, 1999 and for each of the years in the three-year period ended October 31, 1999. Registrant relies on the reports and expertise of KPMG LLP, independent certified public accountants, in incorporating these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31" w:lineRule="exact"/>
        <w:rPr>
          <w:sz w:val="20"/>
          <w:szCs w:val="20"/>
          <w:color w:val="auto"/>
        </w:rPr>
      </w:pPr>
    </w:p>
    <w:p>
      <w:pPr>
        <w:ind w:firstLine="176"/>
        <w:spacing w:after="0" w:line="332" w:lineRule="auto"/>
        <w:rPr>
          <w:sz w:val="20"/>
          <w:szCs w:val="20"/>
          <w:color w:val="auto"/>
        </w:rPr>
      </w:pPr>
      <w:r>
        <w:rPr>
          <w:rFonts w:ascii="Arial" w:cs="Arial" w:eastAsia="Arial" w:hAnsi="Arial"/>
          <w:sz w:val="16"/>
          <w:szCs w:val="16"/>
          <w:color w:val="auto"/>
        </w:rPr>
        <w:t>Section 145 of the General Corporation Law of the State of Delaware empowers a corporation incorporated under the statute to indemnify its directors, officers, employees and agents and its former directors, officers, employees and agents and those who serve in such capacities with another enterprise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 the corporation's request against expenses (including attorneys' fees), as well as judgments, fines and settlements, actually and reasonably incurred by them in connection with any action, suit or proceeding in which they or any of them were or are made parties or are threatened to be made parties by reason of their serving or having served in such capacity. The power to indemnify exists only where such officer, director, employee or agent has acted in good faith and in a manner he reasonably believed to be in or not opposed to the best interests of the corporation and, in the case of a criminal action, where such person had no reasonable cause to believe his conduct was unlawful. Unless a court determines to the contrary, a corporation has no power of indemnification in an action or suit by or in the right of the corporation, where such person has been adjudged liable to the corporation. Indemnification against expenses is mandatory to the extent a claim, issue or matter has been successfully defended. Indemnification and advancement of expenses are not deemed exclusive of any other rights to which those indemnified may be entitled under any bylaw, agreement, vote of stockholders or otherwise. A Delaware corporation also has the power to purchase and maintain insurance on behalf of any person it has the power to indemnify, whether or not indemnity against liability would be allowed under the statute.</w:t>
      </w:r>
    </w:p>
    <w:p>
      <w:pPr>
        <w:sectPr>
          <w:pgSz w:w="11900" w:h="16904" w:orient="portrait"/>
          <w:cols w:equalWidth="0" w:num="1">
            <w:col w:w="11420"/>
          </w:cols>
          <w:pgMar w:left="240" w:top="131" w:right="239" w:bottom="0" w:gutter="0" w:footer="0" w:header="0"/>
        </w:sectPr>
      </w:pPr>
    </w:p>
    <w:bookmarkStart w:id="2" w:name="page3"/>
    <w:bookmarkEnd w:id="2"/>
    <w:p>
      <w:pPr>
        <w:ind w:right="20" w:firstLine="176"/>
        <w:spacing w:after="0" w:line="259" w:lineRule="auto"/>
        <w:rPr>
          <w:sz w:val="20"/>
          <w:szCs w:val="20"/>
          <w:color w:val="auto"/>
        </w:rPr>
      </w:pPr>
      <w:r>
        <w:rPr>
          <w:rFonts w:ascii="Arial" w:cs="Arial" w:eastAsia="Arial" w:hAnsi="Arial"/>
          <w:sz w:val="18"/>
          <w:szCs w:val="18"/>
          <w:color w:val="auto"/>
        </w:rPr>
        <w:t>Section 2 of Article XI of the Registrant's Certificate of Incorporation mandates indemnification of a director or officer of Registrant or a person serving at the request of the Registrant as a director, officer, employee or agent of another entity to the fullest extent authorized by the Delaware General Corporation Law against expenses, liability and loss and authorizes the Board to express such rights in written contracts.</w:t>
      </w:r>
    </w:p>
    <w:p>
      <w:pPr>
        <w:spacing w:after="0" w:line="194" w:lineRule="exact"/>
        <w:rPr>
          <w:sz w:val="20"/>
          <w:szCs w:val="20"/>
          <w:color w:val="auto"/>
        </w:rPr>
      </w:pPr>
    </w:p>
    <w:p>
      <w:pPr>
        <w:jc w:val="both"/>
        <w:ind w:firstLine="176"/>
        <w:spacing w:after="0" w:line="259" w:lineRule="auto"/>
        <w:rPr>
          <w:sz w:val="20"/>
          <w:szCs w:val="20"/>
          <w:color w:val="auto"/>
        </w:rPr>
      </w:pPr>
      <w:r>
        <w:rPr>
          <w:rFonts w:ascii="Arial" w:cs="Arial" w:eastAsia="Arial" w:hAnsi="Arial"/>
          <w:sz w:val="18"/>
          <w:szCs w:val="18"/>
          <w:color w:val="auto"/>
        </w:rPr>
        <w:t>Section 1 of Article XI of the Registrant's Certificate of the Incorporation provides, in accordance with Section 102(b)(7) of the Delaware General Corporation Law, for the elimination or limitation of the personal liability of a director to the Registrant or its stockholders for monetary damages for breach of fiduciary duty as a director under certain circumstances.</w:t>
      </w:r>
    </w:p>
    <w:p>
      <w:pPr>
        <w:spacing w:after="0" w:line="194" w:lineRule="exact"/>
        <w:rPr>
          <w:sz w:val="20"/>
          <w:szCs w:val="20"/>
          <w:color w:val="auto"/>
        </w:rPr>
      </w:pPr>
    </w:p>
    <w:p>
      <w:pPr>
        <w:ind w:right="340" w:firstLine="172"/>
        <w:spacing w:after="0" w:line="332" w:lineRule="auto"/>
        <w:rPr>
          <w:sz w:val="20"/>
          <w:szCs w:val="20"/>
          <w:color w:val="auto"/>
        </w:rPr>
      </w:pPr>
      <w:r>
        <w:rPr>
          <w:rFonts w:ascii="Arial" w:cs="Arial" w:eastAsia="Arial" w:hAnsi="Arial"/>
          <w:sz w:val="16"/>
          <w:szCs w:val="16"/>
          <w:color w:val="auto"/>
        </w:rPr>
        <w:t>The Registrant also maintains liability insurance policies which provide for indemnification of a director or officer of Registrant or a person serving at the request of the Registrant as a director, officer, employee or agent of another entity against certain liabilities under certain circumstances.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exhibits are listed in the exhibit index.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Rule 415 offering.</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 include any prospectus required by section 10(a)(3) of the Securities Act of 1933;</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(ii)</w:t>
      </w:r>
    </w:p>
    <w:p>
      <w:pPr>
        <w:spacing w:after="0" w:line="15" w:lineRule="exact"/>
        <w:rPr>
          <w:sz w:val="20"/>
          <w:szCs w:val="20"/>
          <w:color w:val="auto"/>
        </w:rPr>
      </w:pPr>
    </w:p>
    <w:p>
      <w:pPr>
        <w:ind w:left="1080" w:right="380"/>
        <w:spacing w:after="0" w:line="255" w:lineRule="auto"/>
        <w:rPr>
          <w:sz w:val="20"/>
          <w:szCs w:val="20"/>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(iii)</w:t>
      </w:r>
    </w:p>
    <w:p>
      <w:pPr>
        <w:spacing w:after="0" w:line="15" w:lineRule="exact"/>
        <w:rPr>
          <w:sz w:val="20"/>
          <w:szCs w:val="20"/>
          <w:color w:val="auto"/>
        </w:rPr>
      </w:pPr>
    </w:p>
    <w:p>
      <w:pPr>
        <w:ind w:left="1080" w:right="40"/>
        <w:spacing w:after="0" w:line="261" w:lineRule="auto"/>
        <w:rPr>
          <w:sz w:val="20"/>
          <w:szCs w:val="20"/>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provided, however, that paragraphs (1)(i) and (1)(ii) do not apply if the information required to be included in a post-effective amendment by those paragraphs is contained in periodic reports filed with or furnished to the Securities and Exchange Commission by the Registrant pursuant to section 13 or section 15(d) of the Securities Exchange Act that are incorporated by reference in this Registration Statement.</w:t>
      </w:r>
    </w:p>
    <w:p>
      <w:pPr>
        <w:spacing w:after="0" w:line="194" w:lineRule="exact"/>
        <w:rPr>
          <w:sz w:val="20"/>
          <w:szCs w:val="20"/>
          <w:color w:val="auto"/>
        </w:rPr>
      </w:pPr>
    </w:p>
    <w:p>
      <w:pPr>
        <w:ind w:right="40" w:firstLine="184"/>
        <w:spacing w:after="0" w:line="259" w:lineRule="auto"/>
        <w:tabs>
          <w:tab w:leader="none" w:pos="42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right="160" w:firstLine="184"/>
        <w:spacing w:after="0" w:line="268" w:lineRule="auto"/>
        <w:tabs>
          <w:tab w:leader="none" w:pos="421"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Filings incorporating subsequent Securities Exchange Act of 1934 documents by reference.</w:t>
      </w:r>
    </w:p>
    <w:p>
      <w:pPr>
        <w:spacing w:after="0" w:line="219" w:lineRule="exact"/>
        <w:rPr>
          <w:sz w:val="20"/>
          <w:szCs w:val="20"/>
          <w:color w:val="auto"/>
        </w:rPr>
      </w:pPr>
    </w:p>
    <w:p>
      <w:pPr>
        <w:ind w:firstLine="172"/>
        <w:spacing w:after="0" w:line="255"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7" w:lineRule="exact"/>
        <w:rPr>
          <w:sz w:val="20"/>
          <w:szCs w:val="20"/>
          <w:color w:val="auto"/>
        </w:rPr>
      </w:pPr>
    </w:p>
    <w:p>
      <w:pPr>
        <w:ind w:right="60" w:firstLine="184"/>
        <w:spacing w:after="0" w:line="290"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566"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jc w:val="both"/>
        <w:ind w:right="40" w:firstLine="172"/>
        <w:spacing w:after="0" w:line="262" w:lineRule="auto"/>
        <w:rPr>
          <w:sz w:val="20"/>
          <w:szCs w:val="20"/>
          <w:color w:val="auto"/>
        </w:rPr>
      </w:pPr>
      <w:r>
        <w:rPr>
          <w:rFonts w:ascii="Arial" w:cs="Arial" w:eastAsia="Arial" w:hAnsi="Arial"/>
          <w:sz w:val="18"/>
          <w:szCs w:val="18"/>
          <w:b w:val="1"/>
          <w:bCs w:val="1"/>
          <w:color w:val="auto"/>
        </w:rPr>
        <w:t xml:space="preserve">The Registrant. </w:t>
      </w:r>
      <w:r>
        <w:rPr>
          <w:rFonts w:ascii="Arial" w:cs="Arial" w:eastAsia="Arial" w:hAnsi="Arial"/>
          <w:sz w:val="18"/>
          <w:szCs w:val="18"/>
          <w:color w:val="auto"/>
        </w:rPr>
        <w:t>Pursuant to the requirements of the Securities Act of 1933, the Registrant certifies that it has reasonable grounds to believe that it meets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for filing on Form S-8 and has duly caused this Registration Statement to be signed on its behalf by the undersigned, thereunto duly authorized, in the City of Bloomington, State of Minnesota on the 23rd day of May, 2000.</w:t>
      </w:r>
    </w:p>
    <w:p>
      <w:pPr>
        <w:spacing w:after="0" w:line="19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436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77470</wp:posOffset>
            </wp:positionV>
            <wp:extent cx="253428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jc w:val="center"/>
        <w:ind w:left="1960"/>
        <w:spacing w:after="0"/>
        <w:rPr>
          <w:sz w:val="20"/>
          <w:szCs w:val="20"/>
          <w:color w:val="auto"/>
        </w:rPr>
      </w:pPr>
      <w:r>
        <w:rPr>
          <w:rFonts w:ascii="Arial" w:cs="Arial" w:eastAsia="Arial" w:hAnsi="Arial"/>
          <w:sz w:val="18"/>
          <w:szCs w:val="18"/>
          <w:color w:val="auto"/>
        </w:rPr>
        <w:t>J. Lawrence McIntyre,</w:t>
      </w:r>
    </w:p>
    <w:p>
      <w:pPr>
        <w:spacing w:after="0" w:line="15" w:lineRule="exact"/>
        <w:rPr>
          <w:sz w:val="20"/>
          <w:szCs w:val="20"/>
          <w:color w:val="auto"/>
        </w:rPr>
      </w:pPr>
    </w:p>
    <w:p>
      <w:pPr>
        <w:jc w:val="center"/>
        <w:ind w:left="1960"/>
        <w:spacing w:after="0"/>
        <w:rPr>
          <w:sz w:val="20"/>
          <w:szCs w:val="20"/>
          <w:color w:val="auto"/>
        </w:rPr>
      </w:pPr>
      <w:r>
        <w:rPr>
          <w:rFonts w:ascii="Arial" w:cs="Arial" w:eastAsia="Arial" w:hAnsi="Arial"/>
          <w:sz w:val="18"/>
          <w:szCs w:val="18"/>
          <w:i w:val="1"/>
          <w:iCs w:val="1"/>
          <w:color w:val="auto"/>
        </w:rPr>
        <w:t>Vice President, Secretary and General Counsel</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60" w:firstLine="176"/>
        <w:spacing w:after="0" w:line="291"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hereby constitutes and appoints Kendrick B. Melrose,</w:t>
      </w:r>
      <w:r>
        <w:rPr>
          <w:rFonts w:ascii="Arial" w:cs="Arial" w:eastAsia="Arial" w:hAnsi="Arial"/>
          <w:sz w:val="16"/>
          <w:szCs w:val="16"/>
          <w:b w:val="1"/>
          <w:bCs w:val="1"/>
          <w:color w:val="auto"/>
        </w:rPr>
        <w:t xml:space="preserve"> </w:t>
      </w:r>
      <w:r>
        <w:rPr>
          <w:rFonts w:ascii="Arial" w:cs="Arial" w:eastAsia="Arial" w:hAnsi="Arial"/>
          <w:sz w:val="16"/>
          <w:szCs w:val="16"/>
          <w:color w:val="auto"/>
        </w:rPr>
        <w:t>Stephen P. Wolfe and J. Lawrence McIntyre, or any one of them, each with power to act without the other, his true and lawful attorney-in-fact and agent, with full power of substitution and resubstitution for him and in his name, place and stead, in any and all capacities, to sign any and/or all subsequent amendments to this registration statement,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might or could do in person, hereby approving and confirming all that said attorney-in-fact and agent or his substitute or substitutes may lawfully do or cause to be done by virtue hereof.</w:t>
      </w:r>
    </w:p>
    <w:p>
      <w:pPr>
        <w:spacing w:after="0" w:line="173" w:lineRule="exact"/>
        <w:rPr>
          <w:sz w:val="20"/>
          <w:szCs w:val="20"/>
          <w:color w:val="auto"/>
        </w:rPr>
      </w:pPr>
    </w:p>
    <w:p>
      <w:pPr>
        <w:ind w:right="280" w:firstLine="17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p>
      <w:pPr>
        <w:ind w:left="1820"/>
        <w:spacing w:after="0"/>
        <w:tabs>
          <w:tab w:leader="none" w:pos="5460" w:val="left"/>
          <w:tab w:leader="none" w:pos="77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0989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jc w:val="center"/>
              <w:ind w:right="32"/>
              <w:spacing w:after="0"/>
              <w:rPr>
                <w:sz w:val="20"/>
                <w:szCs w:val="20"/>
                <w:color w:val="auto"/>
              </w:rPr>
            </w:pPr>
            <w:r>
              <w:rPr>
                <w:rFonts w:ascii="Arial" w:cs="Arial" w:eastAsia="Arial" w:hAnsi="Arial"/>
                <w:sz w:val="18"/>
                <w:szCs w:val="18"/>
                <w:color w:val="auto"/>
                <w:w w:val="93"/>
              </w:rPr>
              <w:t>/s/ KENDRICK B. MELROSE</w:t>
            </w:r>
          </w:p>
        </w:tc>
        <w:tc>
          <w:tcPr>
            <w:tcW w:w="2940" w:type="dxa"/>
            <w:vAlign w:val="bottom"/>
          </w:tcPr>
          <w:p>
            <w:pPr>
              <w:ind w:left="180"/>
              <w:spacing w:after="0"/>
              <w:rPr>
                <w:sz w:val="20"/>
                <w:szCs w:val="20"/>
                <w:color w:val="auto"/>
              </w:rPr>
            </w:pPr>
            <w:r>
              <w:rPr>
                <w:rFonts w:ascii="Arial" w:cs="Arial" w:eastAsia="Arial" w:hAnsi="Arial"/>
                <w:sz w:val="18"/>
                <w:szCs w:val="18"/>
                <w:color w:val="auto"/>
                <w:w w:val="99"/>
              </w:rPr>
              <w:t>Chairman, Chief Executive Officer,</w:t>
            </w:r>
          </w:p>
        </w:tc>
        <w:tc>
          <w:tcPr>
            <w:tcW w:w="4300" w:type="dxa"/>
            <w:vAlign w:val="bottom"/>
          </w:tcPr>
          <w:p>
            <w:pPr>
              <w:ind w:left="260"/>
              <w:spacing w:after="0"/>
              <w:rPr>
                <w:sz w:val="20"/>
                <w:szCs w:val="20"/>
                <w:color w:val="auto"/>
              </w:rPr>
            </w:pPr>
            <w:r>
              <w:rPr>
                <w:rFonts w:ascii="Arial" w:cs="Arial" w:eastAsia="Arial" w:hAnsi="Arial"/>
                <w:sz w:val="18"/>
                <w:szCs w:val="18"/>
                <w:color w:val="auto"/>
              </w:rPr>
              <w:t>May 23, 2000</w:t>
            </w:r>
          </w:p>
        </w:tc>
        <w:tc>
          <w:tcPr>
            <w:tcW w:w="0" w:type="dxa"/>
            <w:vAlign w:val="bottom"/>
          </w:tcPr>
          <w:p>
            <w:pPr>
              <w:spacing w:after="0"/>
              <w:rPr>
                <w:sz w:val="1"/>
                <w:szCs w:val="1"/>
                <w:color w:val="auto"/>
              </w:rPr>
            </w:pPr>
          </w:p>
        </w:tc>
      </w:tr>
      <w:tr>
        <w:trPr>
          <w:trHeight w:val="127"/>
        </w:trPr>
        <w:tc>
          <w:tcPr>
            <w:tcW w:w="4180" w:type="dxa"/>
            <w:vAlign w:val="bottom"/>
            <w:tcBorders>
              <w:bottom w:val="single" w:sz="8" w:color="808080"/>
            </w:tcBorders>
          </w:tcPr>
          <w:p>
            <w:pPr>
              <w:spacing w:after="0"/>
              <w:rPr>
                <w:sz w:val="11"/>
                <w:szCs w:val="11"/>
                <w:color w:val="auto"/>
              </w:rPr>
            </w:pPr>
          </w:p>
        </w:tc>
        <w:tc>
          <w:tcPr>
            <w:tcW w:w="2940" w:type="dxa"/>
            <w:vAlign w:val="bottom"/>
            <w:vMerge w:val="restart"/>
          </w:tcPr>
          <w:p>
            <w:pPr>
              <w:ind w:left="180"/>
              <w:spacing w:after="0"/>
              <w:rPr>
                <w:sz w:val="20"/>
                <w:szCs w:val="20"/>
                <w:color w:val="auto"/>
              </w:rPr>
            </w:pPr>
            <w:r>
              <w:rPr>
                <w:rFonts w:ascii="Arial" w:cs="Arial" w:eastAsia="Arial" w:hAnsi="Arial"/>
                <w:sz w:val="18"/>
                <w:szCs w:val="18"/>
                <w:color w:val="auto"/>
              </w:rPr>
              <w:t>President and Director (Principal</w:t>
            </w:r>
          </w:p>
        </w:tc>
        <w:tc>
          <w:tcPr>
            <w:tcW w:w="4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4180" w:type="dxa"/>
            <w:vAlign w:val="bottom"/>
          </w:tcPr>
          <w:p>
            <w:pPr>
              <w:spacing w:after="0"/>
              <w:rPr>
                <w:sz w:val="6"/>
                <w:szCs w:val="6"/>
                <w:color w:val="auto"/>
              </w:rPr>
            </w:pPr>
          </w:p>
        </w:tc>
        <w:tc>
          <w:tcPr>
            <w:tcW w:w="2940" w:type="dxa"/>
            <w:vAlign w:val="bottom"/>
            <w:vMerge w:val="continue"/>
          </w:tcPr>
          <w:p>
            <w:pPr>
              <w:spacing w:after="0"/>
              <w:rPr>
                <w:sz w:val="6"/>
                <w:szCs w:val="6"/>
                <w:color w:val="auto"/>
              </w:rPr>
            </w:pPr>
          </w:p>
        </w:tc>
        <w:tc>
          <w:tcPr>
            <w:tcW w:w="4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180" w:type="dxa"/>
            <w:vAlign w:val="bottom"/>
          </w:tcPr>
          <w:p>
            <w:pPr>
              <w:jc w:val="center"/>
              <w:spacing w:after="0"/>
              <w:rPr>
                <w:sz w:val="20"/>
                <w:szCs w:val="20"/>
                <w:color w:val="auto"/>
              </w:rPr>
            </w:pPr>
            <w:r>
              <w:rPr>
                <w:rFonts w:ascii="Arial" w:cs="Arial" w:eastAsia="Arial" w:hAnsi="Arial"/>
                <w:sz w:val="18"/>
                <w:szCs w:val="18"/>
                <w:color w:val="auto"/>
                <w:w w:val="91"/>
              </w:rPr>
              <w:t>Kendrick B. Melrose</w:t>
            </w:r>
          </w:p>
        </w:tc>
        <w:tc>
          <w:tcPr>
            <w:tcW w:w="2940" w:type="dxa"/>
            <w:vAlign w:val="bottom"/>
          </w:tcPr>
          <w:p>
            <w:pPr>
              <w:ind w:left="180"/>
              <w:spacing w:after="0"/>
              <w:rPr>
                <w:sz w:val="20"/>
                <w:szCs w:val="20"/>
                <w:color w:val="auto"/>
              </w:rPr>
            </w:pPr>
            <w:r>
              <w:rPr>
                <w:rFonts w:ascii="Arial" w:cs="Arial" w:eastAsia="Arial" w:hAnsi="Arial"/>
                <w:sz w:val="18"/>
                <w:szCs w:val="18"/>
                <w:color w:val="auto"/>
              </w:rPr>
              <w:t>Executive Officer)</w:t>
            </w:r>
          </w:p>
        </w:tc>
        <w:tc>
          <w:tcPr>
            <w:tcW w:w="4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180" w:type="dxa"/>
            <w:vAlign w:val="bottom"/>
          </w:tcPr>
          <w:p>
            <w:pPr>
              <w:jc w:val="center"/>
              <w:ind w:right="32"/>
              <w:spacing w:after="0"/>
              <w:rPr>
                <w:sz w:val="20"/>
                <w:szCs w:val="20"/>
                <w:color w:val="auto"/>
              </w:rPr>
            </w:pPr>
            <w:r>
              <w:rPr>
                <w:rFonts w:ascii="Arial" w:cs="Arial" w:eastAsia="Arial" w:hAnsi="Arial"/>
                <w:sz w:val="18"/>
                <w:szCs w:val="18"/>
                <w:color w:val="auto"/>
                <w:w w:val="88"/>
              </w:rPr>
              <w:t>/s/ STEPHEN P. WOLFE</w:t>
            </w:r>
          </w:p>
        </w:tc>
        <w:tc>
          <w:tcPr>
            <w:tcW w:w="2940" w:type="dxa"/>
            <w:vAlign w:val="bottom"/>
          </w:tcPr>
          <w:p>
            <w:pPr>
              <w:ind w:left="180"/>
              <w:spacing w:after="0"/>
              <w:rPr>
                <w:sz w:val="20"/>
                <w:szCs w:val="20"/>
                <w:color w:val="auto"/>
              </w:rPr>
            </w:pPr>
            <w:r>
              <w:rPr>
                <w:rFonts w:ascii="Arial" w:cs="Arial" w:eastAsia="Arial" w:hAnsi="Arial"/>
                <w:sz w:val="18"/>
                <w:szCs w:val="18"/>
                <w:color w:val="auto"/>
              </w:rPr>
              <w:t>Vice President Finance and Chief</w:t>
            </w:r>
          </w:p>
        </w:tc>
        <w:tc>
          <w:tcPr>
            <w:tcW w:w="4300" w:type="dxa"/>
            <w:vAlign w:val="bottom"/>
          </w:tcPr>
          <w:p>
            <w:pPr>
              <w:ind w:left="260"/>
              <w:spacing w:after="0"/>
              <w:rPr>
                <w:sz w:val="20"/>
                <w:szCs w:val="20"/>
                <w:color w:val="auto"/>
              </w:rPr>
            </w:pPr>
            <w:r>
              <w:rPr>
                <w:rFonts w:ascii="Arial" w:cs="Arial" w:eastAsia="Arial" w:hAnsi="Arial"/>
                <w:sz w:val="18"/>
                <w:szCs w:val="18"/>
                <w:color w:val="auto"/>
              </w:rPr>
              <w:t>May 23, 2000</w:t>
            </w:r>
          </w:p>
        </w:tc>
        <w:tc>
          <w:tcPr>
            <w:tcW w:w="0" w:type="dxa"/>
            <w:vAlign w:val="bottom"/>
          </w:tcPr>
          <w:p>
            <w:pPr>
              <w:spacing w:after="0"/>
              <w:rPr>
                <w:sz w:val="1"/>
                <w:szCs w:val="1"/>
                <w:color w:val="auto"/>
              </w:rPr>
            </w:pPr>
          </w:p>
        </w:tc>
      </w:tr>
      <w:tr>
        <w:trPr>
          <w:trHeight w:val="127"/>
        </w:trPr>
        <w:tc>
          <w:tcPr>
            <w:tcW w:w="4180" w:type="dxa"/>
            <w:vAlign w:val="bottom"/>
            <w:tcBorders>
              <w:bottom w:val="single" w:sz="8" w:color="808080"/>
            </w:tcBorders>
          </w:tcPr>
          <w:p>
            <w:pPr>
              <w:spacing w:after="0"/>
              <w:rPr>
                <w:sz w:val="11"/>
                <w:szCs w:val="11"/>
                <w:color w:val="auto"/>
              </w:rPr>
            </w:pPr>
          </w:p>
        </w:tc>
        <w:tc>
          <w:tcPr>
            <w:tcW w:w="2940" w:type="dxa"/>
            <w:vAlign w:val="bottom"/>
            <w:vMerge w:val="restart"/>
          </w:tcPr>
          <w:p>
            <w:pPr>
              <w:ind w:left="180"/>
              <w:spacing w:after="0"/>
              <w:rPr>
                <w:sz w:val="20"/>
                <w:szCs w:val="20"/>
                <w:color w:val="auto"/>
              </w:rPr>
            </w:pPr>
            <w:r>
              <w:rPr>
                <w:rFonts w:ascii="Arial" w:cs="Arial" w:eastAsia="Arial" w:hAnsi="Arial"/>
                <w:sz w:val="18"/>
                <w:szCs w:val="18"/>
                <w:color w:val="auto"/>
              </w:rPr>
              <w:t>Financial Officer (Principal</w:t>
            </w:r>
          </w:p>
        </w:tc>
        <w:tc>
          <w:tcPr>
            <w:tcW w:w="4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4180" w:type="dxa"/>
            <w:vAlign w:val="bottom"/>
          </w:tcPr>
          <w:p>
            <w:pPr>
              <w:spacing w:after="0"/>
              <w:rPr>
                <w:sz w:val="6"/>
                <w:szCs w:val="6"/>
                <w:color w:val="auto"/>
              </w:rPr>
            </w:pPr>
          </w:p>
        </w:tc>
        <w:tc>
          <w:tcPr>
            <w:tcW w:w="2940" w:type="dxa"/>
            <w:vAlign w:val="bottom"/>
            <w:vMerge w:val="continue"/>
          </w:tcPr>
          <w:p>
            <w:pPr>
              <w:spacing w:after="0"/>
              <w:rPr>
                <w:sz w:val="6"/>
                <w:szCs w:val="6"/>
                <w:color w:val="auto"/>
              </w:rPr>
            </w:pPr>
          </w:p>
        </w:tc>
        <w:tc>
          <w:tcPr>
            <w:tcW w:w="4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180" w:type="dxa"/>
            <w:vAlign w:val="bottom"/>
          </w:tcPr>
          <w:p>
            <w:pPr>
              <w:jc w:val="center"/>
              <w:spacing w:after="0"/>
              <w:rPr>
                <w:sz w:val="20"/>
                <w:szCs w:val="20"/>
                <w:color w:val="auto"/>
              </w:rPr>
            </w:pPr>
            <w:r>
              <w:rPr>
                <w:rFonts w:ascii="Arial" w:cs="Arial" w:eastAsia="Arial" w:hAnsi="Arial"/>
                <w:sz w:val="18"/>
                <w:szCs w:val="18"/>
                <w:color w:val="auto"/>
                <w:w w:val="85"/>
              </w:rPr>
              <w:t>Stephen P. Wolfe</w:t>
            </w:r>
          </w:p>
        </w:tc>
        <w:tc>
          <w:tcPr>
            <w:tcW w:w="2940" w:type="dxa"/>
            <w:vAlign w:val="bottom"/>
          </w:tcPr>
          <w:p>
            <w:pPr>
              <w:ind w:left="180"/>
              <w:spacing w:after="0"/>
              <w:rPr>
                <w:sz w:val="20"/>
                <w:szCs w:val="20"/>
                <w:color w:val="auto"/>
              </w:rPr>
            </w:pPr>
            <w:r>
              <w:rPr>
                <w:rFonts w:ascii="Arial" w:cs="Arial" w:eastAsia="Arial" w:hAnsi="Arial"/>
                <w:sz w:val="18"/>
                <w:szCs w:val="18"/>
                <w:color w:val="auto"/>
              </w:rPr>
              <w:t>Financial Officer)</w:t>
            </w:r>
          </w:p>
        </w:tc>
        <w:tc>
          <w:tcPr>
            <w:tcW w:w="4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2"/>
        </w:trPr>
        <w:tc>
          <w:tcPr>
            <w:tcW w:w="4180" w:type="dxa"/>
            <w:vAlign w:val="bottom"/>
          </w:tcPr>
          <w:p>
            <w:pPr>
              <w:jc w:val="center"/>
              <w:ind w:right="52"/>
              <w:spacing w:after="0"/>
              <w:rPr>
                <w:sz w:val="20"/>
                <w:szCs w:val="20"/>
                <w:color w:val="auto"/>
              </w:rPr>
            </w:pPr>
            <w:r>
              <w:rPr>
                <w:rFonts w:ascii="Arial" w:cs="Arial" w:eastAsia="Arial" w:hAnsi="Arial"/>
                <w:sz w:val="18"/>
                <w:szCs w:val="18"/>
                <w:color w:val="auto"/>
                <w:w w:val="94"/>
              </w:rPr>
              <w:t>/s/ RANDY B. JAMES</w:t>
            </w:r>
          </w:p>
        </w:tc>
        <w:tc>
          <w:tcPr>
            <w:tcW w:w="2940" w:type="dxa"/>
            <w:vAlign w:val="bottom"/>
          </w:tcPr>
          <w:p>
            <w:pPr>
              <w:ind w:left="180"/>
              <w:spacing w:after="0"/>
              <w:rPr>
                <w:sz w:val="20"/>
                <w:szCs w:val="20"/>
                <w:color w:val="auto"/>
              </w:rPr>
            </w:pPr>
            <w:r>
              <w:rPr>
                <w:rFonts w:ascii="Arial" w:cs="Arial" w:eastAsia="Arial" w:hAnsi="Arial"/>
                <w:sz w:val="18"/>
                <w:szCs w:val="18"/>
                <w:color w:val="auto"/>
              </w:rPr>
              <w:t>Vice President and Controller</w:t>
            </w:r>
          </w:p>
        </w:tc>
        <w:tc>
          <w:tcPr>
            <w:tcW w:w="4300" w:type="dxa"/>
            <w:vAlign w:val="bottom"/>
          </w:tcPr>
          <w:p>
            <w:pPr>
              <w:ind w:left="260"/>
              <w:spacing w:after="0"/>
              <w:rPr>
                <w:sz w:val="20"/>
                <w:szCs w:val="20"/>
                <w:color w:val="auto"/>
              </w:rPr>
            </w:pPr>
            <w:r>
              <w:rPr>
                <w:rFonts w:ascii="Arial" w:cs="Arial" w:eastAsia="Arial" w:hAnsi="Arial"/>
                <w:sz w:val="18"/>
                <w:szCs w:val="18"/>
                <w:color w:val="auto"/>
              </w:rPr>
              <w:t>May 23, 2000</w:t>
            </w:r>
          </w:p>
        </w:tc>
        <w:tc>
          <w:tcPr>
            <w:tcW w:w="0" w:type="dxa"/>
            <w:vAlign w:val="bottom"/>
          </w:tcPr>
          <w:p>
            <w:pPr>
              <w:spacing w:after="0"/>
              <w:rPr>
                <w:sz w:val="1"/>
                <w:szCs w:val="1"/>
                <w:color w:val="auto"/>
              </w:rPr>
            </w:pPr>
          </w:p>
        </w:tc>
      </w:tr>
      <w:tr>
        <w:trPr>
          <w:trHeight w:val="127"/>
        </w:trPr>
        <w:tc>
          <w:tcPr>
            <w:tcW w:w="4180" w:type="dxa"/>
            <w:vAlign w:val="bottom"/>
            <w:tcBorders>
              <w:bottom w:val="single" w:sz="8" w:color="808080"/>
            </w:tcBorders>
          </w:tcPr>
          <w:p>
            <w:pPr>
              <w:spacing w:after="0"/>
              <w:rPr>
                <w:sz w:val="11"/>
                <w:szCs w:val="11"/>
                <w:color w:val="auto"/>
              </w:rPr>
            </w:pPr>
          </w:p>
        </w:tc>
        <w:tc>
          <w:tcPr>
            <w:tcW w:w="2940" w:type="dxa"/>
            <w:vAlign w:val="bottom"/>
            <w:vMerge w:val="restart"/>
          </w:tcPr>
          <w:p>
            <w:pPr>
              <w:ind w:left="180"/>
              <w:spacing w:after="0"/>
              <w:rPr>
                <w:sz w:val="20"/>
                <w:szCs w:val="20"/>
                <w:color w:val="auto"/>
              </w:rPr>
            </w:pPr>
            <w:r>
              <w:rPr>
                <w:rFonts w:ascii="Arial" w:cs="Arial" w:eastAsia="Arial" w:hAnsi="Arial"/>
                <w:sz w:val="18"/>
                <w:szCs w:val="18"/>
                <w:color w:val="auto"/>
              </w:rPr>
              <w:t>(Principal Accounting Officer)</w:t>
            </w:r>
          </w:p>
        </w:tc>
        <w:tc>
          <w:tcPr>
            <w:tcW w:w="4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86"/>
              </w:rPr>
              <w:t>Randy B. James</w:t>
            </w:r>
          </w:p>
        </w:tc>
        <w:tc>
          <w:tcPr>
            <w:tcW w:w="2940" w:type="dxa"/>
            <w:vAlign w:val="bottom"/>
            <w:vMerge w:val="continue"/>
          </w:tcPr>
          <w:p>
            <w:pPr>
              <w:spacing w:after="0"/>
              <w:rPr>
                <w:sz w:val="6"/>
                <w:szCs w:val="6"/>
                <w:color w:val="auto"/>
              </w:rPr>
            </w:pPr>
          </w:p>
        </w:tc>
        <w:tc>
          <w:tcPr>
            <w:tcW w:w="4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180" w:type="dxa"/>
            <w:vAlign w:val="bottom"/>
            <w:vMerge w:val="continue"/>
          </w:tcPr>
          <w:p>
            <w:pPr>
              <w:spacing w:after="0"/>
              <w:rPr>
                <w:sz w:val="21"/>
                <w:szCs w:val="21"/>
                <w:color w:val="auto"/>
              </w:rPr>
            </w:pPr>
          </w:p>
        </w:tc>
        <w:tc>
          <w:tcPr>
            <w:tcW w:w="294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0"/>
        </w:trPr>
        <w:tc>
          <w:tcPr>
            <w:tcW w:w="4180" w:type="dxa"/>
            <w:vAlign w:val="bottom"/>
          </w:tcPr>
          <w:p>
            <w:pPr>
              <w:spacing w:after="0"/>
              <w:rPr>
                <w:sz w:val="24"/>
                <w:szCs w:val="24"/>
                <w:color w:val="auto"/>
              </w:rPr>
            </w:pPr>
          </w:p>
        </w:tc>
        <w:tc>
          <w:tcPr>
            <w:tcW w:w="2940" w:type="dxa"/>
            <w:vAlign w:val="bottom"/>
          </w:tcPr>
          <w:p>
            <w:pPr>
              <w:ind w:left="1400"/>
              <w:spacing w:after="0"/>
              <w:rPr>
                <w:sz w:val="20"/>
                <w:szCs w:val="20"/>
                <w:color w:val="auto"/>
              </w:rPr>
            </w:pPr>
            <w:r>
              <w:rPr>
                <w:rFonts w:ascii="Arial" w:cs="Arial" w:eastAsia="Arial" w:hAnsi="Arial"/>
                <w:sz w:val="18"/>
                <w:szCs w:val="18"/>
                <w:color w:val="auto"/>
              </w:rPr>
              <w:t>II-4</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8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751"/>
        </w:trPr>
        <w:tc>
          <w:tcPr>
            <w:tcW w:w="4180" w:type="dxa"/>
            <w:vAlign w:val="bottom"/>
          </w:tcPr>
          <w:p>
            <w:pPr>
              <w:jc w:val="center"/>
              <w:ind w:right="32"/>
              <w:spacing w:after="0"/>
              <w:rPr>
                <w:sz w:val="20"/>
                <w:szCs w:val="20"/>
                <w:color w:val="auto"/>
              </w:rPr>
            </w:pPr>
            <w:r>
              <w:rPr>
                <w:rFonts w:ascii="Arial" w:cs="Arial" w:eastAsia="Arial" w:hAnsi="Arial"/>
                <w:sz w:val="18"/>
                <w:szCs w:val="18"/>
                <w:color w:val="auto"/>
                <w:w w:val="96"/>
              </w:rPr>
              <w:t>/s/ RONALD O. BAUKOL</w:t>
            </w:r>
          </w:p>
        </w:tc>
        <w:tc>
          <w:tcPr>
            <w:tcW w:w="29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94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80" w:type="dxa"/>
            <w:vAlign w:val="bottom"/>
          </w:tcPr>
          <w:p>
            <w:pPr>
              <w:jc w:val="center"/>
              <w:spacing w:after="0"/>
              <w:rPr>
                <w:sz w:val="20"/>
                <w:szCs w:val="20"/>
                <w:color w:val="auto"/>
              </w:rPr>
            </w:pPr>
            <w:r>
              <w:rPr>
                <w:rFonts w:ascii="Arial" w:cs="Arial" w:eastAsia="Arial" w:hAnsi="Arial"/>
                <w:sz w:val="18"/>
                <w:szCs w:val="18"/>
                <w:color w:val="auto"/>
                <w:w w:val="90"/>
              </w:rPr>
              <w:t>Ronald O. Baukol</w:t>
            </w:r>
          </w:p>
        </w:tc>
        <w:tc>
          <w:tcPr>
            <w:tcW w:w="29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4300" w:type="dxa"/>
            <w:vAlign w:val="bottom"/>
          </w:tcPr>
          <w:p>
            <w:pPr>
              <w:ind w:left="260"/>
              <w:spacing w:after="0"/>
              <w:rPr>
                <w:sz w:val="20"/>
                <w:szCs w:val="20"/>
                <w:color w:val="auto"/>
              </w:rPr>
            </w:pPr>
            <w:r>
              <w:rPr>
                <w:rFonts w:ascii="Arial" w:cs="Arial" w:eastAsia="Arial" w:hAnsi="Arial"/>
                <w:sz w:val="18"/>
                <w:szCs w:val="18"/>
                <w:color w:val="auto"/>
              </w:rPr>
              <w:t>May 23, 2000</w:t>
            </w:r>
          </w:p>
        </w:tc>
        <w:tc>
          <w:tcPr>
            <w:tcW w:w="0" w:type="dxa"/>
            <w:vAlign w:val="bottom"/>
          </w:tcPr>
          <w:p>
            <w:pPr>
              <w:spacing w:after="0"/>
              <w:rPr>
                <w:sz w:val="1"/>
                <w:szCs w:val="1"/>
                <w:color w:val="auto"/>
              </w:rPr>
            </w:pPr>
          </w:p>
        </w:tc>
      </w:tr>
      <w:tr>
        <w:trPr>
          <w:trHeight w:val="552"/>
        </w:trPr>
        <w:tc>
          <w:tcPr>
            <w:tcW w:w="4180" w:type="dxa"/>
            <w:vAlign w:val="bottom"/>
            <w:tcBorders>
              <w:bottom w:val="single" w:sz="8" w:color="808080"/>
            </w:tcBorders>
          </w:tcPr>
          <w:p>
            <w:pPr>
              <w:spacing w:after="0"/>
              <w:rPr>
                <w:sz w:val="24"/>
                <w:szCs w:val="24"/>
                <w:color w:val="auto"/>
              </w:rPr>
            </w:pPr>
          </w:p>
        </w:tc>
        <w:tc>
          <w:tcPr>
            <w:tcW w:w="29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180" w:type="dxa"/>
            <w:vAlign w:val="bottom"/>
          </w:tcPr>
          <w:p>
            <w:pPr>
              <w:jc w:val="center"/>
              <w:spacing w:after="0"/>
              <w:rPr>
                <w:sz w:val="20"/>
                <w:szCs w:val="20"/>
                <w:color w:val="auto"/>
              </w:rPr>
            </w:pPr>
            <w:r>
              <w:rPr>
                <w:rFonts w:ascii="Arial" w:cs="Arial" w:eastAsia="Arial" w:hAnsi="Arial"/>
                <w:sz w:val="18"/>
                <w:szCs w:val="18"/>
                <w:color w:val="auto"/>
                <w:w w:val="87"/>
              </w:rPr>
              <w:t>Robert C. Buhrmaster</w:t>
            </w:r>
          </w:p>
        </w:tc>
        <w:tc>
          <w:tcPr>
            <w:tcW w:w="29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180" w:type="dxa"/>
            <w:vAlign w:val="bottom"/>
          </w:tcPr>
          <w:p>
            <w:pPr>
              <w:jc w:val="center"/>
              <w:ind w:right="32"/>
              <w:spacing w:after="0"/>
              <w:rPr>
                <w:sz w:val="20"/>
                <w:szCs w:val="20"/>
                <w:color w:val="auto"/>
              </w:rPr>
            </w:pPr>
            <w:r>
              <w:rPr>
                <w:rFonts w:ascii="Arial" w:cs="Arial" w:eastAsia="Arial" w:hAnsi="Arial"/>
                <w:sz w:val="18"/>
                <w:szCs w:val="18"/>
                <w:color w:val="auto"/>
                <w:w w:val="95"/>
              </w:rPr>
              <w:t>/s/ WINSLOW H. BUXTON</w:t>
            </w:r>
          </w:p>
        </w:tc>
        <w:tc>
          <w:tcPr>
            <w:tcW w:w="29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94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80" w:type="dxa"/>
            <w:vAlign w:val="bottom"/>
          </w:tcPr>
          <w:p>
            <w:pPr>
              <w:jc w:val="center"/>
              <w:spacing w:after="0"/>
              <w:rPr>
                <w:sz w:val="20"/>
                <w:szCs w:val="20"/>
                <w:color w:val="auto"/>
              </w:rPr>
            </w:pPr>
            <w:r>
              <w:rPr>
                <w:rFonts w:ascii="Arial" w:cs="Arial" w:eastAsia="Arial" w:hAnsi="Arial"/>
                <w:sz w:val="18"/>
                <w:szCs w:val="18"/>
                <w:color w:val="auto"/>
                <w:w w:val="92"/>
              </w:rPr>
              <w:t>Winslow H. Buxton</w:t>
            </w:r>
          </w:p>
        </w:tc>
        <w:tc>
          <w:tcPr>
            <w:tcW w:w="29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4300" w:type="dxa"/>
            <w:vAlign w:val="bottom"/>
          </w:tcPr>
          <w:p>
            <w:pPr>
              <w:ind w:left="260"/>
              <w:spacing w:after="0"/>
              <w:rPr>
                <w:sz w:val="20"/>
                <w:szCs w:val="20"/>
                <w:color w:val="auto"/>
              </w:rPr>
            </w:pPr>
            <w:r>
              <w:rPr>
                <w:rFonts w:ascii="Arial" w:cs="Arial" w:eastAsia="Arial" w:hAnsi="Arial"/>
                <w:sz w:val="18"/>
                <w:szCs w:val="18"/>
                <w:color w:val="auto"/>
              </w:rPr>
              <w:t>May 23, 2000</w:t>
            </w:r>
          </w:p>
        </w:tc>
        <w:tc>
          <w:tcPr>
            <w:tcW w:w="0" w:type="dxa"/>
            <w:vAlign w:val="bottom"/>
          </w:tcPr>
          <w:p>
            <w:pPr>
              <w:spacing w:after="0"/>
              <w:rPr>
                <w:sz w:val="1"/>
                <w:szCs w:val="1"/>
                <w:color w:val="auto"/>
              </w:rPr>
            </w:pPr>
          </w:p>
        </w:tc>
      </w:tr>
      <w:tr>
        <w:trPr>
          <w:trHeight w:val="648"/>
        </w:trPr>
        <w:tc>
          <w:tcPr>
            <w:tcW w:w="4180" w:type="dxa"/>
            <w:vAlign w:val="bottom"/>
          </w:tcPr>
          <w:p>
            <w:pPr>
              <w:jc w:val="center"/>
              <w:ind w:right="32"/>
              <w:spacing w:after="0"/>
              <w:rPr>
                <w:sz w:val="20"/>
                <w:szCs w:val="20"/>
                <w:color w:val="auto"/>
              </w:rPr>
            </w:pPr>
            <w:r>
              <w:rPr>
                <w:rFonts w:ascii="Arial" w:cs="Arial" w:eastAsia="Arial" w:hAnsi="Arial"/>
                <w:sz w:val="18"/>
                <w:szCs w:val="18"/>
                <w:color w:val="auto"/>
                <w:w w:val="91"/>
              </w:rPr>
              <w:t>/s/ JANET K. COOPER</w:t>
            </w:r>
          </w:p>
        </w:tc>
        <w:tc>
          <w:tcPr>
            <w:tcW w:w="29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94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80" w:type="dxa"/>
            <w:vAlign w:val="bottom"/>
          </w:tcPr>
          <w:p>
            <w:pPr>
              <w:jc w:val="center"/>
              <w:spacing w:after="0"/>
              <w:rPr>
                <w:sz w:val="20"/>
                <w:szCs w:val="20"/>
                <w:color w:val="auto"/>
              </w:rPr>
            </w:pPr>
            <w:r>
              <w:rPr>
                <w:rFonts w:ascii="Arial" w:cs="Arial" w:eastAsia="Arial" w:hAnsi="Arial"/>
                <w:sz w:val="18"/>
                <w:szCs w:val="18"/>
                <w:color w:val="auto"/>
                <w:w w:val="87"/>
              </w:rPr>
              <w:t>Janet K. Cooper</w:t>
            </w:r>
          </w:p>
        </w:tc>
        <w:tc>
          <w:tcPr>
            <w:tcW w:w="29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4300" w:type="dxa"/>
            <w:vAlign w:val="bottom"/>
          </w:tcPr>
          <w:p>
            <w:pPr>
              <w:ind w:left="260"/>
              <w:spacing w:after="0"/>
              <w:rPr>
                <w:sz w:val="20"/>
                <w:szCs w:val="20"/>
                <w:color w:val="auto"/>
              </w:rPr>
            </w:pPr>
            <w:r>
              <w:rPr>
                <w:rFonts w:ascii="Arial" w:cs="Arial" w:eastAsia="Arial" w:hAnsi="Arial"/>
                <w:sz w:val="18"/>
                <w:szCs w:val="18"/>
                <w:color w:val="auto"/>
              </w:rPr>
              <w:t>May 23, 2000</w:t>
            </w:r>
          </w:p>
        </w:tc>
        <w:tc>
          <w:tcPr>
            <w:tcW w:w="0" w:type="dxa"/>
            <w:vAlign w:val="bottom"/>
          </w:tcPr>
          <w:p>
            <w:pPr>
              <w:spacing w:after="0"/>
              <w:rPr>
                <w:sz w:val="1"/>
                <w:szCs w:val="1"/>
                <w:color w:val="auto"/>
              </w:rPr>
            </w:pPr>
          </w:p>
        </w:tc>
      </w:tr>
      <w:tr>
        <w:trPr>
          <w:trHeight w:val="648"/>
        </w:trPr>
        <w:tc>
          <w:tcPr>
            <w:tcW w:w="4180" w:type="dxa"/>
            <w:vAlign w:val="bottom"/>
          </w:tcPr>
          <w:p>
            <w:pPr>
              <w:jc w:val="center"/>
              <w:ind w:right="32"/>
              <w:spacing w:after="0"/>
              <w:rPr>
                <w:sz w:val="20"/>
                <w:szCs w:val="20"/>
                <w:color w:val="auto"/>
              </w:rPr>
            </w:pPr>
            <w:r>
              <w:rPr>
                <w:rFonts w:ascii="Arial" w:cs="Arial" w:eastAsia="Arial" w:hAnsi="Arial"/>
                <w:sz w:val="18"/>
                <w:szCs w:val="18"/>
                <w:color w:val="auto"/>
                <w:w w:val="92"/>
              </w:rPr>
              <w:t>/s/ KATHERINE J. HARLESS</w:t>
            </w:r>
          </w:p>
        </w:tc>
        <w:tc>
          <w:tcPr>
            <w:tcW w:w="29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94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80" w:type="dxa"/>
            <w:vAlign w:val="bottom"/>
          </w:tcPr>
          <w:p>
            <w:pPr>
              <w:jc w:val="center"/>
              <w:spacing w:after="0"/>
              <w:rPr>
                <w:sz w:val="20"/>
                <w:szCs w:val="20"/>
                <w:color w:val="auto"/>
              </w:rPr>
            </w:pPr>
            <w:r>
              <w:rPr>
                <w:rFonts w:ascii="Arial" w:cs="Arial" w:eastAsia="Arial" w:hAnsi="Arial"/>
                <w:sz w:val="18"/>
                <w:szCs w:val="18"/>
                <w:color w:val="auto"/>
                <w:w w:val="87"/>
              </w:rPr>
              <w:t>Katherine J. Harless</w:t>
            </w:r>
          </w:p>
        </w:tc>
        <w:tc>
          <w:tcPr>
            <w:tcW w:w="29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4300" w:type="dxa"/>
            <w:vAlign w:val="bottom"/>
          </w:tcPr>
          <w:p>
            <w:pPr>
              <w:ind w:left="260"/>
              <w:spacing w:after="0"/>
              <w:rPr>
                <w:sz w:val="20"/>
                <w:szCs w:val="20"/>
                <w:color w:val="auto"/>
              </w:rPr>
            </w:pPr>
            <w:r>
              <w:rPr>
                <w:rFonts w:ascii="Arial" w:cs="Arial" w:eastAsia="Arial" w:hAnsi="Arial"/>
                <w:sz w:val="18"/>
                <w:szCs w:val="18"/>
                <w:color w:val="auto"/>
              </w:rPr>
              <w:t>May 23, 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-5774055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-5774055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-5207635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-5207635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-4504690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-4504690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-3458210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-3458210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-2892425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-2892425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-2326640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-2326640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-1623060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-1623060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-920115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-920115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-216535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4180" w:type="dxa"/>
            <w:vAlign w:val="bottom"/>
          </w:tcPr>
          <w:p>
            <w:pPr>
              <w:jc w:val="center"/>
              <w:ind w:right="32"/>
              <w:spacing w:after="0"/>
              <w:rPr>
                <w:sz w:val="20"/>
                <w:szCs w:val="20"/>
                <w:color w:val="auto"/>
              </w:rPr>
            </w:pPr>
            <w:r>
              <w:rPr>
                <w:rFonts w:ascii="Arial" w:cs="Arial" w:eastAsia="Arial" w:hAnsi="Arial"/>
                <w:sz w:val="18"/>
                <w:szCs w:val="18"/>
                <w:color w:val="auto"/>
                <w:w w:val="92"/>
              </w:rPr>
              <w:t>/s/ ROBERT H. NASSAU</w:t>
            </w:r>
          </w:p>
        </w:tc>
        <w:tc>
          <w:tcPr>
            <w:tcW w:w="19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1220"/>
              <w:spacing w:after="0"/>
              <w:rPr>
                <w:sz w:val="20"/>
                <w:szCs w:val="20"/>
                <w:color w:val="auto"/>
              </w:rPr>
            </w:pPr>
            <w:r>
              <w:rPr>
                <w:rFonts w:ascii="Arial" w:cs="Arial" w:eastAsia="Arial" w:hAnsi="Arial"/>
                <w:sz w:val="18"/>
                <w:szCs w:val="18"/>
                <w:color w:val="auto"/>
                <w:w w:val="87"/>
              </w:rPr>
              <w:t>May 23, 2000</w:t>
            </w:r>
          </w:p>
        </w:tc>
      </w:tr>
      <w:tr>
        <w:trPr>
          <w:trHeight w:val="120"/>
        </w:trPr>
        <w:tc>
          <w:tcPr>
            <w:tcW w:w="4180" w:type="dxa"/>
            <w:vAlign w:val="bottom"/>
            <w:tcBorders>
              <w:bottom w:val="single" w:sz="8" w:color="808080"/>
            </w:tcBorders>
          </w:tcPr>
          <w:p>
            <w:pPr>
              <w:spacing w:after="0"/>
              <w:rPr>
                <w:sz w:val="10"/>
                <w:szCs w:val="10"/>
                <w:color w:val="auto"/>
              </w:rPr>
            </w:pPr>
          </w:p>
        </w:tc>
        <w:tc>
          <w:tcPr>
            <w:tcW w:w="1980" w:type="dxa"/>
            <w:vAlign w:val="bottom"/>
          </w:tcPr>
          <w:p>
            <w:pPr>
              <w:spacing w:after="0"/>
              <w:rPr>
                <w:sz w:val="10"/>
                <w:szCs w:val="10"/>
                <w:color w:val="auto"/>
              </w:rPr>
            </w:pPr>
          </w:p>
        </w:tc>
        <w:tc>
          <w:tcPr>
            <w:tcW w:w="2200" w:type="dxa"/>
            <w:vAlign w:val="bottom"/>
          </w:tcPr>
          <w:p>
            <w:pPr>
              <w:spacing w:after="0"/>
              <w:rPr>
                <w:sz w:val="10"/>
                <w:szCs w:val="10"/>
                <w:color w:val="auto"/>
              </w:rPr>
            </w:pPr>
          </w:p>
        </w:tc>
      </w:tr>
      <w:tr>
        <w:trPr>
          <w:trHeight w:val="319"/>
        </w:trPr>
        <w:tc>
          <w:tcPr>
            <w:tcW w:w="4180" w:type="dxa"/>
            <w:vAlign w:val="bottom"/>
          </w:tcPr>
          <w:p>
            <w:pPr>
              <w:jc w:val="center"/>
              <w:spacing w:after="0"/>
              <w:rPr>
                <w:sz w:val="20"/>
                <w:szCs w:val="20"/>
                <w:color w:val="auto"/>
              </w:rPr>
            </w:pPr>
            <w:r>
              <w:rPr>
                <w:rFonts w:ascii="Arial" w:cs="Arial" w:eastAsia="Arial" w:hAnsi="Arial"/>
                <w:sz w:val="18"/>
                <w:szCs w:val="18"/>
                <w:color w:val="auto"/>
                <w:w w:val="86"/>
              </w:rPr>
              <w:t>Robert H. Nassau</w:t>
            </w:r>
          </w:p>
        </w:tc>
        <w:tc>
          <w:tcPr>
            <w:tcW w:w="19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648"/>
        </w:trPr>
        <w:tc>
          <w:tcPr>
            <w:tcW w:w="4180" w:type="dxa"/>
            <w:vAlign w:val="bottom"/>
          </w:tcPr>
          <w:p>
            <w:pPr>
              <w:jc w:val="center"/>
              <w:ind w:right="52"/>
              <w:spacing w:after="0"/>
              <w:rPr>
                <w:sz w:val="20"/>
                <w:szCs w:val="20"/>
                <w:color w:val="auto"/>
              </w:rPr>
            </w:pPr>
            <w:r>
              <w:rPr>
                <w:rFonts w:ascii="Arial" w:cs="Arial" w:eastAsia="Arial" w:hAnsi="Arial"/>
                <w:sz w:val="18"/>
                <w:szCs w:val="18"/>
                <w:color w:val="auto"/>
                <w:w w:val="93"/>
              </w:rPr>
              <w:t>/s/ DALE R. OLSETH</w:t>
            </w:r>
          </w:p>
        </w:tc>
        <w:tc>
          <w:tcPr>
            <w:tcW w:w="19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1980" w:type="dxa"/>
            <w:vAlign w:val="bottom"/>
          </w:tcPr>
          <w:p>
            <w:pPr>
              <w:spacing w:after="0"/>
              <w:rPr>
                <w:sz w:val="10"/>
                <w:szCs w:val="10"/>
                <w:color w:val="auto"/>
              </w:rPr>
            </w:pPr>
          </w:p>
        </w:tc>
        <w:tc>
          <w:tcPr>
            <w:tcW w:w="2200" w:type="dxa"/>
            <w:vAlign w:val="bottom"/>
          </w:tcPr>
          <w:p>
            <w:pPr>
              <w:spacing w:after="0"/>
              <w:rPr>
                <w:sz w:val="10"/>
                <w:szCs w:val="10"/>
                <w:color w:val="auto"/>
              </w:rPr>
            </w:pPr>
          </w:p>
        </w:tc>
      </w:tr>
      <w:tr>
        <w:trPr>
          <w:trHeight w:val="319"/>
        </w:trPr>
        <w:tc>
          <w:tcPr>
            <w:tcW w:w="4180" w:type="dxa"/>
            <w:vAlign w:val="bottom"/>
          </w:tcPr>
          <w:p>
            <w:pPr>
              <w:jc w:val="center"/>
              <w:spacing w:after="0"/>
              <w:rPr>
                <w:sz w:val="20"/>
                <w:szCs w:val="20"/>
                <w:color w:val="auto"/>
              </w:rPr>
            </w:pPr>
            <w:r>
              <w:rPr>
                <w:rFonts w:ascii="Arial" w:cs="Arial" w:eastAsia="Arial" w:hAnsi="Arial"/>
                <w:sz w:val="18"/>
                <w:szCs w:val="18"/>
                <w:color w:val="auto"/>
                <w:w w:val="88"/>
              </w:rPr>
              <w:t>Dale R. Olseth</w:t>
            </w:r>
          </w:p>
        </w:tc>
        <w:tc>
          <w:tcPr>
            <w:tcW w:w="19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1220"/>
              <w:spacing w:after="0"/>
              <w:rPr>
                <w:sz w:val="20"/>
                <w:szCs w:val="20"/>
                <w:color w:val="auto"/>
              </w:rPr>
            </w:pPr>
            <w:r>
              <w:rPr>
                <w:rFonts w:ascii="Arial" w:cs="Arial" w:eastAsia="Arial" w:hAnsi="Arial"/>
                <w:sz w:val="18"/>
                <w:szCs w:val="18"/>
                <w:color w:val="auto"/>
                <w:w w:val="87"/>
              </w:rPr>
              <w:t>May 23, 2000</w:t>
            </w:r>
          </w:p>
        </w:tc>
      </w:tr>
      <w:tr>
        <w:trPr>
          <w:trHeight w:val="648"/>
        </w:trPr>
        <w:tc>
          <w:tcPr>
            <w:tcW w:w="4180" w:type="dxa"/>
            <w:vAlign w:val="bottom"/>
          </w:tcPr>
          <w:p>
            <w:pPr>
              <w:jc w:val="center"/>
              <w:ind w:right="32"/>
              <w:spacing w:after="0"/>
              <w:rPr>
                <w:sz w:val="20"/>
                <w:szCs w:val="20"/>
                <w:color w:val="auto"/>
              </w:rPr>
            </w:pPr>
            <w:r>
              <w:rPr>
                <w:rFonts w:ascii="Arial" w:cs="Arial" w:eastAsia="Arial" w:hAnsi="Arial"/>
                <w:sz w:val="18"/>
                <w:szCs w:val="18"/>
                <w:color w:val="auto"/>
                <w:w w:val="93"/>
              </w:rPr>
              <w:t>/s/ CHRISTOPHER A. TWOMEY</w:t>
            </w:r>
          </w:p>
        </w:tc>
        <w:tc>
          <w:tcPr>
            <w:tcW w:w="19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1980" w:type="dxa"/>
            <w:vAlign w:val="bottom"/>
          </w:tcPr>
          <w:p>
            <w:pPr>
              <w:spacing w:after="0"/>
              <w:rPr>
                <w:sz w:val="10"/>
                <w:szCs w:val="10"/>
                <w:color w:val="auto"/>
              </w:rPr>
            </w:pPr>
          </w:p>
        </w:tc>
        <w:tc>
          <w:tcPr>
            <w:tcW w:w="2200" w:type="dxa"/>
            <w:vAlign w:val="bottom"/>
          </w:tcPr>
          <w:p>
            <w:pPr>
              <w:spacing w:after="0"/>
              <w:rPr>
                <w:sz w:val="10"/>
                <w:szCs w:val="10"/>
                <w:color w:val="auto"/>
              </w:rPr>
            </w:pPr>
          </w:p>
        </w:tc>
      </w:tr>
      <w:tr>
        <w:trPr>
          <w:trHeight w:val="319"/>
        </w:trPr>
        <w:tc>
          <w:tcPr>
            <w:tcW w:w="4180" w:type="dxa"/>
            <w:vAlign w:val="bottom"/>
          </w:tcPr>
          <w:p>
            <w:pPr>
              <w:jc w:val="center"/>
              <w:spacing w:after="0"/>
              <w:rPr>
                <w:sz w:val="20"/>
                <w:szCs w:val="20"/>
                <w:color w:val="auto"/>
              </w:rPr>
            </w:pPr>
            <w:r>
              <w:rPr>
                <w:rFonts w:ascii="Arial" w:cs="Arial" w:eastAsia="Arial" w:hAnsi="Arial"/>
                <w:sz w:val="18"/>
                <w:szCs w:val="18"/>
                <w:color w:val="auto"/>
                <w:w w:val="90"/>
              </w:rPr>
              <w:t>Christopher A. Twomey</w:t>
            </w:r>
          </w:p>
        </w:tc>
        <w:tc>
          <w:tcPr>
            <w:tcW w:w="19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1220"/>
              <w:spacing w:after="0"/>
              <w:rPr>
                <w:sz w:val="20"/>
                <w:szCs w:val="20"/>
                <w:color w:val="auto"/>
              </w:rPr>
            </w:pPr>
            <w:r>
              <w:rPr>
                <w:rFonts w:ascii="Arial" w:cs="Arial" w:eastAsia="Arial" w:hAnsi="Arial"/>
                <w:sz w:val="18"/>
                <w:szCs w:val="18"/>
                <w:color w:val="auto"/>
                <w:w w:val="87"/>
              </w:rPr>
              <w:t>May 23, 2000</w:t>
            </w:r>
          </w:p>
        </w:tc>
      </w:tr>
      <w:tr>
        <w:trPr>
          <w:trHeight w:val="552"/>
        </w:trPr>
        <w:tc>
          <w:tcPr>
            <w:tcW w:w="4180" w:type="dxa"/>
            <w:vAlign w:val="bottom"/>
            <w:tcBorders>
              <w:bottom w:val="single" w:sz="8" w:color="808080"/>
            </w:tcBorders>
          </w:tcPr>
          <w:p>
            <w:pPr>
              <w:spacing w:after="0"/>
              <w:rPr>
                <w:sz w:val="24"/>
                <w:szCs w:val="24"/>
                <w:color w:val="auto"/>
              </w:rPr>
            </w:pPr>
          </w:p>
        </w:tc>
        <w:tc>
          <w:tcPr>
            <w:tcW w:w="19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19"/>
        </w:trPr>
        <w:tc>
          <w:tcPr>
            <w:tcW w:w="4180" w:type="dxa"/>
            <w:vAlign w:val="bottom"/>
          </w:tcPr>
          <w:p>
            <w:pPr>
              <w:jc w:val="center"/>
              <w:spacing w:after="0"/>
              <w:rPr>
                <w:sz w:val="20"/>
                <w:szCs w:val="20"/>
                <w:color w:val="auto"/>
              </w:rPr>
            </w:pPr>
            <w:r>
              <w:rPr>
                <w:rFonts w:ascii="Arial" w:cs="Arial" w:eastAsia="Arial" w:hAnsi="Arial"/>
                <w:sz w:val="18"/>
                <w:szCs w:val="18"/>
                <w:color w:val="auto"/>
                <w:w w:val="88"/>
              </w:rPr>
              <w:t>Gregg W. Steinhafel</w:t>
            </w:r>
          </w:p>
        </w:tc>
        <w:tc>
          <w:tcPr>
            <w:tcW w:w="19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200" w:type="dxa"/>
            <w:vAlign w:val="bottom"/>
          </w:tcPr>
          <w:p>
            <w:pPr>
              <w:spacing w:after="0"/>
              <w:rPr>
                <w:sz w:val="24"/>
                <w:szCs w:val="24"/>
                <w:color w:val="auto"/>
              </w:rPr>
            </w:pPr>
          </w:p>
        </w:tc>
      </w:tr>
      <w:tr>
        <w:trPr>
          <w:trHeight w:val="648"/>
        </w:trPr>
        <w:tc>
          <w:tcPr>
            <w:tcW w:w="4180" w:type="dxa"/>
            <w:vAlign w:val="bottom"/>
          </w:tcPr>
          <w:p>
            <w:pPr>
              <w:jc w:val="center"/>
              <w:ind w:right="32"/>
              <w:spacing w:after="0"/>
              <w:rPr>
                <w:sz w:val="20"/>
                <w:szCs w:val="20"/>
                <w:color w:val="auto"/>
              </w:rPr>
            </w:pPr>
            <w:r>
              <w:rPr>
                <w:rFonts w:ascii="Arial" w:cs="Arial" w:eastAsia="Arial" w:hAnsi="Arial"/>
                <w:sz w:val="18"/>
                <w:szCs w:val="18"/>
                <w:color w:val="auto"/>
                <w:w w:val="94"/>
              </w:rPr>
              <w:t>/s/ EDWIN H. WINGATE</w:t>
            </w:r>
          </w:p>
        </w:tc>
        <w:tc>
          <w:tcPr>
            <w:tcW w:w="19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1980" w:type="dxa"/>
            <w:vAlign w:val="bottom"/>
          </w:tcPr>
          <w:p>
            <w:pPr>
              <w:spacing w:after="0"/>
              <w:rPr>
                <w:sz w:val="10"/>
                <w:szCs w:val="10"/>
                <w:color w:val="auto"/>
              </w:rPr>
            </w:pPr>
          </w:p>
        </w:tc>
        <w:tc>
          <w:tcPr>
            <w:tcW w:w="2200" w:type="dxa"/>
            <w:vAlign w:val="bottom"/>
          </w:tcPr>
          <w:p>
            <w:pPr>
              <w:spacing w:after="0"/>
              <w:rPr>
                <w:sz w:val="10"/>
                <w:szCs w:val="10"/>
                <w:color w:val="auto"/>
              </w:rPr>
            </w:pPr>
          </w:p>
        </w:tc>
      </w:tr>
      <w:tr>
        <w:trPr>
          <w:trHeight w:val="319"/>
        </w:trPr>
        <w:tc>
          <w:tcPr>
            <w:tcW w:w="4180" w:type="dxa"/>
            <w:vAlign w:val="bottom"/>
          </w:tcPr>
          <w:p>
            <w:pPr>
              <w:jc w:val="center"/>
              <w:spacing w:after="0"/>
              <w:rPr>
                <w:sz w:val="20"/>
                <w:szCs w:val="20"/>
                <w:color w:val="auto"/>
              </w:rPr>
            </w:pPr>
            <w:r>
              <w:rPr>
                <w:rFonts w:ascii="Arial" w:cs="Arial" w:eastAsia="Arial" w:hAnsi="Arial"/>
                <w:sz w:val="18"/>
                <w:szCs w:val="18"/>
                <w:color w:val="auto"/>
                <w:w w:val="90"/>
              </w:rPr>
              <w:t>Edwin H. Wingate</w:t>
            </w:r>
          </w:p>
        </w:tc>
        <w:tc>
          <w:tcPr>
            <w:tcW w:w="19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1220"/>
              <w:spacing w:after="0"/>
              <w:rPr>
                <w:sz w:val="20"/>
                <w:szCs w:val="20"/>
                <w:color w:val="auto"/>
              </w:rPr>
            </w:pPr>
            <w:r>
              <w:rPr>
                <w:rFonts w:ascii="Arial" w:cs="Arial" w:eastAsia="Arial" w:hAnsi="Arial"/>
                <w:sz w:val="18"/>
                <w:szCs w:val="18"/>
                <w:color w:val="auto"/>
                <w:w w:val="87"/>
              </w:rPr>
              <w:t>May 23, 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-2892425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-2892425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-2189480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-2189480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-1485900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-1485900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-920115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-920115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-216535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EXHIBIT LIST</w:t>
      </w:r>
    </w:p>
    <w:p>
      <w:pPr>
        <w:sectPr>
          <w:pgSz w:w="11900" w:h="16838" w:orient="portrait"/>
          <w:cols w:equalWidth="0" w:num="1">
            <w:col w:w="10219"/>
          </w:cols>
          <w:pgMar w:left="240" w:top="347" w:right="1440" w:bottom="290" w:gutter="0" w:footer="0" w:header="0"/>
        </w:sectPr>
      </w:pPr>
    </w:p>
    <w:p>
      <w:pPr>
        <w:spacing w:after="0" w:line="227"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57848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848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-2216150</wp:posOffset>
            </wp:positionH>
            <wp:positionV relativeFrom="paragraph">
              <wp:posOffset>88900</wp:posOffset>
            </wp:positionV>
            <wp:extent cx="485775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57750" cy="215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4140" w:space="720"/>
            <w:col w:w="5359"/>
          </w:cols>
          <w:pgMar w:left="240" w:top="347" w:right="1440" w:bottom="290" w:gutter="0" w:footer="0" w:header="0"/>
          <w:type w:val="continuous"/>
        </w:sectPr>
      </w:pPr>
    </w:p>
    <w:p>
      <w:pPr>
        <w:spacing w:after="0" w:line="44" w:lineRule="exact"/>
        <w:rPr>
          <w:sz w:val="20"/>
          <w:szCs w:val="20"/>
          <w:color w:val="auto"/>
        </w:rPr>
      </w:pPr>
    </w:p>
    <w:p>
      <w:pPr>
        <w:ind w:left="1380" w:hanging="555"/>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15" w:lineRule="exact"/>
        <w:rPr>
          <w:sz w:val="20"/>
          <w:szCs w:val="20"/>
          <w:color w:val="auto"/>
        </w:rPr>
      </w:pPr>
    </w:p>
    <w:p>
      <w:pPr>
        <w:ind w:left="1380" w:right="1679" w:hanging="559"/>
        <w:spacing w:after="0" w:line="250" w:lineRule="auto"/>
        <w:tabs>
          <w:tab w:leader="none" w:pos="1360" w:val="left"/>
        </w:tabs>
        <w:rPr>
          <w:sz w:val="20"/>
          <w:szCs w:val="20"/>
          <w:color w:val="auto"/>
        </w:rPr>
      </w:pPr>
      <w:r>
        <w:rPr>
          <w:rFonts w:ascii="Arial" w:cs="Arial" w:eastAsia="Arial" w:hAnsi="Arial"/>
          <w:sz w:val="18"/>
          <w:szCs w:val="18"/>
          <w:color w:val="auto"/>
        </w:rPr>
        <w:t>4(a)</w:t>
      </w:r>
      <w:r>
        <w:rPr>
          <w:sz w:val="20"/>
          <w:szCs w:val="20"/>
          <w:color w:val="auto"/>
        </w:rPr>
        <w:tab/>
      </w:r>
      <w:r>
        <w:rPr>
          <w:rFonts w:ascii="Arial" w:cs="Arial" w:eastAsia="Arial" w:hAnsi="Arial"/>
          <w:sz w:val="18"/>
          <w:szCs w:val="18"/>
          <w:color w:val="auto"/>
        </w:rPr>
        <w:t>Specimen form of Common Stock certificate (incorporated by reference to Exhibit 4(c) to Registrant's Registration Statement on Form S-8, Registration No. 2-94417)</w:t>
      </w:r>
    </w:p>
    <w:p>
      <w:pPr>
        <w:spacing w:after="0" w:line="1" w:lineRule="exact"/>
        <w:rPr>
          <w:sz w:val="20"/>
          <w:szCs w:val="20"/>
          <w:color w:val="auto"/>
        </w:rPr>
      </w:pPr>
    </w:p>
    <w:p>
      <w:pPr>
        <w:ind w:left="1380" w:right="1999" w:hanging="559"/>
        <w:spacing w:after="0" w:line="250" w:lineRule="auto"/>
        <w:tabs>
          <w:tab w:leader="none" w:pos="1360" w:val="left"/>
        </w:tabs>
        <w:rPr>
          <w:sz w:val="20"/>
          <w:szCs w:val="20"/>
          <w:color w:val="auto"/>
        </w:rPr>
      </w:pPr>
      <w:r>
        <w:rPr>
          <w:rFonts w:ascii="Arial" w:cs="Arial" w:eastAsia="Arial" w:hAnsi="Arial"/>
          <w:sz w:val="18"/>
          <w:szCs w:val="18"/>
          <w:color w:val="auto"/>
        </w:rPr>
        <w:t>4(b)</w:t>
        <w:tab/>
        <w:t>Certificate of Incorporation of Registrant (incorporated by reference to Exhibit 4.2 to Registrant's Registration Statement on Form S-3, Registration No. 33-16125)</w:t>
      </w:r>
    </w:p>
    <w:p>
      <w:pPr>
        <w:spacing w:after="0" w:line="1" w:lineRule="exact"/>
        <w:rPr>
          <w:sz w:val="20"/>
          <w:szCs w:val="20"/>
          <w:color w:val="auto"/>
        </w:rPr>
      </w:pPr>
    </w:p>
    <w:p>
      <w:pPr>
        <w:ind w:left="1380" w:right="1619" w:hanging="559"/>
        <w:spacing w:after="0" w:line="250" w:lineRule="auto"/>
        <w:tabs>
          <w:tab w:leader="none" w:pos="1360" w:val="left"/>
        </w:tabs>
        <w:rPr>
          <w:sz w:val="20"/>
          <w:szCs w:val="20"/>
          <w:color w:val="auto"/>
        </w:rPr>
      </w:pPr>
      <w:r>
        <w:rPr>
          <w:rFonts w:ascii="Arial" w:cs="Arial" w:eastAsia="Arial" w:hAnsi="Arial"/>
          <w:sz w:val="18"/>
          <w:szCs w:val="18"/>
          <w:color w:val="auto"/>
        </w:rPr>
        <w:t>4(c)</w:t>
      </w:r>
      <w:r>
        <w:rPr>
          <w:sz w:val="20"/>
          <w:szCs w:val="20"/>
          <w:color w:val="auto"/>
        </w:rPr>
        <w:tab/>
      </w:r>
      <w:r>
        <w:rPr>
          <w:rFonts w:ascii="Arial" w:cs="Arial" w:eastAsia="Arial" w:hAnsi="Arial"/>
          <w:sz w:val="18"/>
          <w:szCs w:val="18"/>
          <w:color w:val="auto"/>
        </w:rPr>
        <w:t>Certificate of Amendment to Certificate of Incorporation dated December 9, 1986 (incorporated by reference to Exhibit 3 to Registrant's Quarterly Report on Form 10-Q for the quarter ended January 30, 1987, Commission File No. 1-8649)</w:t>
      </w:r>
    </w:p>
    <w:p>
      <w:pPr>
        <w:spacing w:after="0" w:line="1" w:lineRule="exact"/>
        <w:rPr>
          <w:sz w:val="20"/>
          <w:szCs w:val="20"/>
          <w:color w:val="auto"/>
        </w:rPr>
      </w:pPr>
    </w:p>
    <w:p>
      <w:pPr>
        <w:ind w:left="1380" w:right="1339" w:hanging="559"/>
        <w:spacing w:after="0" w:line="250" w:lineRule="auto"/>
        <w:tabs>
          <w:tab w:leader="none" w:pos="1360" w:val="left"/>
        </w:tabs>
        <w:rPr>
          <w:sz w:val="20"/>
          <w:szCs w:val="20"/>
          <w:color w:val="auto"/>
        </w:rPr>
      </w:pPr>
      <w:r>
        <w:rPr>
          <w:rFonts w:ascii="Arial" w:cs="Arial" w:eastAsia="Arial" w:hAnsi="Arial"/>
          <w:sz w:val="18"/>
          <w:szCs w:val="18"/>
          <w:color w:val="auto"/>
        </w:rPr>
        <w:t>4(d)</w:t>
        <w:tab/>
        <w:t>Certificate of Designation to Certificate of Incorporation dated May 28, 1998 (incorporated by reference to Exhibit (c)(1) to Registrant's Current Report on Form 8-K dated May 27, 1998, Commission File No. 1-8649)</w:t>
      </w:r>
    </w:p>
    <w:p>
      <w:pPr>
        <w:spacing w:after="0" w:line="1"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16"/>
          <w:szCs w:val="16"/>
          <w:color w:val="auto"/>
        </w:rPr>
        <w:t>4(e)</w:t>
      </w:r>
      <w:r>
        <w:rPr>
          <w:sz w:val="20"/>
          <w:szCs w:val="20"/>
          <w:color w:val="auto"/>
        </w:rPr>
        <w:tab/>
      </w:r>
      <w:r>
        <w:rPr>
          <w:rFonts w:ascii="Arial" w:cs="Arial" w:eastAsia="Arial" w:hAnsi="Arial"/>
          <w:sz w:val="16"/>
          <w:szCs w:val="16"/>
          <w:color w:val="auto"/>
        </w:rPr>
        <w:t>Bylaws of Registrant, as amended (incorporated by reference to Exhibit 3(ii) and 4(d) to Registrant's Form</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10-Q for the quarter ended April 30, 1999)</w:t>
      </w:r>
    </w:p>
    <w:p>
      <w:pPr>
        <w:spacing w:after="0" w:line="9" w:lineRule="exact"/>
        <w:rPr>
          <w:sz w:val="20"/>
          <w:szCs w:val="20"/>
          <w:color w:val="auto"/>
        </w:rPr>
      </w:pPr>
    </w:p>
    <w:p>
      <w:pPr>
        <w:jc w:val="both"/>
        <w:ind w:left="1380" w:right="1219" w:hanging="559"/>
        <w:spacing w:after="0" w:line="250" w:lineRule="auto"/>
        <w:tabs>
          <w:tab w:leader="none" w:pos="1360"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8"/>
          <w:szCs w:val="18"/>
          <w:color w:val="auto"/>
        </w:rPr>
        <w:t>Rights Agreement dated as of May 20, 1998, between the Registrant and Norwest Bank Minnesota National Association, relating to rights to purchase Series B Junior Participating Voting Preferred Stock (incorporated by reference to Exhibit (c)(1) to Registrant's Current Report on Form 8-K dated May 27, 1998, Commission File No. 1-8649).</w:t>
      </w:r>
    </w:p>
    <w:p>
      <w:pPr>
        <w:spacing w:after="0" w:line="2" w:lineRule="exact"/>
        <w:rPr>
          <w:sz w:val="20"/>
          <w:szCs w:val="20"/>
          <w:color w:val="auto"/>
        </w:rPr>
      </w:pPr>
    </w:p>
    <w:p>
      <w:pPr>
        <w:ind w:left="1380" w:right="1299" w:hanging="559"/>
        <w:spacing w:after="0" w:line="250" w:lineRule="auto"/>
        <w:tabs>
          <w:tab w:leader="none" w:pos="1360" w:val="left"/>
        </w:tabs>
        <w:rPr>
          <w:sz w:val="20"/>
          <w:szCs w:val="20"/>
          <w:color w:val="auto"/>
        </w:rPr>
      </w:pPr>
      <w:r>
        <w:rPr>
          <w:rFonts w:ascii="Arial" w:cs="Arial" w:eastAsia="Arial" w:hAnsi="Arial"/>
          <w:sz w:val="18"/>
          <w:szCs w:val="18"/>
          <w:color w:val="auto"/>
        </w:rPr>
        <w:t>4(g)</w:t>
        <w:tab/>
        <w:t>Indenture dated as of January 31, 1997 between Registrant and First National Trust Association, as Trustee, relating to Registrant's 7.125% Notes due June 15, 2007 and its 7.80% Debentures due June 15, 2027 (incorporated by reference Exhibit 4(a) to Registrant's Current Report on Form 8-K for June 24, 1997, Commission File No. 1-8649).</w:t>
      </w:r>
    </w:p>
    <w:p>
      <w:pPr>
        <w:spacing w:after="0" w:line="2" w:lineRule="exact"/>
        <w:rPr>
          <w:sz w:val="20"/>
          <w:szCs w:val="20"/>
          <w:color w:val="auto"/>
        </w:rPr>
      </w:pPr>
    </w:p>
    <w:p>
      <w:pPr>
        <w:ind w:left="740" w:right="6179" w:firstLine="85"/>
        <w:spacing w:after="0" w:line="250" w:lineRule="auto"/>
        <w:tabs>
          <w:tab w:leader="none" w:pos="1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Opinion of counsel regarding legality. 23(a) Consent of KPMG LLP.</w:t>
      </w:r>
    </w:p>
    <w:p>
      <w:pPr>
        <w:ind w:left="740"/>
        <w:spacing w:after="0"/>
        <w:rPr>
          <w:rFonts w:ascii="Arial" w:cs="Arial" w:eastAsia="Arial" w:hAnsi="Arial"/>
          <w:sz w:val="18"/>
          <w:szCs w:val="18"/>
          <w:color w:val="auto"/>
        </w:rPr>
      </w:pPr>
      <w:r>
        <w:rPr>
          <w:rFonts w:ascii="Arial" w:cs="Arial" w:eastAsia="Arial" w:hAnsi="Arial"/>
          <w:sz w:val="18"/>
          <w:szCs w:val="18"/>
          <w:color w:val="auto"/>
        </w:rPr>
        <w:t>23(b)   Consent of counsel (contained in Exhibit 5).</w:t>
      </w:r>
    </w:p>
    <w:p>
      <w:pPr>
        <w:spacing w:after="0" w:line="9"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24</w:t>
      </w:r>
      <w:r>
        <w:rPr>
          <w:rFonts w:ascii="Arial" w:cs="Arial" w:eastAsia="Arial" w:hAnsi="Arial"/>
          <w:sz w:val="15"/>
          <w:szCs w:val="15"/>
          <w:color w:val="auto"/>
        </w:rPr>
        <w:t>Powers of Attorney (contained in signature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QuickLinks</w:t>
      </w: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w:t>
        </w:r>
      </w:hyperlink>
    </w:p>
    <w:p>
      <w:pPr>
        <w:spacing w:after="0" w:line="15" w:lineRule="exact"/>
        <w:rPr>
          <w:sz w:val="20"/>
          <w:szCs w:val="20"/>
          <w:color w:val="auto"/>
        </w:rPr>
      </w:pPr>
    </w:p>
    <w:p>
      <w:pPr>
        <w:ind w:right="1679"/>
        <w:spacing w:after="0" w:line="250" w:lineRule="auto"/>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II INFORMATION REQUIRED IN THE REGISTRATION STATEMENT INCORPORATION BY REFERENCE</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SIGNATURES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POWER OF ATTORNEY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EXHIBIT LIST</w:t>
        </w:r>
      </w:hyperlink>
    </w:p>
    <w:p>
      <w:pPr>
        <w:sectPr>
          <w:pgSz w:w="11900" w:h="16838" w:orient="portrait"/>
          <w:cols w:equalWidth="0" w:num="1">
            <w:col w:w="10219"/>
          </w:cols>
          <w:pgMar w:left="240" w:top="347" w:right="1440" w:bottom="29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[LOGO]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5</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June 12, 2000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55420</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60" w:firstLine="176"/>
        <w:spacing w:after="0" w:line="294" w:lineRule="auto"/>
        <w:rPr>
          <w:sz w:val="20"/>
          <w:szCs w:val="20"/>
          <w:color w:val="auto"/>
        </w:rPr>
      </w:pPr>
      <w:r>
        <w:rPr>
          <w:rFonts w:ascii="Arial" w:cs="Arial" w:eastAsia="Arial" w:hAnsi="Arial"/>
          <w:sz w:val="16"/>
          <w:szCs w:val="16"/>
          <w:color w:val="auto"/>
        </w:rPr>
        <w:t>I am Vice President, Secretary and General Counsel of The Toro Company (the "Company"). In connection with the Registration Statement on Form S-8 filed by the Company with the Securities and Exchange Commission relating to an aggregate of up to 1,000,000 shares of Common Stock, $1.00 par value per share (the "Common Stock"), and up to 1,000,000 related Preferred Share Purchase Rights (the "Rights") of the Company, to be issued in connection with The Toro Company 2000 Stock Option Plan, please be advised that as counsel to the Company, upon examination of such corporate documents and records as I have deemed necessary or appropriate for the purpose of rendering this opinion, it is my opinion that: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1080" w:right="320"/>
        <w:spacing w:after="0" w:line="261" w:lineRule="auto"/>
        <w:rPr>
          <w:sz w:val="20"/>
          <w:szCs w:val="20"/>
          <w:color w:val="auto"/>
        </w:rPr>
      </w:pPr>
      <w:r>
        <w:rPr>
          <w:rFonts w:ascii="Arial" w:cs="Arial" w:eastAsia="Arial" w:hAnsi="Arial"/>
          <w:sz w:val="18"/>
          <w:szCs w:val="18"/>
          <w:color w:val="auto"/>
        </w:rPr>
        <w:t>The shares of Common Stock being offered by the Company, when issued in accordance with proper corporate authorizations, will be legally issued, fully paid and non-assessable; and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1080"/>
        <w:spacing w:after="0" w:line="302" w:lineRule="auto"/>
        <w:rPr>
          <w:sz w:val="20"/>
          <w:szCs w:val="20"/>
          <w:color w:val="auto"/>
        </w:rPr>
      </w:pPr>
      <w:r>
        <w:rPr>
          <w:rFonts w:ascii="Arial" w:cs="Arial" w:eastAsia="Arial" w:hAnsi="Arial"/>
          <w:sz w:val="16"/>
          <w:szCs w:val="16"/>
          <w:color w:val="auto"/>
        </w:rPr>
        <w:t>Assuming that the Rights Agreement dated as of May 20, 1998 (the "Rights Agreement")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163" w:lineRule="exact"/>
        <w:rPr>
          <w:sz w:val="20"/>
          <w:szCs w:val="20"/>
          <w:color w:val="auto"/>
        </w:rPr>
      </w:pPr>
    </w:p>
    <w:p>
      <w:pPr>
        <w:ind w:right="200" w:firstLine="172"/>
        <w:spacing w:after="0" w:line="268"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86" w:lineRule="exact"/>
        <w:rPr>
          <w:sz w:val="20"/>
          <w:szCs w:val="20"/>
          <w:color w:val="auto"/>
        </w:rPr>
      </w:pPr>
    </w:p>
    <w:p>
      <w:pPr>
        <w:ind w:right="180" w:firstLine="176"/>
        <w:spacing w:after="0" w:line="259" w:lineRule="auto"/>
        <w:rPr>
          <w:sz w:val="20"/>
          <w:szCs w:val="20"/>
          <w:color w:val="auto"/>
        </w:rPr>
      </w:pPr>
      <w:r>
        <w:rPr>
          <w:rFonts w:ascii="Arial" w:cs="Arial" w:eastAsia="Arial" w:hAnsi="Arial"/>
          <w:sz w:val="18"/>
          <w:szCs w:val="18"/>
          <w:color w:val="auto"/>
        </w:rPr>
        <w:t>I hereby consent to the filing of this opinion as an exhibit to the above-captioned Registration Statement,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 Lawrence McIntyre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 Lawrence McIntyre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6" w:name="page7"/>
    <w:bookmarkEnd w:id="6"/>
    <w:p>
      <w:pPr>
        <w:spacing w:after="0"/>
        <w:rPr>
          <w:rFonts w:ascii="Arial" w:cs="Arial" w:eastAsia="Arial" w:hAnsi="Arial"/>
          <w:sz w:val="22"/>
          <w:szCs w:val="22"/>
          <w:color w:val="0000EE"/>
        </w:rPr>
      </w:pPr>
      <w:hyperlink w:anchor="page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consent to the use of our reports dated December 13, 1999 incorporated by reference in this Form S-8.</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12,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QuickLinks</w:t>
      </w: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INDEPENDENT AUDITOR'S CONSENT</w:t>
        </w:r>
      </w:hyperlink>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lowerLetter"/>
      <w:start w:val="8"/>
    </w:lvl>
  </w:abstractNum>
  <w:abstractNum w:abstractNumId="2">
    <w:nsid w:val="2AE8944A"/>
    <w:multiLevelType w:val="hybridMultilevel"/>
    <w:lvl w:ilvl="0">
      <w:lvlJc w:val="left"/>
      <w:lvlText w:val="4"/>
      <w:numFmt w:val="bullet"/>
      <w:start w:val="1"/>
    </w:lvl>
  </w:abstractNum>
  <w:abstractNum w:abstractNumId="3">
    <w:nsid w:val="625558EC"/>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2019-12-13T13:57:59Z</dcterms:created>
  <dcterms:modified xsi:type="dcterms:W3CDTF">2019-12-13T13:57:59Z</dcterms:modified>
</cp:coreProperties>
</file>