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 w:lineRule="exact"/>
        <w:rPr>
          <w:sz w:val="24"/>
          <w:szCs w:val="24"/>
          <w:color w:val="auto"/>
        </w:rPr>
      </w:pPr>
    </w:p>
    <w:p>
      <w:pPr>
        <w:jc w:val="center"/>
        <w:ind w:right="-1099"/>
        <w:spacing w:after="0"/>
        <w:rPr>
          <w:sz w:val="20"/>
          <w:szCs w:val="20"/>
          <w:color w:val="auto"/>
        </w:rPr>
      </w:pPr>
      <w:r>
        <w:rPr>
          <w:rFonts w:ascii="Arial" w:cs="Arial" w:eastAsia="Arial" w:hAnsi="Arial"/>
          <w:sz w:val="22"/>
          <w:szCs w:val="22"/>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1860" w:hanging="492"/>
        <w:spacing w:after="0"/>
        <w:tabs>
          <w:tab w:leader="none" w:pos="18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1700" w:hanging="537"/>
        <w:spacing w:after="0"/>
        <w:tabs>
          <w:tab w:leader="none" w:pos="17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15(d) OF THE SECURITIES EXCHANGE ACT OF 1934</w:t>
      </w:r>
    </w:p>
    <w:p>
      <w:pPr>
        <w:spacing w:after="0" w:line="264" w:lineRule="exact"/>
        <w:rPr>
          <w:sz w:val="24"/>
          <w:szCs w:val="24"/>
          <w:color w:val="auto"/>
        </w:rPr>
      </w:pPr>
    </w:p>
    <w:tbl>
      <w:tblPr>
        <w:tblLayout w:type="fixed"/>
        <w:tblInd w:w="34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1020" w:type="dxa"/>
            <w:vAlign w:val="bottom"/>
            <w:gridSpan w:val="2"/>
          </w:tcPr>
          <w:p>
            <w:pPr>
              <w:ind w:left="40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19"/>
        </w:trPr>
        <w:tc>
          <w:tcPr>
            <w:tcW w:w="3980" w:type="dxa"/>
            <w:vAlign w:val="bottom"/>
            <w:gridSpan w:val="3"/>
          </w:tcPr>
          <w:p>
            <w:pPr>
              <w:ind w:left="980"/>
              <w:spacing w:after="0"/>
              <w:rPr>
                <w:sz w:val="20"/>
                <w:szCs w:val="20"/>
                <w:color w:val="auto"/>
              </w:rPr>
            </w:pPr>
            <w:r>
              <w:rPr>
                <w:rFonts w:ascii="Arial" w:cs="Arial" w:eastAsia="Arial" w:hAnsi="Arial"/>
                <w:sz w:val="18"/>
                <w:szCs w:val="18"/>
                <w:b w:val="1"/>
                <w:bCs w:val="1"/>
                <w:color w:val="auto"/>
              </w:rPr>
              <w:t>Commission file number 1-8649.</w:t>
            </w:r>
          </w:p>
        </w:tc>
        <w:tc>
          <w:tcPr>
            <w:tcW w:w="52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56" w:lineRule="exact"/>
        <w:rPr>
          <w:sz w:val="24"/>
          <w:szCs w:val="24"/>
          <w:color w:val="auto"/>
        </w:rPr>
      </w:pPr>
    </w:p>
    <w:p>
      <w:pPr>
        <w:jc w:val="center"/>
        <w:ind w:right="-1159"/>
        <w:spacing w:after="0"/>
        <w:tabs>
          <w:tab w:leader="none" w:pos="1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48"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The Toro Company Profit-Sharing Plan for Plymouth Union Employees</w:t>
      </w:r>
    </w:p>
    <w:p>
      <w:pPr>
        <w:spacing w:after="0" w:line="252"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Minneapolis, MN 55420</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Attn: Director, Tax Accounting</w:t>
      </w:r>
    </w:p>
    <w:p>
      <w:pPr>
        <w:spacing w:after="0" w:line="238" w:lineRule="exact"/>
        <w:rPr>
          <w:sz w:val="24"/>
          <w:szCs w:val="24"/>
          <w:color w:val="auto"/>
        </w:rPr>
      </w:pPr>
    </w:p>
    <w:p>
      <w:pPr>
        <w:jc w:val="center"/>
        <w:ind w:right="-1159"/>
        <w:spacing w:after="0"/>
        <w:tabs>
          <w:tab w:leader="none" w:pos="1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248"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Minneapolis,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793" w:right="1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00" w:type="dxa"/>
            <w:vAlign w:val="bottom"/>
          </w:tcPr>
          <w:p>
            <w:pPr>
              <w:jc w:val="center"/>
              <w:ind w:left="281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gridSpan w:val="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3900" w:type="dxa"/>
            <w:vAlign w:val="bottom"/>
            <w:shd w:val="clear" w:color="auto" w:fill="CCEEFF"/>
          </w:tcPr>
          <w:p>
            <w:pPr>
              <w:jc w:val="center"/>
              <w:ind w:left="281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3300" w:type="dxa"/>
            <w:vAlign w:val="bottom"/>
            <w:tcBorders>
              <w:top w:val="single" w:sz="8" w:color="CCEEFF"/>
            </w:tcBorders>
            <w:gridSpan w:val="2"/>
          </w:tcPr>
          <w:p>
            <w:pPr>
              <w:spacing w:after="0"/>
              <w:rPr>
                <w:sz w:val="15"/>
                <w:szCs w:val="15"/>
                <w:color w:val="auto"/>
              </w:rPr>
            </w:pPr>
          </w:p>
        </w:tc>
        <w:tc>
          <w:tcPr>
            <w:tcW w:w="3900" w:type="dxa"/>
            <w:vAlign w:val="bottom"/>
            <w:tcBorders>
              <w:top w:val="single" w:sz="8" w:color="CCEEFF"/>
            </w:tcBorders>
          </w:tcPr>
          <w:p>
            <w:pPr>
              <w:jc w:val="center"/>
              <w:ind w:left="281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Changes in Net Assets Available for Benefits</w:t>
              </w:r>
            </w:hyperlink>
          </w:p>
        </w:tc>
        <w:tc>
          <w:tcPr>
            <w:tcW w:w="322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CCEEFF"/>
            </w:tcBorders>
            <w:shd w:val="clear" w:color="auto" w:fill="CCEEFF"/>
          </w:tcPr>
          <w:p>
            <w:pPr>
              <w:jc w:val="center"/>
              <w:ind w:left="281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00" w:type="dxa"/>
            <w:vAlign w:val="bottom"/>
            <w:gridSpan w:val="5"/>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3900" w:type="dxa"/>
            <w:vAlign w:val="bottom"/>
          </w:tcPr>
          <w:p>
            <w:pPr>
              <w:jc w:val="center"/>
              <w:ind w:left="281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3488"/>
        </w:trPr>
        <w:tc>
          <w:tcPr>
            <w:tcW w:w="20" w:type="dxa"/>
            <w:vAlign w:val="bottom"/>
            <w:tcBorders>
              <w:bottom w:val="single" w:sz="8" w:color="808080"/>
            </w:tcBorders>
          </w:tcPr>
          <w:p>
            <w:pPr>
              <w:spacing w:after="0"/>
              <w:rPr>
                <w:sz w:val="24"/>
                <w:szCs w:val="24"/>
                <w:color w:val="auto"/>
              </w:rPr>
            </w:pPr>
          </w:p>
        </w:tc>
        <w:tc>
          <w:tcPr>
            <w:tcW w:w="2140" w:type="dxa"/>
            <w:vAlign w:val="bottom"/>
            <w:tcBorders>
              <w:top w:val="single" w:sz="8" w:color="0000EE"/>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Profit-Sharing Plan</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Plymouth Union Employees: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Profit-Sharing Plan for Plymouth Union Employees (the Plan) as of December 31, 2008 and 2007,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overall financial statement presentation. We believe that our audits provide a reasonable basis for our opinion.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2008 and 2007 and the changes in net assets available for benefits for the years then ended, in conformity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1196340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580" w:top="756" w:right="7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Investments at fair value:</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Interest in the Toro Company Master Trust Fund</w:t>
            </w:r>
          </w:p>
        </w:tc>
        <w:tc>
          <w:tcPr>
            <w:tcW w:w="2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2,099,274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2,099,274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contribution receivable</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Employer contribution receivable</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assets available for benefits at fair value</w:t>
            </w: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2,103,408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fully benefit-responsive investment contracts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Net assets available for benefits</w:t>
            </w:r>
          </w:p>
        </w:tc>
        <w:tc>
          <w:tcPr>
            <w:tcW w:w="2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2,114,250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Years ended December 31, 2008 and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(Deductions) Additions to Net Assets: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Investment (loss) income: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interest in net investment income of the Toro</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560"/>
              <w:spacing w:after="0"/>
              <w:rPr>
                <w:sz w:val="20"/>
                <w:szCs w:val="20"/>
                <w:color w:val="auto"/>
              </w:rPr>
            </w:pPr>
            <w:r>
              <w:rPr>
                <w:rFonts w:ascii="Arial" w:cs="Arial" w:eastAsia="Arial" w:hAnsi="Arial"/>
                <w:sz w:val="18"/>
                <w:szCs w:val="18"/>
                <w:color w:val="auto"/>
              </w:rPr>
              <w:t>Company Master Trust Fund</w:t>
            </w:r>
          </w:p>
        </w:tc>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(1,098,931)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337,448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investment (loss) income</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(1,098,931)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Employee contributions</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161,293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contributions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206,700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Total (deductions) additions to net assets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(892,231)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531,270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Benefit payments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(250,901)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(259,181)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20"/>
              <w:spacing w:after="0"/>
              <w:rPr>
                <w:sz w:val="20"/>
                <w:szCs w:val="20"/>
                <w:color w:val="auto"/>
              </w:rPr>
            </w:pPr>
            <w:r>
              <w:rPr>
                <w:rFonts w:ascii="Arial" w:cs="Arial" w:eastAsia="Arial" w:hAnsi="Arial"/>
                <w:sz w:val="18"/>
                <w:szCs w:val="18"/>
                <w:color w:val="auto"/>
              </w:rPr>
              <w:t>Net (decrease) increase in net assets available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for benefits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(1,143,132)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Beginning of year</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3,257,382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2,985,293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End of year</w:t>
            </w:r>
          </w:p>
        </w:tc>
        <w:tc>
          <w:tcPr>
            <w:tcW w:w="2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2,114,250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3,257,382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48"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following description of The Toro Company Profit-Sharing Plan for Plymouth Union Employees (the Plan) is provided for general information purposes only. Participants should refer the Plan document restated as of January 1, 2006 for more complete information.</w:t>
      </w:r>
    </w:p>
    <w:p>
      <w:pPr>
        <w:spacing w:after="0" w:line="197"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Employees are eligible to contribute to the plan after they have completed 180 consecutive days of employment or one year of eligibility service and must be a member of a collective bargaining unit. Participants are fully vested in the entire balance of their individual accounts attributable to those contributions. The Toro Company (the Company) also makes matching contributions. Participants are eligible for matching contributions after completing one year of qualifying service with the Company. Company contributions, together with the income attributable thereto, vest at a rate of 20% after one year of vesting service, with an additional 20% being accumulated annually thereafter until the participant is 100% vested.</w:t>
      </w:r>
    </w:p>
    <w:p>
      <w:pPr>
        <w:spacing w:after="0" w:line="18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Participants and the Company make contributions to the Plan. The investments of employee and employer contributions are selected by the participants. All contributions under the Plan are made to a trust that holds all of the assets of the Plan.</w:t>
      </w:r>
    </w:p>
    <w:p>
      <w:pPr>
        <w:spacing w:after="0" w:line="19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Participants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Company common shares, a withdrawal or distribution can be in the form of common shares or cash.</w:t>
      </w:r>
    </w:p>
    <w:p>
      <w:pPr>
        <w:spacing w:after="0" w:line="181"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Effective November 5, 2007, a new trustee (Fidelity) was appointed to the Plan. Plan assets transferred to the new trustee were transferred into funds comparable to those offered by the former trustee (J.P. Morgan Retirement Plan Services). The conversion initiated a “Black Out” period beginning October 20, 2007 and continued through November 4, 2007. Prior to this period, employees were notified and able to select funds with the new trustee. During the Black Out period, fund elections could not be changed or withdrawn from the Plan until the new trustee had time to accurately complete the conversion. Employee contributions continued to be made through payroll deductions and contributions were deposited directly into the participant accounts based on their elections until the completion of the Black Out period.</w:t>
      </w:r>
    </w:p>
    <w:p>
      <w:pPr>
        <w:spacing w:after="0" w:line="20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Employee contributions to the plan consist of salary reduction elections under a 401(k) feature, voluntary after tax contributions, and rollover funds from other qualified plans. The Company is required to make a matching contribution equal to 50% of the participants’ contributions to the Plan not to exceed 2% of the participants’ total compensation.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Transfers to/from other funds, represent participant elected rollovers to/from other plans of other employers or other transfers to/from plans.</w:t>
      </w:r>
    </w:p>
    <w:p>
      <w:pPr>
        <w:spacing w:after="0" w:line="26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Forfeited amounts from nonvested accounts totaled $816 during the plan year ended December 31, 2008. During the plan year ended December 31, 2007, there were no forfeited amounts from nonvested accounts.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administrator of the Plan, absorbs all administrative costs of the Plan, except for the trustee fees.</w:t>
      </w:r>
    </w:p>
    <w:p>
      <w:pPr>
        <w:spacing w:after="0" w:line="248"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Basis of Financial Statement Presentation</w:t>
      </w:r>
    </w:p>
    <w:p>
      <w:pPr>
        <w:spacing w:after="0" w:line="252"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accompanying financial statements of The Toro Company Profit-Sharing Plan for Plymouth Union Employees (the Plan) are presented in accordance with U.S. generally accepted accounting principles.</w:t>
      </w:r>
    </w:p>
    <w:p>
      <w:pPr>
        <w:spacing w:after="0" w:line="197"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Investments</w:t>
      </w:r>
    </w:p>
    <w:p>
      <w:pPr>
        <w:spacing w:after="0" w:line="252" w:lineRule="exact"/>
        <w:rPr>
          <w:sz w:val="20"/>
          <w:szCs w:val="20"/>
          <w:color w:val="auto"/>
        </w:rPr>
      </w:pPr>
    </w:p>
    <w:p>
      <w:pPr>
        <w:jc w:val="both"/>
        <w:ind w:left="980"/>
        <w:spacing w:after="0" w:line="297" w:lineRule="auto"/>
        <w:rPr>
          <w:sz w:val="20"/>
          <w:szCs w:val="20"/>
          <w:color w:val="auto"/>
        </w:rPr>
      </w:pPr>
      <w:r>
        <w:rPr>
          <w:rFonts w:ascii="Arial" w:cs="Arial" w:eastAsia="Arial" w:hAnsi="Arial"/>
          <w:sz w:val="16"/>
          <w:szCs w:val="16"/>
          <w:color w:val="auto"/>
        </w:rPr>
        <w:t>The Plan’s investments are in a Master Trust held by Fidelity.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85"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Company maintains one Master Trust for three profit sharing and retirement plans that are sponsored by the Company. The three plans are the Plan, The Toro Company Investment, Savings, and Employee Stock Ownership Plan, and the Hahn Equipment Company Savings Plan for Union Employees. The purpose of the Master Trust is to pool investment transactions and achieve uniform rates of return on comparable funds under all plans. The Master Trust invests in fully benefit-responsive investment contracts stated at fair value and then adjusted to contract value. Fair value of the contracts is calculated by discounting the related cash flows based on current yields of similar instruments with comparable durations.</w:t>
      </w:r>
    </w:p>
    <w:p>
      <w:pPr>
        <w:spacing w:after="0" w:line="220"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1% as of December 31, 2008 and 2007.</w:t>
      </w:r>
    </w:p>
    <w:p>
      <w:pPr>
        <w:spacing w:after="0" w:line="208" w:lineRule="exact"/>
        <w:rPr>
          <w:sz w:val="20"/>
          <w:szCs w:val="20"/>
          <w:color w:val="auto"/>
        </w:rPr>
      </w:pPr>
    </w:p>
    <w:p>
      <w:pPr>
        <w:ind w:left="500"/>
        <w:spacing w:after="0"/>
        <w:tabs>
          <w:tab w:leader="none" w:pos="8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Use of Estimates</w:t>
      </w:r>
    </w:p>
    <w:p>
      <w:pPr>
        <w:spacing w:after="0" w:line="252"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214" w:lineRule="exact"/>
        <w:rPr>
          <w:sz w:val="20"/>
          <w:szCs w:val="20"/>
          <w:color w:val="auto"/>
        </w:rPr>
      </w:pPr>
    </w:p>
    <w:p>
      <w:pPr>
        <w:ind w:left="840" w:hanging="386"/>
        <w:spacing w:after="0"/>
        <w:tabs>
          <w:tab w:leader="none" w:pos="8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52"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9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changes could materially affect participants’ account balances and the amounts reported in the Statement of Net Assets Available for Benefits.</w:t>
      </w:r>
    </w:p>
    <w:p>
      <w:pPr>
        <w:spacing w:after="0" w:line="275" w:lineRule="exact"/>
        <w:rPr>
          <w:sz w:val="20"/>
          <w:szCs w:val="20"/>
          <w:color w:val="auto"/>
        </w:rPr>
      </w:pPr>
    </w:p>
    <w:p>
      <w:pPr>
        <w:jc w:val="both"/>
        <w:ind w:left="980"/>
        <w:spacing w:after="0" w:line="312" w:lineRule="auto"/>
        <w:rPr>
          <w:sz w:val="20"/>
          <w:szCs w:val="20"/>
          <w:color w:val="auto"/>
        </w:rPr>
      </w:pPr>
      <w:r>
        <w:rPr>
          <w:rFonts w:ascii="Arial" w:cs="Arial" w:eastAsia="Arial" w:hAnsi="Arial"/>
          <w:sz w:val="16"/>
          <w:szCs w:val="16"/>
          <w:color w:val="auto"/>
        </w:rPr>
        <w:t>The assets held by the Master Trust include The Toro Company Common Stock. At December 31, 2008 and 2007, approximately 30% and 34% of the investments of the Master Trust were invested in common stock of the Company. The underlying value of the Company’s common stock is entirely dependent upon the performance of the Company and the market’s evaluation of such performance and other factors.</w:t>
      </w:r>
    </w:p>
    <w:p>
      <w:pPr>
        <w:spacing w:after="0" w:line="174" w:lineRule="exact"/>
        <w:rPr>
          <w:sz w:val="20"/>
          <w:szCs w:val="20"/>
          <w:color w:val="auto"/>
        </w:rPr>
      </w:pPr>
    </w:p>
    <w:p>
      <w:pPr>
        <w:ind w:left="440"/>
        <w:spacing w:after="0"/>
        <w:tabs>
          <w:tab w:leader="none" w:pos="7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Fully Benefit-Responsive Investment Contracts</w:t>
      </w:r>
    </w:p>
    <w:p>
      <w:pPr>
        <w:spacing w:after="0" w:line="252"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 of Changes in Net Assets Available for Benefits is prepared on a contract value basis.</w:t>
      </w:r>
    </w:p>
    <w:p>
      <w:pPr>
        <w:spacing w:after="0" w:line="216"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Fidelity (trustee of the Plan effective November 5, 2007) and J.P. Morgan Retirement Plan Services (former trustee of the Plan) and The Toro Company are parties-in-interest with respect to the Plan. The Plan’s investments are held by Fidelity (trustee of the Plan effective November 5, 2007) and JP Morgan Retirement Plan Services (former trustee of the Plan). Some of the investment funds available to participants also include mutual funds managed by Fidelity from November 5, 2007 through December 31, 2008 and JP Morgan from January 1, 2007 through November 4, 2007. In the opinion of the Plan’s legal counsel, transactions between the Plan and the trustees are exempt from being considered as “prohibited transactions” under the ERISA Section 408(b).</w:t>
      </w:r>
    </w:p>
    <w:p>
      <w:pPr>
        <w:spacing w:after="0" w:line="21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88" w:lineRule="exact"/>
        <w:rPr>
          <w:rFonts w:ascii="Arial" w:cs="Arial" w:eastAsia="Arial" w:hAnsi="Arial"/>
          <w:sz w:val="18"/>
          <w:szCs w:val="18"/>
          <w:b w:val="1"/>
          <w:bCs w:val="1"/>
          <w:color w:val="auto"/>
        </w:rPr>
      </w:pPr>
    </w:p>
    <w:p>
      <w:pPr>
        <w:ind w:left="660" w:hanging="607"/>
        <w:spacing w:after="0"/>
        <w:tabs>
          <w:tab w:leader="none" w:pos="66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56"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plan administrator has received a favorable determination letter dated April 15, 2003 from the Internal Revenue Service stating that the Plan constitutes a qualified plan under Section 401(a) of the Internal Revenue Code and that the trust created under the Plan is exempt from federal income tax under Section 501(a) of the Code. The Plan has been amended since the date of this letter, and an updated tax determination letter was received on February 19, 2008. Therefore, no provision for income taxes has been included in the Plan’s financial statements.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91" w:lineRule="exact"/>
        <w:rPr>
          <w:sz w:val="20"/>
          <w:szCs w:val="20"/>
          <w:color w:val="auto"/>
        </w:rPr>
      </w:pPr>
    </w:p>
    <w:p>
      <w:pPr>
        <w:ind w:left="760" w:hanging="752"/>
        <w:spacing w:after="0"/>
        <w:tabs>
          <w:tab w:leader="none" w:pos="7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for the Master Trust for the years-ended December 31, 2008 and 2007 was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(depreciation) appreciation</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20"/>
              <w:spacing w:after="0"/>
              <w:rPr>
                <w:sz w:val="20"/>
                <w:szCs w:val="20"/>
                <w:color w:val="auto"/>
              </w:rPr>
            </w:pPr>
            <w:r>
              <w:rPr>
                <w:rFonts w:ascii="Arial" w:cs="Arial" w:eastAsia="Arial" w:hAnsi="Arial"/>
                <w:sz w:val="18"/>
                <w:szCs w:val="18"/>
                <w:color w:val="auto"/>
              </w:rPr>
              <w:t>in fair value of investments</w:t>
            </w:r>
          </w:p>
        </w:tc>
        <w:tc>
          <w:tcPr>
            <w:tcW w:w="2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(212,167,157)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44,948,064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and unrealized (depreciation) appreciation</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(212,167,157)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44,948,064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238,302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Dividends</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8,509,596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20,935,009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investment (loss) income</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(203,419,259)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65,906,379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FASB Statement No. 157 “Fair Value Measurements” (SFAS No. 157) establishes a framework for measuring fair value and expands required disclosures about fair value measurements of assets and liabilities. The Plan adopted the standard as of January 1, 2008, and there was no financial statement impact resulting from the adoption.</w:t>
      </w:r>
    </w:p>
    <w:p>
      <w:pPr>
        <w:spacing w:after="0" w:line="208" w:lineRule="exact"/>
        <w:rPr>
          <w:sz w:val="20"/>
          <w:szCs w:val="20"/>
          <w:color w:val="auto"/>
        </w:rPr>
      </w:pPr>
    </w:p>
    <w:p>
      <w:pPr>
        <w:jc w:val="both"/>
        <w:ind w:left="660" w:right="160"/>
        <w:spacing w:after="0" w:line="279" w:lineRule="auto"/>
        <w:rPr>
          <w:sz w:val="20"/>
          <w:szCs w:val="20"/>
          <w:color w:val="auto"/>
        </w:rPr>
      </w:pPr>
      <w:r>
        <w:rPr>
          <w:rFonts w:ascii="Arial" w:cs="Arial" w:eastAsia="Arial" w:hAnsi="Arial"/>
          <w:sz w:val="17"/>
          <w:szCs w:val="17"/>
          <w:color w:val="auto"/>
        </w:rPr>
        <w:t>SFAS No. 157 defines fair value as the exchange price that would be received for an asset or paid to transfer a liability (an exit price) in the principal or most advantageous market for the asset or liability in an orderly transaction between market participants on the measurement date. SFAS No. 157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19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52" w:lineRule="exact"/>
        <w:rPr>
          <w:sz w:val="20"/>
          <w:szCs w:val="20"/>
          <w:color w:val="auto"/>
        </w:rPr>
      </w:pPr>
    </w:p>
    <w:p>
      <w:pPr>
        <w:jc w:val="both"/>
        <w:ind w:left="980" w:right="180" w:firstLine="158"/>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95" w:lineRule="exact"/>
        <w:rPr>
          <w:sz w:val="20"/>
          <w:szCs w:val="20"/>
          <w:color w:val="auto"/>
        </w:rPr>
      </w:pPr>
    </w:p>
    <w:p>
      <w:pPr>
        <w:ind w:left="980" w:right="160" w:firstLine="174"/>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9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Master Trust’s investments in stocks and mutual funds are classified as Level 1 assets in the fair value hierarchy, while the Master Trust’s investments in common collective trusts are classified as Level 2 assets in the fair value hierarchy.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as of December 31, 2008, are summarized below:</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130,120,605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130,120,605</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150,320,458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150,320,458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157,653,795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157,653,795</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280,441,063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157,653,795</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438,094,858</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Fair values of Master Trust investments at December 31, 2008 and 2007 were as follows: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2"/>
        </w:trPr>
        <w:tc>
          <w:tcPr>
            <w:tcW w:w="20" w:type="dxa"/>
            <w:vAlign w:val="bottom"/>
          </w:tcPr>
          <w:p>
            <w:pPr>
              <w:spacing w:after="0"/>
              <w:rPr>
                <w:sz w:val="24"/>
                <w:szCs w:val="24"/>
                <w:color w:val="auto"/>
              </w:rPr>
            </w:pPr>
          </w:p>
        </w:tc>
        <w:tc>
          <w:tcPr>
            <w:tcW w:w="868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Collective Trusts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Wells Fargo Stable Return E</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92,054,997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83,706,503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Barclays Global Investors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12,334,903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9,472,865</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Registered Investment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Artisan Mid Cap Fund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5,405,877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9,961,602</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JP Morgan MidCap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8,545,146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12,271,931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Fidelity Diversified International Fund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28,339,242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55,049,741</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Growth Fund of America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41,181,028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69,498,831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ICM Small Company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16,490,806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27,574,964</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Vanguard Institutional Index</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11,669,037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18,891,792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American Century Large Company Value Fund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35,190,860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61,240,057</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Alger Small Cap</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3,498,462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7,952,213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The Toro Company 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130,120,605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217,508,364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Pooled Funds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955,107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1,815,105</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1,356,696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2,022,179</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4,624,984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6,973,780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10,710,561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13,034,933</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11,222,486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14,673,475</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11,151,070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14,766,645</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5,998,193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7,849,222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3,547,850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4,809,707</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1,948,331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2,263,024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Pyramis Index Lifecycle 2045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1,297,464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1,469,009</w:t>
            </w:r>
          </w:p>
        </w:tc>
      </w:tr>
      <w:tr>
        <w:trPr>
          <w:trHeight w:val="216"/>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8"/>
                <w:szCs w:val="18"/>
                <w:color w:val="auto"/>
              </w:rPr>
              <w:t>Pyramis Index Lifecycle 2050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451,153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300,602</w:t>
            </w: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investments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438,094,858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643,106,544</w:t>
            </w: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2008 and 2007 that represent 5% or more of the Master Trust’s net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2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3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Return E</w:t>
            </w:r>
          </w:p>
        </w:tc>
        <w:tc>
          <w:tcPr>
            <w:tcW w:w="4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92,054,997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83,706,503</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4940" w:type="dxa"/>
            <w:vAlign w:val="bottom"/>
            <w:gridSpan w:val="4"/>
          </w:tcPr>
          <w:p>
            <w:pPr>
              <w:jc w:val="right"/>
              <w:ind w:right="220"/>
              <w:spacing w:after="0"/>
              <w:rPr>
                <w:sz w:val="20"/>
                <w:szCs w:val="20"/>
                <w:color w:val="auto"/>
              </w:rPr>
            </w:pPr>
            <w:r>
              <w:rPr>
                <w:rFonts w:ascii="Arial" w:cs="Arial" w:eastAsia="Arial" w:hAnsi="Arial"/>
                <w:sz w:val="18"/>
                <w:szCs w:val="18"/>
                <w:color w:val="auto"/>
              </w:rPr>
              <w:t>28,339,242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55,049,741</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4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41,181,028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69,498,831</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American Century Large Company Value Fund</w:t>
            </w:r>
          </w:p>
        </w:tc>
        <w:tc>
          <w:tcPr>
            <w:tcW w:w="4940" w:type="dxa"/>
            <w:vAlign w:val="bottom"/>
            <w:gridSpan w:val="4"/>
          </w:tcPr>
          <w:p>
            <w:pPr>
              <w:jc w:val="right"/>
              <w:ind w:right="220"/>
              <w:spacing w:after="0"/>
              <w:rPr>
                <w:sz w:val="20"/>
                <w:szCs w:val="20"/>
                <w:color w:val="auto"/>
              </w:rPr>
            </w:pPr>
            <w:r>
              <w:rPr>
                <w:rFonts w:ascii="Arial" w:cs="Arial" w:eastAsia="Arial" w:hAnsi="Arial"/>
                <w:sz w:val="18"/>
                <w:szCs w:val="18"/>
                <w:color w:val="auto"/>
              </w:rPr>
              <w:t>35,190,860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61,240,057</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4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130,120,605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217,508,364</w:t>
            </w:r>
          </w:p>
        </w:tc>
      </w:tr>
      <w:tr>
        <w:trPr>
          <w:trHeight w:val="60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460" w:type="dxa"/>
            <w:vAlign w:val="bottom"/>
          </w:tcPr>
          <w:p>
            <w:pPr>
              <w:jc w:val="right"/>
              <w:ind w:right="28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2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2,114,250</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2008</w:t>
            </w:r>
          </w:p>
        </w:tc>
        <w:tc>
          <w:tcPr>
            <w:tcW w:w="2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(10,842)</w:t>
            </w:r>
          </w:p>
        </w:tc>
      </w:tr>
      <w:tr>
        <w:trPr>
          <w:trHeight w:val="216"/>
        </w:trPr>
        <w:tc>
          <w:tcPr>
            <w:tcW w:w="20" w:type="dxa"/>
            <w:vAlign w:val="bottom"/>
          </w:tcPr>
          <w:p>
            <w:pPr>
              <w:spacing w:after="0"/>
              <w:rPr>
                <w:sz w:val="18"/>
                <w:szCs w:val="18"/>
                <w:color w:val="auto"/>
              </w:rPr>
            </w:pPr>
          </w:p>
        </w:tc>
        <w:tc>
          <w:tcPr>
            <w:tcW w:w="772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assets available for benefits as presented on Form 5500</w:t>
            </w:r>
          </w:p>
        </w:tc>
        <w:tc>
          <w:tcPr>
            <w:tcW w:w="2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2,103,408</w:t>
            </w:r>
          </w:p>
        </w:tc>
      </w:tr>
      <w:tr>
        <w:trPr>
          <w:trHeight w:val="20"/>
        </w:trPr>
        <w:tc>
          <w:tcPr>
            <w:tcW w:w="20" w:type="dxa"/>
            <w:vAlign w:val="bottom"/>
          </w:tcPr>
          <w:p>
            <w:pPr>
              <w:spacing w:after="0" w:line="20" w:lineRule="exact"/>
              <w:rPr>
                <w:sz w:val="1"/>
                <w:szCs w:val="1"/>
                <w:color w:val="auto"/>
              </w:rPr>
            </w:pPr>
          </w:p>
        </w:tc>
        <w:tc>
          <w:tcPr>
            <w:tcW w:w="77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19"/>
                <w:szCs w:val="19"/>
                <w:color w:val="auto"/>
              </w:rPr>
            </w:pPr>
          </w:p>
        </w:tc>
        <w:tc>
          <w:tcPr>
            <w:tcW w:w="4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(decrease) in net assets available for benefits as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presented in these financial statements</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(1,143,132)</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fully benefit-responsive investment contracts at December 31, 2008</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(10,842)</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fully benefit-responsive investment contracts at December 31, 2007</w:t>
            </w:r>
          </w:p>
        </w:tc>
        <w:tc>
          <w:tcPr>
            <w:tcW w:w="4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530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Net (decrease) in net assets available for benefits as</w:t>
            </w:r>
          </w:p>
        </w:tc>
        <w:tc>
          <w:tcPr>
            <w:tcW w:w="48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presented on Form 5500</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(1,153,293)</w:t>
            </w:r>
          </w:p>
        </w:tc>
      </w:tr>
      <w:tr>
        <w:trPr>
          <w:trHeight w:val="844"/>
        </w:trPr>
        <w:tc>
          <w:tcPr>
            <w:tcW w:w="20" w:type="dxa"/>
            <w:vAlign w:val="bottom"/>
          </w:tcPr>
          <w:p>
            <w:pPr>
              <w:spacing w:after="0"/>
              <w:rPr>
                <w:sz w:val="24"/>
                <w:szCs w:val="24"/>
                <w:color w:val="auto"/>
              </w:rPr>
            </w:pPr>
          </w:p>
        </w:tc>
        <w:tc>
          <w:tcPr>
            <w:tcW w:w="5300" w:type="dxa"/>
            <w:vAlign w:val="bottom"/>
            <w:tcBorders>
              <w:top w:val="single" w:sz="8" w:color="CCEEFF"/>
            </w:tcBorders>
          </w:tcPr>
          <w:p>
            <w:pPr>
              <w:spacing w:after="0"/>
              <w:rPr>
                <w:sz w:val="24"/>
                <w:szCs w:val="24"/>
                <w:color w:val="auto"/>
              </w:rPr>
            </w:pPr>
          </w:p>
        </w:tc>
        <w:tc>
          <w:tcPr>
            <w:tcW w:w="4860" w:type="dxa"/>
            <w:vAlign w:val="bottom"/>
            <w:tcBorders>
              <w:top w:val="single" w:sz="8" w:color="CCEEFF"/>
            </w:tcBorders>
          </w:tcPr>
          <w:p>
            <w:pPr>
              <w:jc w:val="right"/>
              <w:ind w:right="429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color w:val="auto"/>
                <w:w w:val="89"/>
              </w:rPr>
              <w:t>Notes to Financial Statements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color w:val="auto"/>
                <w:w w:val="89"/>
              </w:rPr>
              <w:t>December 31, 2008 and 2007</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3,257,382</w:t>
            </w: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2007</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assets available for benefits as presented on Form 5500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3,256,701</w:t>
            </w: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0" w:type="dxa"/>
            <w:vAlign w:val="bottom"/>
          </w:tcPr>
          <w:p>
            <w:pPr>
              <w:spacing w:after="0"/>
              <w:rPr>
                <w:sz w:val="19"/>
                <w:szCs w:val="19"/>
                <w:color w:val="auto"/>
              </w:rPr>
            </w:pPr>
          </w:p>
        </w:tc>
        <w:tc>
          <w:tcPr>
            <w:tcW w:w="84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increase in net assets available for benefits as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presented in these financial statements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272,089</w:t>
            </w: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2007</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2006</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w:t>
            </w: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Adjustment for employer contribution receivable at December 31, 2006</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r>
      <w:tr>
        <w:trPr>
          <w:trHeight w:val="223"/>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employee contribution receivable at December 31, 2006</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r>
      <w:tr>
        <w:trPr>
          <w:trHeight w:val="216"/>
        </w:trPr>
        <w:tc>
          <w:tcPr>
            <w:tcW w:w="20" w:type="dxa"/>
            <w:vAlign w:val="bottom"/>
          </w:tcPr>
          <w:p>
            <w:pPr>
              <w:spacing w:after="0"/>
              <w:rPr>
                <w:sz w:val="18"/>
                <w:szCs w:val="18"/>
                <w:color w:val="auto"/>
              </w:rPr>
            </w:pPr>
          </w:p>
        </w:tc>
        <w:tc>
          <w:tcPr>
            <w:tcW w:w="846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Net increase in net assets available for benefits as</w:t>
            </w: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presented on Form 5500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277,956</w:t>
            </w:r>
          </w:p>
        </w:tc>
      </w:tr>
      <w:tr>
        <w:trPr>
          <w:trHeight w:val="844"/>
        </w:trPr>
        <w:tc>
          <w:tcPr>
            <w:tcW w:w="20" w:type="dxa"/>
            <w:vAlign w:val="bottom"/>
          </w:tcPr>
          <w:p>
            <w:pPr>
              <w:spacing w:after="0"/>
              <w:rPr>
                <w:sz w:val="24"/>
                <w:szCs w:val="24"/>
                <w:color w:val="auto"/>
              </w:rPr>
            </w:pPr>
          </w:p>
        </w:tc>
        <w:tc>
          <w:tcPr>
            <w:tcW w:w="8460" w:type="dxa"/>
            <w:vAlign w:val="bottom"/>
            <w:tcBorders>
              <w:top w:val="single" w:sz="8" w:color="CCEEFF"/>
            </w:tcBorders>
          </w:tcPr>
          <w:p>
            <w:pPr>
              <w:jc w:val="center"/>
              <w:ind w:left="2830"/>
              <w:spacing w:after="0"/>
              <w:rPr>
                <w:sz w:val="20"/>
                <w:szCs w:val="20"/>
                <w:color w:val="auto"/>
              </w:rPr>
            </w:pPr>
            <w:r>
              <w:rPr>
                <w:rFonts w:ascii="Arial" w:cs="Arial" w:eastAsia="Arial" w:hAnsi="Arial"/>
                <w:sz w:val="18"/>
                <w:szCs w:val="18"/>
                <w:color w:val="auto"/>
                <w:w w:val="89"/>
              </w:rPr>
              <w:t>11</w:t>
            </w:r>
          </w:p>
        </w:tc>
        <w:tc>
          <w:tcPr>
            <w:tcW w:w="17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84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The Toro Company Profit-Sharing Plan for</w:t>
            </w:r>
          </w:p>
        </w:tc>
      </w:tr>
      <w:tr>
        <w:trPr>
          <w:trHeight w:val="230"/>
        </w:trPr>
        <w:tc>
          <w:tcPr>
            <w:tcW w:w="3560" w:type="dxa"/>
            <w:vAlign w:val="bottom"/>
          </w:tcPr>
          <w:p>
            <w:pPr>
              <w:spacing w:after="0"/>
              <w:rPr>
                <w:sz w:val="20"/>
                <w:szCs w:val="20"/>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Plymouth Union Employees</w:t>
            </w:r>
          </w:p>
        </w:tc>
      </w:tr>
      <w:tr>
        <w:trPr>
          <w:trHeight w:val="392"/>
        </w:trPr>
        <w:tc>
          <w:tcPr>
            <w:tcW w:w="3560" w:type="dxa"/>
            <w:vAlign w:val="bottom"/>
          </w:tcPr>
          <w:p>
            <w:pPr>
              <w:spacing w:after="0"/>
              <w:rPr>
                <w:sz w:val="20"/>
                <w:szCs w:val="20"/>
                <w:color w:val="auto"/>
              </w:rPr>
            </w:pPr>
            <w:r>
              <w:rPr>
                <w:rFonts w:ascii="Arial" w:cs="Arial" w:eastAsia="Arial" w:hAnsi="Arial"/>
                <w:sz w:val="18"/>
                <w:szCs w:val="18"/>
                <w:color w:val="auto"/>
              </w:rPr>
              <w:t>Date: June 26, 2009</w:t>
            </w: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By /s/ Stephen P. Wolfe</w:t>
            </w:r>
          </w:p>
        </w:tc>
      </w:tr>
      <w:tr>
        <w:trPr>
          <w:trHeight w:val="20"/>
        </w:trPr>
        <w:tc>
          <w:tcPr>
            <w:tcW w:w="3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Stephen P. Wolfe</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Vice President Finance</w:t>
            </w:r>
          </w:p>
        </w:tc>
      </w:tr>
      <w:tr>
        <w:trPr>
          <w:trHeight w:val="216"/>
        </w:trPr>
        <w:tc>
          <w:tcPr>
            <w:tcW w:w="3560" w:type="dxa"/>
            <w:vAlign w:val="bottom"/>
          </w:tcPr>
          <w:p>
            <w:pPr>
              <w:spacing w:after="0"/>
              <w:rPr>
                <w:sz w:val="18"/>
                <w:szCs w:val="18"/>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and Chief Financial Officer</w:t>
            </w:r>
          </w:p>
        </w:tc>
      </w:tr>
      <w:tr>
        <w:trPr>
          <w:trHeight w:val="230"/>
        </w:trPr>
        <w:tc>
          <w:tcPr>
            <w:tcW w:w="3560" w:type="dxa"/>
            <w:vAlign w:val="bottom"/>
          </w:tcPr>
          <w:p>
            <w:pPr>
              <w:spacing w:after="0"/>
              <w:rPr>
                <w:sz w:val="20"/>
                <w:szCs w:val="20"/>
                <w:color w:val="auto"/>
              </w:rPr>
            </w:pPr>
          </w:p>
        </w:tc>
        <w:tc>
          <w:tcPr>
            <w:tcW w:w="7860" w:type="dxa"/>
            <w:vAlign w:val="bottom"/>
            <w:gridSpan w:val="3"/>
          </w:tcPr>
          <w:p>
            <w:pPr>
              <w:ind w:left="2060"/>
              <w:spacing w:after="0"/>
              <w:rPr>
                <w:sz w:val="20"/>
                <w:szCs w:val="20"/>
                <w:color w:val="auto"/>
              </w:rPr>
            </w:pPr>
            <w:r>
              <w:rPr>
                <w:rFonts w:ascii="Arial" w:cs="Arial" w:eastAsia="Arial" w:hAnsi="Arial"/>
                <w:sz w:val="18"/>
                <w:szCs w:val="18"/>
                <w:color w:val="auto"/>
              </w:rPr>
              <w:t>of The Toro Company</w:t>
            </w:r>
          </w:p>
        </w:tc>
      </w:tr>
      <w:tr>
        <w:trPr>
          <w:trHeight w:val="848"/>
        </w:trPr>
        <w:tc>
          <w:tcPr>
            <w:tcW w:w="356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620" w:type="dxa"/>
            <w:vAlign w:val="bottom"/>
          </w:tcPr>
          <w:p>
            <w:pPr>
              <w:ind w:left="3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96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23.1</w:t>
            </w:r>
          </w:p>
        </w:tc>
        <w:tc>
          <w:tcPr>
            <w:tcW w:w="96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9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incorporation by reference in the Registration Statement (No. 333-119506) on Form S-8 of The Toro Company, of our report dated June 26, 2009, relating to the statements of net assets available for benefits of The Toro Company Profit-Sharing Plan for Plymouth Union Employees as of December 31, 2008 and 2007, and the related statements of changes in net assets available for benefits for the years then ended, which report appears in the December 31, 2008 annual report on Form 11-K of The Toro Company Profit-Sharing Plan for Plymouth Union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4"/>
    </w:lvl>
    <w:lvl w:ilvl="1">
      <w:lvlJc w:val="left"/>
      <w:lvlText w:val="(%2)"/>
      <w:numFmt w:val="decimal"/>
      <w:start w:val="5"/>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2019-12-10T05:40:42Z</dcterms:created>
  <dcterms:modified xsi:type="dcterms:W3CDTF">2019-12-10T05:40:42Z</dcterms:modified>
</cp:coreProperties>
</file>