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MELROSE KENDRICK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Chief Executive Officer &amp; Chai</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540" w:type="dxa"/>
            <w:vAlign w:val="bottom"/>
          </w:tcPr>
          <w:p>
            <w:pPr>
              <w:spacing w:after="0"/>
              <w:rPr>
                <w:sz w:val="2"/>
                <w:szCs w:val="2"/>
                <w:color w:val="auto"/>
              </w:rPr>
            </w:pPr>
          </w:p>
        </w:tc>
        <w:tc>
          <w:tcPr>
            <w:tcW w:w="3360" w:type="dxa"/>
            <w:vAlign w:val="bottom"/>
            <w:gridSpan w:val="5"/>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33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80" w:type="dxa"/>
            <w:vAlign w:val="bottom"/>
            <w:gridSpan w:val="4"/>
          </w:tcPr>
          <w:p>
            <w:pPr>
              <w:ind w:left="1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280" w:type="dxa"/>
            <w:vAlign w:val="bottom"/>
            <w:gridSpan w:val="4"/>
            <w:vMerge w:val="restart"/>
          </w:tcPr>
          <w:p>
            <w:pPr>
              <w:ind w:left="4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10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ind w:left="4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220" w:type="dxa"/>
            <w:vAlign w:val="bottom"/>
            <w:tcBorders>
              <w:bottom w:val="single" w:sz="8" w:color="2C2C2C"/>
            </w:tcBorders>
            <w:gridSpan w:val="7"/>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9"/>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00" w:type="dxa"/>
            <w:vAlign w:val="bottom"/>
            <w:gridSpan w:val="2"/>
          </w:tcPr>
          <w:p>
            <w:pPr>
              <w:ind w:left="10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gridSpan w:val="2"/>
          </w:tcPr>
          <w:p>
            <w:pPr>
              <w:ind w:left="10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03/15/2005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9,294</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87.05</w:t>
            </w:r>
          </w:p>
        </w:tc>
        <w:tc>
          <w:tcPr>
            <w:tcW w:w="1260" w:type="dxa"/>
            <w:vAlign w:val="bottom"/>
            <w:tcBorders>
              <w:bottom w:val="single" w:sz="8" w:color="2C2C2C"/>
            </w:tcBorders>
            <w:gridSpan w:val="2"/>
          </w:tcPr>
          <w:p>
            <w:pPr>
              <w:jc w:val="center"/>
              <w:ind w:left="17"/>
              <w:spacing w:after="0"/>
              <w:rPr>
                <w:sz w:val="20"/>
                <w:szCs w:val="20"/>
                <w:color w:val="auto"/>
              </w:rPr>
            </w:pPr>
            <w:r>
              <w:rPr>
                <w:rFonts w:ascii="Arial" w:cs="Arial" w:eastAsia="Arial" w:hAnsi="Arial"/>
                <w:sz w:val="18"/>
                <w:szCs w:val="18"/>
                <w:color w:val="0000FF"/>
                <w:w w:val="86"/>
              </w:rPr>
              <w:t>196,591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rPr>
              <w:t>Common Stock Units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gridSpan w:val="2"/>
          </w:tcPr>
          <w:p>
            <w:pPr>
              <w:jc w:val="center"/>
              <w:ind w:left="17"/>
              <w:spacing w:after="0"/>
              <w:rPr>
                <w:sz w:val="20"/>
                <w:szCs w:val="20"/>
                <w:color w:val="auto"/>
              </w:rPr>
            </w:pPr>
            <w:r>
              <w:rPr>
                <w:rFonts w:ascii="Arial" w:cs="Arial" w:eastAsia="Arial" w:hAnsi="Arial"/>
                <w:sz w:val="18"/>
                <w:szCs w:val="18"/>
                <w:color w:val="0000FF"/>
                <w:w w:val="87"/>
              </w:rPr>
              <w:t>38,742.6639</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rPr>
              <w:t>Matching Units</w:t>
            </w:r>
          </w:p>
        </w:tc>
        <w:tc>
          <w:tcPr>
            <w:tcW w:w="8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gridSpan w:val="2"/>
          </w:tcPr>
          <w:p>
            <w:pPr>
              <w:jc w:val="center"/>
              <w:ind w:left="17"/>
              <w:spacing w:after="0"/>
              <w:rPr>
                <w:sz w:val="20"/>
                <w:szCs w:val="20"/>
                <w:color w:val="auto"/>
              </w:rPr>
            </w:pPr>
            <w:r>
              <w:rPr>
                <w:rFonts w:ascii="Arial" w:cs="Arial" w:eastAsia="Arial" w:hAnsi="Arial"/>
                <w:sz w:val="18"/>
                <w:szCs w:val="18"/>
                <w:color w:val="0000FF"/>
                <w:w w:val="87"/>
              </w:rPr>
              <w:t>19,370.8634</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gridSpan w:val="2"/>
          </w:tcPr>
          <w:p>
            <w:pPr>
              <w:jc w:val="center"/>
              <w:ind w:left="17"/>
              <w:spacing w:after="0"/>
              <w:rPr>
                <w:sz w:val="20"/>
                <w:szCs w:val="20"/>
                <w:color w:val="auto"/>
              </w:rPr>
            </w:pPr>
            <w:r>
              <w:rPr>
                <w:rFonts w:ascii="Arial" w:cs="Arial" w:eastAsia="Arial" w:hAnsi="Arial"/>
                <w:sz w:val="18"/>
                <w:szCs w:val="18"/>
                <w:color w:val="0000FF"/>
                <w:w w:val="87"/>
              </w:rPr>
              <w:t>290,464.6504</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93"/>
              </w:rPr>
              <w:t>916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0000FF"/>
                <w:w w:val="95"/>
              </w:rPr>
              <w:t>grandchildren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left="17"/>
              <w:spacing w:after="0"/>
              <w:rPr>
                <w:sz w:val="20"/>
                <w:szCs w:val="20"/>
                <w:color w:val="auto"/>
              </w:rPr>
            </w:pPr>
            <w:r>
              <w:rPr>
                <w:rFonts w:ascii="Arial" w:cs="Arial" w:eastAsia="Arial" w:hAnsi="Arial"/>
                <w:sz w:val="18"/>
                <w:szCs w:val="18"/>
                <w:color w:val="0000FF"/>
                <w:w w:val="88"/>
              </w:rPr>
              <w:t>18,824.687</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Melrose achieved goal #3 under the Chief Executive Officer Succession Incentive Award Agreement. The shares being disposed are shares being withheld by the Company from the vested share award of 24,454 to cover his tax liaiblity. The share award was reported at the time of grant.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03/17/2005</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2019-12-16T03:47:20Z</dcterms:created>
  <dcterms:modified xsi:type="dcterms:W3CDTF">2019-12-16T03:47:20Z</dcterms:modified>
</cp:coreProperties>
</file>