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687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876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DRAZAN MICHAEL D</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08/28/2012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87"/>
        <w:spacing w:after="0"/>
        <w:rPr>
          <w:sz w:val="20"/>
          <w:szCs w:val="20"/>
          <w:color w:val="auto"/>
        </w:rPr>
      </w:pPr>
      <w:r>
        <w:rPr>
          <w:rFonts w:ascii="Arial" w:cs="Arial" w:eastAsia="Arial" w:hAnsi="Arial"/>
          <w:sz w:val="17"/>
          <w:szCs w:val="17"/>
          <w:color w:val="0000FF"/>
        </w:rPr>
        <w:t>VP, Global Micro Irrigation</w:t>
      </w:r>
    </w:p>
    <w:p>
      <w:pPr>
        <w:spacing w:after="0" w:line="326"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80"/>
              <w:spacing w:after="0"/>
              <w:rPr>
                <w:sz w:val="20"/>
                <w:szCs w:val="20"/>
                <w:color w:val="auto"/>
              </w:rPr>
            </w:pPr>
            <w:r>
              <w:rPr>
                <w:rFonts w:ascii="Arial" w:cs="Arial" w:eastAsia="Arial" w:hAnsi="Arial"/>
                <w:sz w:val="17"/>
                <w:szCs w:val="17"/>
                <w:color w:val="0000FF"/>
              </w:rPr>
              <w:t>55420-1196</w:t>
            </w:r>
          </w:p>
        </w:tc>
      </w:tr>
      <w:tr>
        <w:trPr>
          <w:trHeight w:val="154"/>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60"/>
              <w:spacing w:after="0" w:line="133" w:lineRule="exact"/>
              <w:rPr>
                <w:sz w:val="20"/>
                <w:szCs w:val="20"/>
                <w:color w:val="auto"/>
              </w:rPr>
            </w:pPr>
            <w:r>
              <w:rPr>
                <w:rFonts w:ascii="Arial" w:cs="Arial" w:eastAsia="Arial" w:hAnsi="Arial"/>
                <w:sz w:val="12"/>
                <w:szCs w:val="12"/>
                <w:b w:val="1"/>
                <w:bCs w:val="1"/>
                <w:color w:val="auto"/>
                <w:w w:val="99"/>
              </w:rPr>
              <w:t>(D) or Indirect</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08/28/2012</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1,250</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12.08</w:t>
            </w:r>
          </w:p>
        </w:tc>
        <w:tc>
          <w:tcPr>
            <w:tcW w:w="1600" w:type="dxa"/>
            <w:vAlign w:val="bottom"/>
            <w:tcBorders>
              <w:bottom w:val="single" w:sz="8" w:color="2C2C2C"/>
            </w:tcBorders>
            <w:gridSpan w:val="3"/>
          </w:tcPr>
          <w:p>
            <w:pPr>
              <w:jc w:val="center"/>
              <w:ind w:right="320"/>
              <w:spacing w:after="0"/>
              <w:rPr>
                <w:sz w:val="20"/>
                <w:szCs w:val="20"/>
                <w:color w:val="auto"/>
              </w:rPr>
            </w:pPr>
            <w:r>
              <w:rPr>
                <w:rFonts w:ascii="Arial" w:cs="Arial" w:eastAsia="Arial" w:hAnsi="Arial"/>
                <w:sz w:val="17"/>
                <w:szCs w:val="17"/>
                <w:color w:val="0000FF"/>
                <w:w w:val="88"/>
              </w:rPr>
              <w:t>45,392</w:t>
            </w:r>
            <w:r>
              <w:rPr>
                <w:rFonts w:ascii="Arial" w:cs="Arial" w:eastAsia="Arial" w:hAnsi="Arial"/>
                <w:sz w:val="22"/>
                <w:szCs w:val="22"/>
                <w:color w:val="008000"/>
                <w:w w:val="88"/>
                <w:vertAlign w:val="superscript"/>
              </w:rPr>
              <w:t>(1)</w:t>
            </w:r>
          </w:p>
        </w:tc>
        <w:tc>
          <w:tcPr>
            <w:tcW w:w="600" w:type="dxa"/>
            <w:vAlign w:val="bottom"/>
            <w:tcBorders>
              <w:bottom w:val="single" w:sz="8" w:color="2C2C2C"/>
            </w:tcBorders>
          </w:tcPr>
          <w:p>
            <w:pPr>
              <w:jc w:val="center"/>
              <w:ind w:right="332"/>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gridSpan w:val="3"/>
          </w:tcPr>
          <w:p>
            <w:pPr>
              <w:jc w:val="center"/>
              <w:ind w:right="320"/>
              <w:spacing w:after="0" w:line="212" w:lineRule="exact"/>
              <w:rPr>
                <w:sz w:val="20"/>
                <w:szCs w:val="20"/>
                <w:color w:val="auto"/>
              </w:rPr>
            </w:pPr>
            <w:r>
              <w:rPr>
                <w:rFonts w:ascii="Arial" w:cs="Arial" w:eastAsia="Arial" w:hAnsi="Arial"/>
                <w:sz w:val="17"/>
                <w:szCs w:val="17"/>
                <w:color w:val="0000FF"/>
                <w:w w:val="87"/>
              </w:rPr>
              <w:t>4,291.636</w:t>
            </w:r>
            <w:r>
              <w:rPr>
                <w:rFonts w:ascii="Arial" w:cs="Arial" w:eastAsia="Arial" w:hAnsi="Arial"/>
                <w:sz w:val="22"/>
                <w:szCs w:val="22"/>
                <w:color w:val="008000"/>
                <w:w w:val="87"/>
                <w:vertAlign w:val="superscript"/>
              </w:rPr>
              <w:t>(2)</w:t>
            </w:r>
          </w:p>
        </w:tc>
        <w:tc>
          <w:tcPr>
            <w:tcW w:w="600" w:type="dxa"/>
            <w:vAlign w:val="bottom"/>
          </w:tcPr>
          <w:p>
            <w:pPr>
              <w:jc w:val="center"/>
              <w:ind w:right="352"/>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right="320"/>
              <w:spacing w:after="0"/>
              <w:rPr>
                <w:sz w:val="20"/>
                <w:szCs w:val="20"/>
                <w:color w:val="auto"/>
              </w:rPr>
            </w:pPr>
            <w:r>
              <w:rPr>
                <w:rFonts w:ascii="Arial" w:cs="Arial" w:eastAsia="Arial" w:hAnsi="Arial"/>
                <w:sz w:val="17"/>
                <w:szCs w:val="17"/>
                <w:color w:val="0000FF"/>
                <w:w w:val="87"/>
              </w:rPr>
              <w:t>26,680.358</w:t>
            </w:r>
            <w:r>
              <w:rPr>
                <w:rFonts w:ascii="Arial" w:cs="Arial" w:eastAsia="Arial" w:hAnsi="Arial"/>
                <w:sz w:val="22"/>
                <w:szCs w:val="22"/>
                <w:color w:val="008000"/>
                <w:w w:val="87"/>
                <w:vertAlign w:val="superscript"/>
              </w:rPr>
              <w:t>(3)</w:t>
            </w:r>
          </w:p>
        </w:tc>
        <w:tc>
          <w:tcPr>
            <w:tcW w:w="600" w:type="dxa"/>
            <w:vAlign w:val="bottom"/>
            <w:tcBorders>
              <w:bottom w:val="single" w:sz="8" w:color="2C2C2C"/>
            </w:tcBorders>
          </w:tcPr>
          <w:p>
            <w:pPr>
              <w:jc w:val="center"/>
              <w:ind w:right="332"/>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8"/>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Pr>
          <w:p>
            <w:pPr>
              <w:spacing w:after="0"/>
              <w:rPr>
                <w:sz w:val="6"/>
                <w:szCs w:val="6"/>
                <w:color w:val="auto"/>
              </w:rPr>
            </w:pPr>
          </w:p>
        </w:tc>
        <w:tc>
          <w:tcPr>
            <w:tcW w:w="13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12.08</w:t>
            </w:r>
            <w:r>
              <w:rPr>
                <w:rFonts w:ascii="Arial" w:cs="Arial" w:eastAsia="Arial" w:hAnsi="Arial"/>
                <w:sz w:val="22"/>
                <w:szCs w:val="22"/>
                <w:color w:val="008000"/>
                <w:vertAlign w:val="superscript"/>
              </w:rPr>
              <w:t>(4)</w:t>
            </w: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ind w:left="400"/>
              <w:spacing w:after="0"/>
              <w:rPr>
                <w:sz w:val="20"/>
                <w:szCs w:val="20"/>
                <w:color w:val="auto"/>
              </w:rPr>
            </w:pPr>
            <w:r>
              <w:rPr>
                <w:rFonts w:ascii="Arial" w:cs="Arial" w:eastAsia="Arial" w:hAnsi="Arial"/>
                <w:sz w:val="13"/>
                <w:szCs w:val="13"/>
                <w:color w:val="0000FF"/>
                <w:w w:val="99"/>
              </w:rPr>
              <w:t>1,250</w:t>
            </w:r>
            <w:r>
              <w:rPr>
                <w:rFonts w:ascii="Arial" w:cs="Arial" w:eastAsia="Arial" w:hAnsi="Arial"/>
                <w:sz w:val="22"/>
                <w:szCs w:val="22"/>
                <w:color w:val="008000"/>
                <w:w w:val="99"/>
                <w:vertAlign w:val="superscript"/>
              </w:rPr>
              <w:t>(4)</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vMerge w:val="restart"/>
          </w:tcPr>
          <w:p>
            <w:pPr>
              <w:ind w:left="60"/>
              <w:spacing w:after="0"/>
              <w:rPr>
                <w:sz w:val="20"/>
                <w:szCs w:val="20"/>
                <w:color w:val="auto"/>
              </w:rPr>
            </w:pPr>
            <w:r>
              <w:rPr>
                <w:rFonts w:ascii="Arial" w:cs="Arial" w:eastAsia="Arial" w:hAnsi="Arial"/>
                <w:sz w:val="13"/>
                <w:szCs w:val="13"/>
                <w:color w:val="0000FF"/>
                <w:w w:val="98"/>
              </w:rPr>
              <w:t>Common</w:t>
            </w: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w w:val="85"/>
              </w:rPr>
              <w:t>1,250</w:t>
            </w:r>
            <w:r>
              <w:rPr>
                <w:rFonts w:ascii="Arial" w:cs="Arial" w:eastAsia="Arial" w:hAnsi="Arial"/>
                <w:sz w:val="22"/>
                <w:szCs w:val="22"/>
                <w:color w:val="008000"/>
                <w:w w:val="85"/>
                <w:vertAlign w:val="superscript"/>
              </w:rPr>
              <w:t>(4)</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59"/>
              <w:spacing w:after="0" w:line="142" w:lineRule="exact"/>
              <w:rPr>
                <w:sz w:val="20"/>
                <w:szCs w:val="20"/>
                <w:color w:val="auto"/>
              </w:rPr>
            </w:pPr>
            <w:r>
              <w:rPr>
                <w:rFonts w:ascii="Arial" w:cs="Arial" w:eastAsia="Arial" w:hAnsi="Arial"/>
                <w:sz w:val="13"/>
                <w:szCs w:val="13"/>
                <w:color w:val="0000FF"/>
              </w:rPr>
              <w:t>08/28/2012</w:t>
            </w:r>
          </w:p>
        </w:tc>
        <w:tc>
          <w:tcPr>
            <w:tcW w:w="1140" w:type="dxa"/>
            <w:vAlign w:val="bottom"/>
          </w:tcPr>
          <w:p>
            <w:pPr>
              <w:spacing w:after="0"/>
              <w:rPr>
                <w:sz w:val="12"/>
                <w:szCs w:val="12"/>
                <w:color w:val="auto"/>
              </w:rPr>
            </w:pP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tcPr>
          <w:p>
            <w:pPr>
              <w:ind w:left="80"/>
              <w:spacing w:after="0" w:line="142" w:lineRule="exact"/>
              <w:rPr>
                <w:sz w:val="20"/>
                <w:szCs w:val="20"/>
                <w:color w:val="auto"/>
              </w:rPr>
            </w:pPr>
            <w:r>
              <w:rPr>
                <w:rFonts w:ascii="Arial" w:cs="Arial" w:eastAsia="Arial" w:hAnsi="Arial"/>
                <w:sz w:val="13"/>
                <w:szCs w:val="13"/>
                <w:color w:val="0000FF"/>
              </w:rPr>
              <w:t>12/04/2004</w:t>
            </w:r>
          </w:p>
        </w:tc>
        <w:tc>
          <w:tcPr>
            <w:tcW w:w="740" w:type="dxa"/>
            <w:vAlign w:val="bottom"/>
          </w:tcPr>
          <w:p>
            <w:pPr>
              <w:ind w:left="60"/>
              <w:spacing w:after="0" w:line="142" w:lineRule="exact"/>
              <w:rPr>
                <w:sz w:val="20"/>
                <w:szCs w:val="20"/>
                <w:color w:val="auto"/>
              </w:rPr>
            </w:pPr>
            <w:r>
              <w:rPr>
                <w:rFonts w:ascii="Arial" w:cs="Arial" w:eastAsia="Arial" w:hAnsi="Arial"/>
                <w:sz w:val="13"/>
                <w:szCs w:val="13"/>
                <w:color w:val="0000FF"/>
              </w:rPr>
              <w:t>12/04/2013</w:t>
            </w: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20" w:type="dxa"/>
            <w:vAlign w:val="bottom"/>
            <w:gridSpan w:val="2"/>
          </w:tcPr>
          <w:p>
            <w:pPr>
              <w:jc w:val="right"/>
              <w:ind w:right="28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80"/>
              <w:spacing w:after="0" w:line="142" w:lineRule="exact"/>
              <w:rPr>
                <w:sz w:val="20"/>
                <w:szCs w:val="20"/>
                <w:color w:val="auto"/>
              </w:rPr>
            </w:pPr>
            <w:r>
              <w:rPr>
                <w:rFonts w:ascii="Arial" w:cs="Arial" w:eastAsia="Arial" w:hAnsi="Arial"/>
                <w:sz w:val="13"/>
                <w:szCs w:val="13"/>
                <w:color w:val="0000FF"/>
              </w:rPr>
              <w:t>2,750</w:t>
            </w:r>
          </w:p>
        </w:tc>
        <w:tc>
          <w:tcPr>
            <w:tcW w:w="600" w:type="dxa"/>
            <w:vAlign w:val="bottom"/>
          </w:tcPr>
          <w:p>
            <w:pPr>
              <w:ind w:left="460"/>
              <w:spacing w:after="0" w:line="142"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60"/>
              <w:spacing w:after="0" w:line="133"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29, 2012, the common stock of the issuer split two-for-one (the "Stock Split"), resulting in the reporting person's ownership of 22,071 additional shares of common stock. All future Form 4 and 5 filings made by the reporting person will include adjustments, as necessary, to reflect the Stock Split.</w:t>
      </w:r>
    </w:p>
    <w:p>
      <w:pPr>
        <w:spacing w:after="0" w:line="15"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12.632 post-split shares of common stock acquired by the reporting person under the dividend reinvestment feature of The Toro Company Investment, Savings &amp; ESOP since the date of his last report and 2,139.502 additional shares of common stock as a result of the Stock Split.</w:t>
      </w:r>
    </w:p>
    <w:p>
      <w:pPr>
        <w:spacing w:after="0" w:line="15" w:lineRule="exact"/>
        <w:rPr>
          <w:rFonts w:ascii="Arial" w:cs="Arial" w:eastAsia="Arial" w:hAnsi="Arial"/>
          <w:sz w:val="13"/>
          <w:szCs w:val="13"/>
          <w:color w:val="008000"/>
        </w:rPr>
      </w:pPr>
    </w:p>
    <w:p>
      <w:pPr>
        <w:ind w:left="40" w:right="2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78.768 post-split performance share units acquired by the reporting person under the dividend reinvestment feature of the The Toro Company Deferred Compensation Plan for Officers since the date of his last report and 13,300.795 additional performance share units as a result of the Stock Split.</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was previously reported as covering 2,000 shares of common stock at an exercise price of $24.16 per share, and has been adjusted to reflect the Stock Split.</w:t>
      </w:r>
    </w:p>
    <w:p>
      <w:pPr>
        <w:spacing w:after="0" w:line="6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08/29/2012</w:t>
            </w:r>
          </w:p>
        </w:tc>
        <w:tc>
          <w:tcPr>
            <w:tcW w:w="0" w:type="dxa"/>
            <w:vAlign w:val="bottom"/>
          </w:tcPr>
          <w:p>
            <w:pPr>
              <w:spacing w:after="0"/>
              <w:rPr>
                <w:sz w:val="1"/>
                <w:szCs w:val="1"/>
                <w:color w:val="auto"/>
              </w:rPr>
            </w:pPr>
          </w:p>
        </w:tc>
      </w:tr>
      <w:tr>
        <w:trPr>
          <w:trHeight w:val="86"/>
        </w:trPr>
        <w:tc>
          <w:tcPr>
            <w:tcW w:w="1580" w:type="dxa"/>
            <w:vAlign w:val="bottom"/>
            <w:tcBorders>
              <w:top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Attorney-in-Fact</w:t>
            </w:r>
          </w:p>
        </w:tc>
        <w:tc>
          <w:tcPr>
            <w:tcW w:w="5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58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2019-12-17T01:41:05Z</dcterms:created>
  <dcterms:modified xsi:type="dcterms:W3CDTF">2019-12-17T01:41:05Z</dcterms:modified>
</cp:coreProperties>
</file>