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Chmn., CEO &amp; Pres.</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7"/>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7"/>
            <w:vMerge w:val="continue"/>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80" w:type="dxa"/>
            <w:vAlign w:val="bottom"/>
          </w:tcPr>
          <w:p>
            <w:pPr>
              <w:ind w:left="80"/>
              <w:spacing w:after="0"/>
              <w:rPr>
                <w:sz w:val="20"/>
                <w:szCs w:val="20"/>
                <w:color w:val="auto"/>
              </w:rPr>
            </w:pPr>
            <w:r>
              <w:rPr>
                <w:rFonts w:ascii="Arial" w:cs="Arial" w:eastAsia="Arial" w:hAnsi="Arial"/>
                <w:sz w:val="17"/>
                <w:szCs w:val="17"/>
                <w:color w:val="0000FF"/>
              </w:rPr>
              <w:t>55420-1196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220" w:type="dxa"/>
            <w:vAlign w:val="bottom"/>
            <w:gridSpan w:val="8"/>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2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9"/>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3"/>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12/11/2012</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94,000</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580,689</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60"/>
              <w:spacing w:after="0"/>
              <w:rPr>
                <w:sz w:val="20"/>
                <w:szCs w:val="20"/>
                <w:color w:val="auto"/>
              </w:rPr>
            </w:pPr>
            <w:r>
              <w:rPr>
                <w:rFonts w:ascii="Arial" w:cs="Arial" w:eastAsia="Arial" w:hAnsi="Arial"/>
                <w:sz w:val="17"/>
                <w:szCs w:val="17"/>
                <w:color w:val="0000FF"/>
              </w:rPr>
              <w:t>12/11/2012</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80" w:type="dxa"/>
            <w:vAlign w:val="bottom"/>
          </w:tcPr>
          <w:p>
            <w:pPr>
              <w:jc w:val="right"/>
              <w:ind w:right="53"/>
              <w:spacing w:after="0"/>
              <w:rPr>
                <w:sz w:val="20"/>
                <w:szCs w:val="20"/>
                <w:color w:val="auto"/>
              </w:rPr>
            </w:pPr>
            <w:r>
              <w:rPr>
                <w:rFonts w:ascii="Arial" w:cs="Arial" w:eastAsia="Arial" w:hAnsi="Arial"/>
                <w:sz w:val="17"/>
                <w:szCs w:val="17"/>
                <w:color w:val="0000FF"/>
              </w:rPr>
              <w:t>40,139</w:t>
            </w:r>
          </w:p>
        </w:tc>
        <w:tc>
          <w:tcPr>
            <w:tcW w:w="5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42.06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4"/>
              </w:rPr>
              <w:t>540,550</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9"/>
              </w:rPr>
              <w:t>64,667.969</w:t>
            </w:r>
            <w:r>
              <w:rPr>
                <w:rFonts w:ascii="Arial" w:cs="Arial" w:eastAsia="Arial" w:hAnsi="Arial"/>
                <w:sz w:val="22"/>
                <w:szCs w:val="22"/>
                <w:color w:val="008000"/>
                <w:w w:val="89"/>
                <w:vertAlign w:val="superscript"/>
              </w:rPr>
              <w:t>(3)</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97,351.087</w:t>
            </w:r>
            <w:r>
              <w:rPr>
                <w:rFonts w:ascii="Arial" w:cs="Arial" w:eastAsia="Arial" w:hAnsi="Arial"/>
                <w:sz w:val="22"/>
                <w:szCs w:val="22"/>
                <w:color w:val="008000"/>
                <w:w w:val="89"/>
                <w:vertAlign w:val="superscript"/>
              </w:rPr>
              <w:t>(4)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12/11/2012</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60"/>
              <w:spacing w:after="0"/>
              <w:rPr>
                <w:sz w:val="20"/>
                <w:szCs w:val="20"/>
                <w:color w:val="auto"/>
              </w:rPr>
            </w:pPr>
            <w:r>
              <w:rPr>
                <w:rFonts w:ascii="Arial" w:cs="Arial" w:eastAsia="Arial" w:hAnsi="Arial"/>
                <w:sz w:val="13"/>
                <w:szCs w:val="13"/>
                <w:color w:val="0000FF"/>
              </w:rPr>
              <w:t>A</w:t>
            </w:r>
          </w:p>
        </w:tc>
        <w:tc>
          <w:tcPr>
            <w:tcW w:w="36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96,600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80" w:type="dxa"/>
            <w:vAlign w:val="bottom"/>
          </w:tcPr>
          <w:p>
            <w:pPr>
              <w:ind w:left="80"/>
              <w:spacing w:after="0"/>
              <w:rPr>
                <w:sz w:val="20"/>
                <w:szCs w:val="20"/>
                <w:color w:val="auto"/>
              </w:rPr>
            </w:pPr>
            <w:r>
              <w:rPr>
                <w:rFonts w:ascii="Arial" w:cs="Arial" w:eastAsia="Arial" w:hAnsi="Arial"/>
                <w:sz w:val="13"/>
                <w:szCs w:val="13"/>
                <w:color w:val="0000FF"/>
              </w:rPr>
              <w:t>12/11/2022</w:t>
            </w:r>
          </w:p>
        </w:tc>
        <w:tc>
          <w:tcPr>
            <w:tcW w:w="580" w:type="dxa"/>
            <w:vAlign w:val="bottom"/>
          </w:tcPr>
          <w:p>
            <w:pPr>
              <w:ind w:left="4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ind w:left="100"/>
              <w:spacing w:after="0"/>
              <w:rPr>
                <w:sz w:val="20"/>
                <w:szCs w:val="20"/>
                <w:color w:val="auto"/>
              </w:rPr>
            </w:pPr>
            <w:r>
              <w:rPr>
                <w:rFonts w:ascii="Arial" w:cs="Arial" w:eastAsia="Arial" w:hAnsi="Arial"/>
                <w:sz w:val="17"/>
                <w:szCs w:val="17"/>
                <w:color w:val="0000FF"/>
                <w:w w:val="92"/>
              </w:rPr>
              <w:t>96,600</w:t>
            </w:r>
          </w:p>
        </w:tc>
        <w:tc>
          <w:tcPr>
            <w:tcW w:w="820" w:type="dxa"/>
            <w:vAlign w:val="bottom"/>
            <w:gridSpan w:val="2"/>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96,600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(the "PSP"), as approved by the registrant's Compensation &amp; Human Resources Committee of its Board of Directors on December 11, 2012. Performance Share Awards are paid in shares of common stock under the PSP.</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1,128.412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177.453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267.025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2019-12-17T01:39:26Z</dcterms:created>
  <dcterms:modified xsi:type="dcterms:W3CDTF">2019-12-17T01:39:26Z</dcterms:modified>
</cp:coreProperties>
</file>