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UNITED STATES SECURITIES AND EXCHANGE COMMISSION</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4"/>
          <w:szCs w:val="24"/>
          <w:color w:val="auto"/>
        </w:rPr>
      </w:pPr>
    </w:p>
    <w:p>
      <w:pPr>
        <w:ind w:left="780" w:right="4019" w:hanging="772"/>
        <w:spacing w:after="0" w:line="255" w:lineRule="auto"/>
        <w:tabs>
          <w:tab w:leader="none" w:pos="7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 For Fiscal Year Ended October 31, 2000.</w:t>
      </w:r>
    </w:p>
    <w:p>
      <w:pPr>
        <w:spacing w:after="0" w:line="160" w:lineRule="exact"/>
        <w:rPr>
          <w:sz w:val="24"/>
          <w:szCs w:val="24"/>
          <w:color w:val="auto"/>
        </w:rPr>
      </w:pPr>
    </w:p>
    <w:p>
      <w:pPr>
        <w:ind w:left="780" w:right="3679" w:hanging="772"/>
        <w:spacing w:after="0" w:line="250" w:lineRule="auto"/>
        <w:tabs>
          <w:tab w:leader="none" w:pos="177"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Report Pursuant to Section 13 or 15(d) of the Securities Exchange Act of 1934 For the transition period from</w:t>
      </w:r>
    </w:p>
    <w:p>
      <w:pPr>
        <w:spacing w:after="0" w:line="1" w:lineRule="exact"/>
        <w:rPr>
          <w:sz w:val="24"/>
          <w:szCs w:val="24"/>
          <w:color w:val="auto"/>
        </w:rPr>
      </w:pPr>
    </w:p>
    <w:p>
      <w:pPr>
        <w:jc w:val="center"/>
        <w:ind w:right="4899"/>
        <w:spacing w:after="0"/>
        <w:rPr>
          <w:sz w:val="20"/>
          <w:szCs w:val="20"/>
          <w:color w:val="auto"/>
        </w:rPr>
      </w:pPr>
      <w:r>
        <w:rPr>
          <w:rFonts w:ascii="Courier New" w:cs="Courier New" w:eastAsia="Courier New" w:hAnsi="Courier New"/>
          <w:sz w:val="14"/>
          <w:szCs w:val="14"/>
          <w:color w:val="auto"/>
        </w:rPr>
        <w:t>to</w:t>
      </w:r>
    </w:p>
    <w:p>
      <w:pPr>
        <w:spacing w:after="0" w:line="7" w:lineRule="exact"/>
        <w:rPr>
          <w:sz w:val="24"/>
          <w:szCs w:val="24"/>
          <w:color w:val="auto"/>
        </w:rPr>
      </w:pPr>
    </w:p>
    <w:p>
      <w:pPr>
        <w:ind w:left="780"/>
        <w:spacing w:after="0"/>
        <w:tabs>
          <w:tab w:leader="none" w:pos="28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Commission File Number 1-8649</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30" w:right="1440" w:bottom="1440" w:gutter="0" w:footer="0" w:header="0"/>
        </w:sectPr>
      </w:pPr>
    </w:p>
    <w:p>
      <w:pPr>
        <w:spacing w:after="0" w:line="173" w:lineRule="exact"/>
        <w:rPr>
          <w:sz w:val="24"/>
          <w:szCs w:val="24"/>
          <w:color w:val="auto"/>
        </w:rPr>
      </w:pPr>
    </w:p>
    <w:p>
      <w:pPr>
        <w:jc w:val="center"/>
        <w:ind w:left="4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jc w:val="center"/>
        <w:ind w:left="4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41-0580470</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173" w:lineRule="exact"/>
        <w:rPr>
          <w:sz w:val="24"/>
          <w:szCs w:val="24"/>
          <w:color w:val="auto"/>
        </w:rPr>
      </w:pPr>
    </w:p>
    <w:p>
      <w:pPr>
        <w:sectPr>
          <w:pgSz w:w="11900" w:h="16838" w:orient="portrait"/>
          <w:cols w:equalWidth="0" w:num="2">
            <w:col w:w="2740" w:space="720"/>
            <w:col w:w="6779"/>
          </w:cols>
          <w:pgMar w:left="220" w:top="230" w:right="1440" w:bottom="1440" w:gutter="0" w:footer="0" w:header="0"/>
          <w:type w:val="continuous"/>
        </w:sectPr>
      </w:pPr>
    </w:p>
    <w:p>
      <w:pPr>
        <w:jc w:val="center"/>
        <w:ind w:right="3259"/>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Bloomington, Minnesota 55420-1196</w:t>
      </w: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Telephone number: (952) 888-8801</w:t>
      </w:r>
    </w:p>
    <w:p>
      <w:pPr>
        <w:spacing w:after="0" w:line="173" w:lineRule="exact"/>
        <w:rPr>
          <w:sz w:val="24"/>
          <w:szCs w:val="24"/>
          <w:color w:val="auto"/>
        </w:rPr>
      </w:pPr>
    </w:p>
    <w:p>
      <w:pPr>
        <w:ind w:right="3519" w:firstLine="258"/>
        <w:spacing w:after="0" w:line="255" w:lineRule="auto"/>
        <w:rPr>
          <w:sz w:val="20"/>
          <w:szCs w:val="20"/>
          <w:color w:val="auto"/>
        </w:rPr>
      </w:pPr>
      <w:r>
        <w:rPr>
          <w:rFonts w:ascii="Courier New" w:cs="Courier New" w:eastAsia="Courier New" w:hAnsi="Courier New"/>
          <w:sz w:val="14"/>
          <w:szCs w:val="14"/>
          <w:color w:val="auto"/>
        </w:rPr>
        <w:t>(Address, including zip code, and telephone number, including area code, of registrant's principal executive offices)</w:t>
      </w:r>
    </w:p>
    <w:p>
      <w:pPr>
        <w:spacing w:after="0" w:line="160"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230" w:right="1440" w:bottom="1440" w:gutter="0" w:footer="0" w:header="0"/>
          <w:type w:val="continuous"/>
        </w:sectPr>
      </w:pPr>
    </w:p>
    <w:p>
      <w:pPr>
        <w:spacing w:after="0" w:line="200" w:lineRule="exact"/>
        <w:rPr>
          <w:sz w:val="24"/>
          <w:szCs w:val="24"/>
          <w:color w:val="auto"/>
        </w:rPr>
      </w:pPr>
    </w:p>
    <w:p>
      <w:pPr>
        <w:spacing w:after="0" w:line="304"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TITLE OF EACH CLASS</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sectPr>
          <w:pgSz w:w="11900" w:h="16838" w:orient="portrait"/>
          <w:cols w:equalWidth="0" w:num="2">
            <w:col w:w="3340" w:space="720"/>
            <w:col w:w="6179"/>
          </w:cols>
          <w:pgMar w:left="220" w:top="230" w:right="1440" w:bottom="1440" w:gutter="0" w:footer="0" w:header="0"/>
          <w:type w:val="continuous"/>
        </w:sectPr>
      </w:pPr>
    </w:p>
    <w:p>
      <w:pPr>
        <w:ind w:left="260"/>
        <w:spacing w:after="0" w:line="255" w:lineRule="auto"/>
        <w:rPr>
          <w:sz w:val="20"/>
          <w:szCs w:val="20"/>
          <w:color w:val="auto"/>
        </w:rPr>
      </w:pPr>
      <w:r>
        <w:rPr>
          <w:rFonts w:ascii="Courier New" w:cs="Courier New" w:eastAsia="Courier New" w:hAnsi="Courier New"/>
          <w:sz w:val="14"/>
          <w:szCs w:val="14"/>
          <w:color w:val="auto"/>
        </w:rPr>
        <w:t>Common Stock, par value $1.00 per share Preferred Share Purchase Rights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212" w:lineRule="exact"/>
        <w:rPr>
          <w:sz w:val="24"/>
          <w:szCs w:val="24"/>
          <w:color w:val="auto"/>
        </w:rPr>
      </w:pPr>
    </w:p>
    <w:p>
      <w:pPr>
        <w:sectPr>
          <w:pgSz w:w="11900" w:h="16838" w:orient="portrait"/>
          <w:cols w:equalWidth="0" w:num="2">
            <w:col w:w="3620" w:space="440"/>
            <w:col w:w="6179"/>
          </w:cols>
          <w:pgMar w:left="220" w:top="230" w:right="1440" w:bottom="1440" w:gutter="0" w:footer="0" w:header="0"/>
          <w:type w:val="continuous"/>
        </w:sectPr>
      </w:pPr>
    </w:p>
    <w:p>
      <w:pPr>
        <w:spacing w:after="0" w:line="126"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4"/>
          <w:szCs w:val="24"/>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2" w:lineRule="exact"/>
        <w:rPr>
          <w:sz w:val="24"/>
          <w:szCs w:val="24"/>
          <w:color w:val="auto"/>
        </w:rPr>
      </w:pPr>
    </w:p>
    <w:p>
      <w:pPr>
        <w:ind w:left="520"/>
        <w:spacing w:after="0"/>
        <w:tabs>
          <w:tab w:leader="none" w:pos="940" w:val="left"/>
          <w:tab w:leader="none" w:pos="2060" w:val="left"/>
          <w:tab w:leader="none" w:pos="2480" w:val="left"/>
        </w:tabs>
        <w:rPr>
          <w:sz w:val="20"/>
          <w:szCs w:val="20"/>
          <w:color w:val="auto"/>
        </w:rPr>
      </w:pPr>
      <w:r>
        <w:rPr>
          <w:rFonts w:ascii="Courier New" w:cs="Courier New" w:eastAsia="Courier New" w:hAnsi="Courier New"/>
          <w:sz w:val="14"/>
          <w:szCs w:val="14"/>
          <w:color w:val="auto"/>
        </w:rPr>
        <w:t>Yes</w:t>
        <w:tab/>
        <w:t>[X]</w:t>
      </w:r>
      <w:r>
        <w:rPr>
          <w:sz w:val="20"/>
          <w:szCs w:val="20"/>
          <w:color w:val="auto"/>
        </w:rPr>
        <w:tab/>
      </w: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 ]</w:t>
      </w:r>
    </w:p>
    <w:p>
      <w:pPr>
        <w:spacing w:after="0" w:line="173" w:lineRule="exact"/>
        <w:rPr>
          <w:sz w:val="24"/>
          <w:szCs w:val="24"/>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328" w:lineRule="exact"/>
        <w:rPr>
          <w:sz w:val="24"/>
          <w:szCs w:val="24"/>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aggregate market value of the voting stock held by non-affiliates of the Registrant, based upon the closing price of the Common Stock on January 10, 2001 as reported by the New York Stock Exchange, was approximately $461,584,875.</w:t>
      </w:r>
    </w:p>
    <w:p>
      <w:pPr>
        <w:spacing w:after="0" w:line="163" w:lineRule="exact"/>
        <w:rPr>
          <w:sz w:val="24"/>
          <w:szCs w:val="24"/>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number of shares of Common Stock outstanding as of January 10, 2001 was 12,603,000.</w:t>
      </w:r>
    </w:p>
    <w:p>
      <w:pPr>
        <w:spacing w:after="0" w:line="160"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4"/>
          <w:szCs w:val="24"/>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Portions of the Registrant's Proxy Statement for the Annual Meeting of Stockholders to be held March 13, 2001 are incorporated by reference into Part III.</w:t>
      </w:r>
    </w:p>
    <w:p>
      <w:pPr>
        <w:spacing w:after="0" w:line="32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10-K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OF CONTENTS</w:t>
      </w:r>
    </w:p>
    <w:p>
      <w:pPr>
        <w:spacing w:after="0" w:line="338" w:lineRule="exact"/>
        <w:rPr>
          <w:sz w:val="20"/>
          <w:szCs w:val="20"/>
          <w:color w:val="auto"/>
        </w:rPr>
      </w:pPr>
    </w:p>
    <w:p>
      <w:pPr>
        <w:ind w:left="1560"/>
        <w:spacing w:after="0"/>
        <w:tabs>
          <w:tab w:leader="none" w:pos="8860" w:val="left"/>
        </w:tabs>
        <w:rPr>
          <w:sz w:val="20"/>
          <w:szCs w:val="20"/>
          <w:color w:val="auto"/>
        </w:rPr>
      </w:pPr>
      <w:r>
        <w:rPr>
          <w:rFonts w:ascii="Courier New" w:cs="Courier New" w:eastAsia="Courier New" w:hAnsi="Courier New"/>
          <w:sz w:val="14"/>
          <w:szCs w:val="14"/>
          <w:color w:val="auto"/>
        </w:rPr>
        <w:t>Description</w:t>
      </w:r>
      <w:r>
        <w:rPr>
          <w:sz w:val="20"/>
          <w:szCs w:val="20"/>
          <w:color w:val="auto"/>
        </w:rPr>
        <w:tab/>
      </w:r>
      <w:r>
        <w:rPr>
          <w:rFonts w:ascii="Courier New" w:cs="Courier New" w:eastAsia="Courier New" w:hAnsi="Courier New"/>
          <w:sz w:val="14"/>
          <w:szCs w:val="14"/>
          <w:color w:val="auto"/>
        </w:rPr>
        <w:t>Page Numbers</w:t>
      </w:r>
    </w:p>
    <w:p>
      <w:pPr>
        <w:spacing w:after="0" w:line="7"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tabs>
          <w:tab w:leader="none" w:pos="1540" w:val="left"/>
          <w:tab w:leader="dot" w:pos="964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Business</w:t>
      </w:r>
      <w:r>
        <w:rPr>
          <w:sz w:val="20"/>
          <w:szCs w:val="20"/>
          <w:color w:val="auto"/>
        </w:rPr>
        <w:tab/>
      </w:r>
      <w:r>
        <w:rPr>
          <w:rFonts w:ascii="Courier New" w:cs="Courier New" w:eastAsia="Courier New" w:hAnsi="Courier New"/>
          <w:sz w:val="14"/>
          <w:szCs w:val="14"/>
          <w:color w:val="auto"/>
        </w:rPr>
        <w:t>3-9</w:t>
      </w:r>
    </w:p>
    <w:p>
      <w:pPr>
        <w:spacing w:after="0" w:line="7" w:lineRule="exact"/>
        <w:rPr>
          <w:sz w:val="20"/>
          <w:szCs w:val="20"/>
          <w:color w:val="auto"/>
        </w:rPr>
      </w:pPr>
    </w:p>
    <w:p>
      <w:pPr>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Properties</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Legal Proceedings</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ind w:left="1560"/>
        <w:spacing w:after="0"/>
        <w:tabs>
          <w:tab w:leader="dot" w:pos="9720" w:val="left"/>
        </w:tabs>
        <w:rPr>
          <w:sz w:val="20"/>
          <w:szCs w:val="20"/>
          <w:color w:val="auto"/>
        </w:rPr>
      </w:pPr>
      <w:r>
        <w:rPr>
          <w:rFonts w:ascii="Courier New" w:cs="Courier New" w:eastAsia="Courier New" w:hAnsi="Courier New"/>
          <w:sz w:val="14"/>
          <w:szCs w:val="14"/>
          <w:color w:val="auto"/>
        </w:rPr>
        <w:t>Executive Officers of the Registrant</w:t>
      </w:r>
      <w:r>
        <w:rPr>
          <w:sz w:val="20"/>
          <w:szCs w:val="20"/>
          <w:color w:val="auto"/>
        </w:rPr>
        <w:tab/>
      </w:r>
      <w:r>
        <w:rPr>
          <w:rFonts w:ascii="Courier New" w:cs="Courier New" w:eastAsia="Courier New" w:hAnsi="Courier New"/>
          <w:sz w:val="14"/>
          <w:szCs w:val="14"/>
          <w:color w:val="auto"/>
        </w:rPr>
        <w:t>11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Market for the Registrant's Common Stock and Related Stockholder Matters</w:t>
      </w:r>
      <w:r>
        <w:rPr>
          <w:sz w:val="20"/>
          <w:szCs w:val="20"/>
          <w:color w:val="auto"/>
        </w:rPr>
        <w:tab/>
      </w:r>
      <w:r>
        <w:rPr>
          <w:rFonts w:ascii="Courier New" w:cs="Courier New" w:eastAsia="Courier New" w:hAnsi="Courier New"/>
          <w:sz w:val="14"/>
          <w:szCs w:val="14"/>
          <w:color w:val="auto"/>
        </w:rPr>
        <w:t>12</w:t>
      </w:r>
    </w:p>
    <w:p>
      <w:pPr>
        <w:spacing w:after="0" w:line="7" w:lineRule="exact"/>
        <w:rPr>
          <w:sz w:val="20"/>
          <w:szCs w:val="20"/>
          <w:color w:val="auto"/>
        </w:rPr>
      </w:pPr>
    </w:p>
    <w:p>
      <w:pPr>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Selected Financial Data</w:t>
      </w:r>
      <w:r>
        <w:rPr>
          <w:sz w:val="20"/>
          <w:szCs w:val="20"/>
          <w:color w:val="auto"/>
        </w:rPr>
        <w:tab/>
      </w:r>
      <w:r>
        <w:rPr>
          <w:rFonts w:ascii="Courier New" w:cs="Courier New" w:eastAsia="Courier New" w:hAnsi="Courier New"/>
          <w:sz w:val="14"/>
          <w:szCs w:val="14"/>
          <w:color w:val="auto"/>
        </w:rPr>
        <w:t>12</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 and</w:t>
      </w:r>
    </w:p>
    <w:p>
      <w:pPr>
        <w:spacing w:after="0" w:line="7" w:lineRule="exact"/>
        <w:rPr>
          <w:sz w:val="20"/>
          <w:szCs w:val="20"/>
          <w:color w:val="auto"/>
        </w:rPr>
      </w:pPr>
    </w:p>
    <w:p>
      <w:pPr>
        <w:ind w:left="1740"/>
        <w:spacing w:after="0"/>
        <w:tabs>
          <w:tab w:leader="dot" w:pos="9460" w:val="left"/>
        </w:tabs>
        <w:rPr>
          <w:sz w:val="20"/>
          <w:szCs w:val="20"/>
          <w:color w:val="auto"/>
        </w:rPr>
      </w:pPr>
      <w:r>
        <w:rPr>
          <w:rFonts w:ascii="Courier New" w:cs="Courier New" w:eastAsia="Courier New" w:hAnsi="Courier New"/>
          <w:sz w:val="14"/>
          <w:szCs w:val="14"/>
          <w:color w:val="auto"/>
        </w:rPr>
        <w:t>Results of Operations</w:t>
      </w:r>
      <w:r>
        <w:rPr>
          <w:sz w:val="20"/>
          <w:szCs w:val="20"/>
          <w:color w:val="auto"/>
        </w:rPr>
        <w:tab/>
      </w:r>
      <w:r>
        <w:rPr>
          <w:rFonts w:ascii="Courier New" w:cs="Courier New" w:eastAsia="Courier New" w:hAnsi="Courier New"/>
          <w:sz w:val="14"/>
          <w:szCs w:val="14"/>
          <w:color w:val="auto"/>
        </w:rPr>
        <w:t>13-20</w:t>
      </w:r>
    </w:p>
    <w:p>
      <w:pPr>
        <w:spacing w:after="0" w:line="7" w:lineRule="exact"/>
        <w:rPr>
          <w:sz w:val="20"/>
          <w:szCs w:val="20"/>
          <w:color w:val="auto"/>
        </w:rPr>
      </w:pPr>
    </w:p>
    <w:p>
      <w:pPr>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ITEM 7A.</w:t>
      </w:r>
      <w:r>
        <w:rPr>
          <w:sz w:val="20"/>
          <w:szCs w:val="20"/>
          <w:color w:val="auto"/>
        </w:rPr>
        <w:tab/>
      </w:r>
      <w:r>
        <w:rPr>
          <w:rFonts w:ascii="Courier New" w:cs="Courier New" w:eastAsia="Courier New" w:hAnsi="Courier New"/>
          <w:sz w:val="14"/>
          <w:szCs w:val="14"/>
          <w:color w:val="auto"/>
        </w:rPr>
        <w:t>Quantitative and Qualitative Disclosures about Market Risk</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7" w:lineRule="exact"/>
        <w:rPr>
          <w:sz w:val="20"/>
          <w:szCs w:val="20"/>
          <w:color w:val="auto"/>
        </w:rPr>
      </w:pPr>
    </w:p>
    <w:p>
      <w:pPr>
        <w:ind w:left="1740"/>
        <w:spacing w:after="0"/>
        <w:tabs>
          <w:tab w:leader="dot" w:pos="9720" w:val="left"/>
        </w:tabs>
        <w:rPr>
          <w:sz w:val="20"/>
          <w:szCs w:val="20"/>
          <w:color w:val="auto"/>
        </w:rPr>
      </w:pPr>
      <w:r>
        <w:rPr>
          <w:rFonts w:ascii="Courier New" w:cs="Courier New" w:eastAsia="Courier New" w:hAnsi="Courier New"/>
          <w:sz w:val="14"/>
          <w:szCs w:val="14"/>
          <w:color w:val="auto"/>
        </w:rPr>
        <w:t>Report of Management</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ind w:left="1740"/>
        <w:spacing w:after="0"/>
        <w:tabs>
          <w:tab w:leader="dot" w:pos="9720" w:val="left"/>
        </w:tabs>
        <w:rPr>
          <w:sz w:val="20"/>
          <w:szCs w:val="20"/>
          <w:color w:val="auto"/>
        </w:rPr>
      </w:pPr>
      <w:r>
        <w:rPr>
          <w:rFonts w:ascii="Courier New" w:cs="Courier New" w:eastAsia="Courier New" w:hAnsi="Courier New"/>
          <w:sz w:val="14"/>
          <w:szCs w:val="14"/>
          <w:color w:val="auto"/>
        </w:rPr>
        <w:t>Independent Auditors' Report</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Consolidated Statements of Earnings and Comprehensive Income</w:t>
      </w:r>
    </w:p>
    <w:p>
      <w:pPr>
        <w:spacing w:after="0" w:line="7" w:lineRule="exact"/>
        <w:rPr>
          <w:sz w:val="20"/>
          <w:szCs w:val="20"/>
          <w:color w:val="auto"/>
        </w:rPr>
      </w:pPr>
    </w:p>
    <w:p>
      <w:pPr>
        <w:ind w:left="1900"/>
        <w:spacing w:after="0"/>
        <w:tabs>
          <w:tab w:leader="dot" w:pos="9720" w:val="left"/>
        </w:tabs>
        <w:rPr>
          <w:sz w:val="20"/>
          <w:szCs w:val="20"/>
          <w:color w:val="auto"/>
        </w:rPr>
      </w:pPr>
      <w:r>
        <w:rPr>
          <w:rFonts w:ascii="Courier New" w:cs="Courier New" w:eastAsia="Courier New" w:hAnsi="Courier New"/>
          <w:sz w:val="14"/>
          <w:szCs w:val="14"/>
          <w:color w:val="auto"/>
        </w:rPr>
        <w:t>for the years ended October 31, 2000, 1999, and 1998</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ind w:left="1900"/>
        <w:spacing w:after="0"/>
        <w:tabs>
          <w:tab w:leader="dot" w:pos="9720" w:val="left"/>
        </w:tabs>
        <w:rPr>
          <w:sz w:val="20"/>
          <w:szCs w:val="20"/>
          <w:color w:val="auto"/>
        </w:rPr>
      </w:pPr>
      <w:r>
        <w:rPr>
          <w:rFonts w:ascii="Courier New" w:cs="Courier New" w:eastAsia="Courier New" w:hAnsi="Courier New"/>
          <w:sz w:val="14"/>
          <w:szCs w:val="14"/>
          <w:color w:val="auto"/>
        </w:rPr>
        <w:t>as of October 31, 2000 and 1999</w:t>
      </w:r>
      <w:r>
        <w:rPr>
          <w:sz w:val="20"/>
          <w:szCs w:val="20"/>
          <w:color w:val="auto"/>
        </w:rPr>
        <w:tab/>
      </w:r>
      <w:r>
        <w:rPr>
          <w:rFonts w:ascii="Courier New" w:cs="Courier New" w:eastAsia="Courier New" w:hAnsi="Courier New"/>
          <w:sz w:val="14"/>
          <w:szCs w:val="14"/>
          <w:color w:val="auto"/>
        </w:rPr>
        <w:t>23</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Consolidated Statements of Cash Flows for the</w:t>
      </w:r>
    </w:p>
    <w:p>
      <w:pPr>
        <w:spacing w:after="0" w:line="7" w:lineRule="exact"/>
        <w:rPr>
          <w:sz w:val="20"/>
          <w:szCs w:val="20"/>
          <w:color w:val="auto"/>
        </w:rPr>
      </w:pPr>
    </w:p>
    <w:p>
      <w:pPr>
        <w:ind w:left="1900"/>
        <w:spacing w:after="0"/>
        <w:tabs>
          <w:tab w:leader="dot" w:pos="9720" w:val="left"/>
        </w:tabs>
        <w:rPr>
          <w:sz w:val="20"/>
          <w:szCs w:val="20"/>
          <w:color w:val="auto"/>
        </w:rPr>
      </w:pPr>
      <w:r>
        <w:rPr>
          <w:rFonts w:ascii="Courier New" w:cs="Courier New" w:eastAsia="Courier New" w:hAnsi="Courier New"/>
          <w:sz w:val="14"/>
          <w:szCs w:val="14"/>
          <w:color w:val="auto"/>
        </w:rPr>
        <w:t>years ended October 31, 2000, 1999, and 1998</w:t>
      </w:r>
      <w:r>
        <w:rPr>
          <w:sz w:val="20"/>
          <w:szCs w:val="20"/>
          <w:color w:val="auto"/>
        </w:rPr>
        <w:tab/>
      </w:r>
      <w:r>
        <w:rPr>
          <w:rFonts w:ascii="Courier New" w:cs="Courier New" w:eastAsia="Courier New" w:hAnsi="Courier New"/>
          <w:sz w:val="14"/>
          <w:szCs w:val="14"/>
          <w:color w:val="auto"/>
        </w:rPr>
        <w:t>24</w:t>
      </w:r>
    </w:p>
    <w:p>
      <w:pPr>
        <w:spacing w:after="0" w:line="7" w:lineRule="exact"/>
        <w:rPr>
          <w:sz w:val="20"/>
          <w:szCs w:val="20"/>
          <w:color w:val="auto"/>
        </w:rPr>
      </w:pPr>
    </w:p>
    <w:p>
      <w:pPr>
        <w:ind w:left="1740"/>
        <w:spacing w:after="0"/>
        <w:tabs>
          <w:tab w:leader="dot" w:pos="9460" w:val="left"/>
        </w:tabs>
        <w:rPr>
          <w:sz w:val="20"/>
          <w:szCs w:val="20"/>
          <w:color w:val="auto"/>
        </w:rPr>
      </w:pPr>
      <w:r>
        <w:rPr>
          <w:rFonts w:ascii="Courier New" w:cs="Courier New" w:eastAsia="Courier New" w:hAnsi="Courier New"/>
          <w:sz w:val="14"/>
          <w:szCs w:val="14"/>
          <w:color w:val="auto"/>
        </w:rPr>
        <w:t>Notes to Consolidated Financial Statements</w:t>
      </w:r>
      <w:r>
        <w:rPr>
          <w:sz w:val="20"/>
          <w:szCs w:val="20"/>
          <w:color w:val="auto"/>
        </w:rPr>
        <w:tab/>
      </w:r>
      <w:r>
        <w:rPr>
          <w:rFonts w:ascii="Courier New" w:cs="Courier New" w:eastAsia="Courier New" w:hAnsi="Courier New"/>
          <w:sz w:val="14"/>
          <w:szCs w:val="14"/>
          <w:color w:val="auto"/>
        </w:rPr>
        <w:t>25-36</w:t>
      </w:r>
    </w:p>
    <w:p>
      <w:pPr>
        <w:spacing w:after="0" w:line="7" w:lineRule="exact"/>
        <w:rPr>
          <w:sz w:val="20"/>
          <w:szCs w:val="20"/>
          <w:color w:val="auto"/>
        </w:rPr>
      </w:pPr>
    </w:p>
    <w:p>
      <w:pPr>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ITEM 9.</w:t>
      </w:r>
      <w:r>
        <w:rPr>
          <w:sz w:val="20"/>
          <w:szCs w:val="20"/>
          <w:color w:val="auto"/>
        </w:rPr>
        <w:tab/>
      </w:r>
      <w:r>
        <w:rPr>
          <w:rFonts w:ascii="Courier New" w:cs="Courier New" w:eastAsia="Courier New" w:hAnsi="Courier New"/>
          <w:sz w:val="14"/>
          <w:szCs w:val="14"/>
          <w:color w:val="auto"/>
        </w:rPr>
        <w:t>Disagreements on Accounting and Financial Disclosure</w:t>
      </w:r>
      <w:r>
        <w:rPr>
          <w:sz w:val="20"/>
          <w:szCs w:val="20"/>
          <w:color w:val="auto"/>
        </w:rPr>
        <w:tab/>
      </w:r>
      <w:r>
        <w:rPr>
          <w:rFonts w:ascii="Courier New" w:cs="Courier New" w:eastAsia="Courier New" w:hAnsi="Courier New"/>
          <w:sz w:val="14"/>
          <w:szCs w:val="14"/>
          <w:color w:val="auto"/>
        </w:rPr>
        <w:t>36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ITEM 11.</w:t>
      </w:r>
      <w:r>
        <w:rPr>
          <w:sz w:val="20"/>
          <w:szCs w:val="20"/>
          <w:color w:val="auto"/>
        </w:rPr>
        <w:tab/>
      </w:r>
      <w:r>
        <w:rPr>
          <w:rFonts w:ascii="Courier New" w:cs="Courier New" w:eastAsia="Courier New" w:hAnsi="Courier New"/>
          <w:sz w:val="14"/>
          <w:szCs w:val="14"/>
          <w:color w:val="auto"/>
        </w:rPr>
        <w:t>Executive Compensation</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spacing w:after="0"/>
        <w:tabs>
          <w:tab w:leader="none" w:pos="1540" w:val="left"/>
          <w:tab w:leader="dot" w:pos="9460" w:val="left"/>
        </w:tabs>
        <w:rPr>
          <w:sz w:val="20"/>
          <w:szCs w:val="20"/>
          <w:color w:val="auto"/>
        </w:rPr>
      </w:pPr>
      <w:r>
        <w:rPr>
          <w:rFonts w:ascii="Courier New" w:cs="Courier New" w:eastAsia="Courier New" w:hAnsi="Courier New"/>
          <w:sz w:val="14"/>
          <w:szCs w:val="14"/>
          <w:color w:val="auto"/>
        </w:rPr>
        <w:t>ITEM 14.</w:t>
      </w:r>
      <w:r>
        <w:rPr>
          <w:sz w:val="20"/>
          <w:szCs w:val="20"/>
          <w:color w:val="auto"/>
        </w:rPr>
        <w:tab/>
      </w:r>
      <w:r>
        <w:rPr>
          <w:rFonts w:ascii="Courier New" w:cs="Courier New" w:eastAsia="Courier New" w:hAnsi="Courier New"/>
          <w:sz w:val="14"/>
          <w:szCs w:val="14"/>
          <w:color w:val="auto"/>
        </w:rPr>
        <w:t>Exhibits, Reports on Form 8-K, and Financial Statement Schedules</w:t>
      </w:r>
      <w:r>
        <w:rPr>
          <w:sz w:val="20"/>
          <w:szCs w:val="20"/>
          <w:color w:val="auto"/>
        </w:rPr>
        <w:tab/>
      </w:r>
      <w:r>
        <w:rPr>
          <w:rFonts w:ascii="Courier New" w:cs="Courier New" w:eastAsia="Courier New" w:hAnsi="Courier New"/>
          <w:sz w:val="14"/>
          <w:szCs w:val="14"/>
          <w:color w:val="auto"/>
        </w:rPr>
        <w:t>38-40</w:t>
      </w:r>
    </w:p>
    <w:p>
      <w:pPr>
        <w:spacing w:after="0" w:line="7" w:lineRule="exact"/>
        <w:rPr>
          <w:sz w:val="20"/>
          <w:szCs w:val="20"/>
          <w:color w:val="auto"/>
        </w:rPr>
      </w:pPr>
    </w:p>
    <w:p>
      <w:pPr>
        <w:ind w:left="1560"/>
        <w:spacing w:after="0"/>
        <w:tabs>
          <w:tab w:leader="dot" w:pos="972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4"/>
          <w:szCs w:val="14"/>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PART I</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company designs, manufactures, and markets professional turf maintenance equipment, irrigation systems, landscaping equipment, agricultural irrigation systems, and residential yard products. The company produced its first lawn mower for golf course fairways in 1921 and its first lawn mower for home use in 1939, and has continued to enhance its product lines ever since.</w:t>
      </w:r>
    </w:p>
    <w:p>
      <w:pPr>
        <w:spacing w:after="0" w:line="2" w:lineRule="exact"/>
        <w:rPr>
          <w:sz w:val="20"/>
          <w:szCs w:val="20"/>
          <w:color w:val="auto"/>
        </w:rPr>
      </w:pPr>
    </w:p>
    <w:p>
      <w:pPr>
        <w:ind w:right="3419" w:firstLine="258"/>
        <w:spacing w:after="0" w:line="250" w:lineRule="auto"/>
        <w:rPr>
          <w:sz w:val="20"/>
          <w:szCs w:val="20"/>
          <w:color w:val="auto"/>
        </w:rPr>
      </w:pPr>
      <w:r>
        <w:rPr>
          <w:rFonts w:ascii="Courier New" w:cs="Courier New" w:eastAsia="Courier New" w:hAnsi="Courier New"/>
          <w:sz w:val="14"/>
          <w:szCs w:val="14"/>
          <w:color w:val="auto"/>
        </w:rPr>
        <w:t>The company emphasizes quality and innovation in its customer service, products, manufacturing, and marketing. The company strives to provide well-built, dependable products supported by an extensive service network. The company's commitment to and funding for engineering costs, combined with its acquisition strategy, have contributed to improvement of existing products and new product development efforts. Through these efforts, the company seeks to be responsive to trends which may affect its target markets now and in the future. The company believes that a significant portion of its revenues in recent years have been attributable to its new and enhanced products.</w:t>
      </w:r>
    </w:p>
    <w:p>
      <w:pPr>
        <w:spacing w:after="0" w:line="4"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company was incorporated in Minnesota in 1935 as a successor to a business founded in 1914. It was reincorporated in Delaware in 1983. The company's executive offices are located at 8111 Lyndale Avenue South, Bloomington, Minnesota 55420-1196, telephone number (952) 888-8801. Unless the context indicates otherwise, the terms "company" and "Toro" refer to The Toro Company and its subsidiaries.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 BY SEGMENT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classifies its operations into two reportable segments, professional and residential, and also uses an other segment consisting of corporate functions, Toro Credit Company, a wholly owned finance subsidiary, and Toro-owned distribution companies based in the United States. The company continues to be a leader in transforming advanced technologies into products and services that provide solutions for landscape, turf care maintenance, and outdoor beautification demands. Following is a summary of Toro's business segments:</w:t>
      </w:r>
    </w:p>
    <w:p>
      <w:pPr>
        <w:spacing w:after="0" w:line="33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PROFESSIONAL - Toro markets professional turf products worldwide through a network of distributors and dealers. Products are then sold to professional users engaged in golf course, sports field, municipal property, and residential and commercial landscape maintenance and creation. Professional turf maintenance equipment marketed under the Toro(R) brand name is the company's oldest product line, which began in 1921 with tractor-towed mowers for golf courses. Today, the company's expanded product line includes products designed for large turf areas such as golf courses, schools, parks, cemeteries, sports fields, industrial sites, apartment buildings, and townhouse complexes.</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Golf Course Products. Products for the golf course market include large reel and rotary riding products for fairway, rough and trim cutting, riding and walking mowers for putting greens and specialty areas, turf sprayer equipment, utility vehicles, turf aeration, and sandtrap maintenance equipment. The Reelmaster</w:t>
      </w:r>
    </w:p>
    <w:p>
      <w:pPr>
        <w:spacing w:after="0" w:line="2"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5500-D, a lightweight fairway mower with improved power and cutting capacity, was introduced in fiscal 2000. The company also manufactures underground irrigation systems including sprinkler heads and controllers that activate electric, battery-operated, or hydraulic valves. Toro professional irrigation systems are designed to use computerized management systems and a variety of technologies to help customers micro-manage irrigation and other course maintenance operations.</w:t>
      </w:r>
    </w:p>
    <w:p>
      <w:pPr>
        <w:spacing w:after="0" w:line="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Management believes that golf courses will continue to be a significant market for turf maintenance equipment and irrigation systems. The rate of new golf course construction has slowed slightly but is still strong. Toro believes the market for equipment replacement and renovation of existing courses will continue to provide the largest golf-related market potential.</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Landscape Contractor Products. Products for the landscape contractor market include mid-size walk behind power mowers, zero-turning radius riding mowers, and compact utility loaders. These products are sold through distributors and dealers to individuals and companies who maintain and create residential and commercial landscapes on behalf of property owners. The company markets products for landscape contractors under the Toro(R) and Exmark(R) brands. In fiscal 1998, the company acquired Exmark Manufacturing Company Incorporated (Exmark), a leading manufacturer of mid-sized walk behind power mowers and zero-turning radius riding mowers for the landscape contractor market.</w:t>
      </w:r>
    </w:p>
    <w:p>
      <w:pPr>
        <w:spacing w:after="0" w:line="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Dingo(R) compact utility loader is a cornerstone product for the Toro(R) Sitework Systems business formed around products designed to improve efficiency in the creation of landscapes. The company began manufacturing and selling the Sitework Systems line of equipment in fiscal 1998 for the U.S. market, and expanded into the international market in fiscal 1999. In fiscal 2000, Toro expanded the Sitework Systems line with the Dingo TX, a walk-behind track-driven model.</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Grounds Maintenance and Other Professional Products. Grounds maintenance products for professional markets include riding rotary units with out-front cutting decks ranging from 52 inches to 16 feet, aerators, and attachments. These products are sold through distributors who then sell to owners and/or superintendents of sports fields, municipal properties, cemeteries, and facilities such as airports and corporate headquarters. Other products include multipurpose vehicles, including the Workman(R) for turf and industrial hauling applications. In fiscal 2000, the new Workman 2100 was introduced, and the Workman 1100 will be introduced in fiscal 2001.</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Residential/Commercial Irrigation Products. Turf irrigation products marketed under the Toro(R) and Irritrol(R) brand names include sprinkler heads, brass and plastic valves, and electric and hydraulic control devices designed to be used in residential and commercial turf irrigation systems. These products are professionally installed in new systems and can also be used to replace or retrofit existing systems. Most of the product line is designed for underground irrigation systems. Electric and hydraulic controllers activate valves and sprinkler heads in a typical irrigation system.</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Agricultural Irrigation Products. Products for the agricultural irrigation market include irrigation emission devices that regulate flow of drip irrigation, Blue-Stripe(R) polyethylene tubing, and Aqua-TraXX(R) irrigation tape for use in low water volume agricultural applications. The acquisition of GR Driplines, Incorporated (Drip In) in fiscal 1998 enhanced Toro's product line for the agricultural market by adding Drip In(R) drip line, an inline emission product. These products are sold through dealers who then sell to growers for use primarily in vegetable fields, fruit and nut orchards, and vineyards.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RESIDENTIAL - Toro markets its residential products to homeowners through a variety of distribution channels, including dealers, hardware retailers, home centers, and mass retailers. These products are sold mainly in North America, Europe, Asia, and Australia, with the exception of snow removal products, which are primarily sold in North America and Europe. Beginning in fiscal 2000, the company began direct selling of selected residential products over the Internet.</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Walk Power Mowers. The company has manufactured walk power mowers for residential use since 1939. Its walk power lawn mowers are gasoline, battery, and electric powered. The company manufactures numerous models under its brand names Toro(R) and Lawn-Boy(R), including both four-cycle and two-cycle gas engine models, and corded and battery electric models. Models differ as to cutting width, type of starter mechanism, mulching and bagging attachments, controls, and power sources, and are either self-propelled or push mowers. Some Toro brand lawn mowers are backed by the company's "Guaranteed To Start" program and some Lawn-Boy models are equipped with a two-cycle engine manufactured by the company. In fiscal 1999, the company successfully introduced its new Toro(R) Personal Pace(R) lawn mower in the U.S. and Canadian markets. In fiscal 2000, the Toro Personal Pace lawn mower was expanded into the European, Asian, and Australian markets. In fiscal 2001, the company will introduce the Lawn-Boy(R) Easy Stride(R) Self Propel System to dealers on certain GoldPro Series(R) models.</w:t>
      </w:r>
    </w:p>
    <w:p>
      <w:pPr>
        <w:spacing w:after="0" w:line="32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Riding Mowers and Lawn and Garden Tractors. The company manufactures riding lawn mowers and lawn and garden tractors under its brand name Toro(R) Wheel Horse(R). These mowers and tractors range from an eight horsepower rear engine rider model with a 25-inch deck to a 23 horsepower diesel engine garden tractor model with a 60-inch side-discharge deck. Many models are available with a variety of decks and accessories. Recycler(R) cutting decks are available on select models. Some models are equipped with hydrostatic transmissions. Toro also manufacturers riding mower products for a third party under a private label. In fiscal 2001, Toro will introduce the new TimeCutter(TM) zero turning radius riding lawn mower.</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Home Solutions Products. The company designs and markets electrical products under the Toro(R) brand name. These products include electric and battery flexible line grass and hedge trimmers, electric blowers, and electric blower vacuums, and are intended to require little or no after-sales service. Toro also sells do-it-yourself irrigation products under the Toro(R) and Lawn Genie(R) brand names to hardware retailers, home centers, and mass retailers.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Snow Removal Products. The company manufactures and markets a range of electric and gas single-stage and gas two-stage snowthrower models under the Toro(R) brand name. Single-stage snowthrowers, developed by the company and first introduced in 1965, are walk-behind units with lightweight gasoline engines or electric motors, and most include Power Curve(R) snowthrower technology for general residential use. Two-stage snowthrowers are designed for relatively large areas with engines ranging from five to 12 horsepower. Units with eight horsepower and above can be equipped with the Power Shift(R) snowthrower technology. In early fiscal 2001, Toro introduced the Toro Snow Commander(TM), a hybrid model of single and two-stage snowthrower technology that is self-propelling, providing the ease of operation of a single-stage with the power of a two-stage.</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OTHER - The other segment consists of company-owned distributor operations based in the United States and corporate activities, including corporate financing activities and elimination of intersegment revenues and expenses. Corporate activities include general corporate expenditures (finance, human resources, legal, information services, public relations, and similar activities) and other unallocated corporate assets and liabilities, including corporate facilities, financing receivables, parts inventory, and deferred tax assets. Toro's purpose in owning domestic distributors is to develop a best-practices model of distribution that could be replicated by its independent distributors.</w:t>
      </w:r>
    </w:p>
    <w:p>
      <w:pPr>
        <w:spacing w:after="0" w:line="16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For additional segment detail information, see Note 11 in the Notes to Consolidated Financial Statements included in Item 8 of Part II of this report.</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088"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OPERATIONS</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currently distributes its products worldwide with sales and/or distribution offices in the United States, Canada, Belgium, the United Kingdom, Australia, Singapore, Japan, Shanghai, and Italy. New product development is pursued primarily in the United States.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 AND PRODUCTION</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some areas of its business the company is primarily an assembler, while in some cases the company serves as a fully integrated manufacturer. The company's professional products are manufactured through-out the year. The company's residential spring and summer products are generally manufactured in the winter and spring months and its residential fall and winter products are generally manufactured in the summer and fall months. A majority of the company's manufacturing facilities are located in the United States, with the exception of some production facilities that are located in Australia, Mexico, and Italy. In fiscal 2000, the company closed its Murray Bridge, Australia manufacturing facility. Certain Australian manufacturing was moved to another facility and some production was outsourced to third parties. In the first quarter of fiscal 2000, the company opened a new manufacturing facility in Juarez, Mexico near its El Paso, Texas facility.</w:t>
      </w:r>
    </w:p>
    <w:p>
      <w:pPr>
        <w:spacing w:after="0" w:line="6"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Sales to distributors and dealers closely correspond with Toro's production levels and inventory management goals, which are based on its estimates of demand for its products, taking into account the timing of shipments, distributor and dealer inventory levels, the need to shut down production to enable manufacturing facilities to be prepared for production of new or different models, the efficient use of manpower and facilities, and estimates of risks such as labor disruptions and other circumstances not within Toro's control.</w:t>
      </w:r>
    </w:p>
    <w:p>
      <w:pPr>
        <w:spacing w:after="0" w:line="16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During fiscal 2000, the company continued to experience manufacturing capacity constraints at some facilities due to increased demand during the year and preparation for anticipated continued growth of demand in fiscal 2001. Due to continued capacity constraints for certain product lines, the company began fiscal 2001 production earlier than in prior years. The company is also planning on adding manufacturing facilities through acquisitions and expanding selected existing manufacturing facilities in fiscal 2001. In order to maximize manufacturing capacity, production of some products is expected to shift to other plants that are not currently operating at full capacity.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SOURCES AND AVAILABILITY OF RAW MATERIALS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Most of the components for the company's products are commercially available from a number of sources. Therefore, the company is generally not dependent on any one supplier, except for engines from Japanese suppliers used in the company's professional segment products. In fiscal 2000, Toro experienced no significant or unusual problems in the purchase of raw materials or commodities. The highest value component costs are generally engines, transmissions, electric motors, and resin purchased from several suppliers from around the world. In addition, the company manufactures two-cycle engines for some of its residential products.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AND WARRANTY</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Toro products are warranted to the end-user to ensure end-user confidence in design, workmanship, and material quality. Warranty lengths vary depending on whether use is "residential" or "professional" within individual product lines. Some products have an over-the-counter exchange option and some have a 30-day satisfaction guarantee. In general, warranties tend to be for six months to ten years, and cover all parts and labor for non-maintenance repairs and wear items, provided operator abuse, improper use, or negligence did not necessitate the repair. An authorized Toro distributor or dealer must perform warranty work. Distributors and dealers submit claims for warranty reimbursement to Toro and are credited for the cost of repairs and labor as long as the repairs meet Toro's prescribed standards. Warranty expense is accrued at the time of sale based upon historical claims experience by individual product lines. Special warranty reserves are also accrued for specific known major product modifications. Service support outside of the warranty period is provided by independent Toro distributors and dealers at the customer's expense.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 AND PATENTS</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Products manufactured by the company are nationally advertised and sold at the retail level under the trademarks Toro(R), Toro(R) Wheel Horse(R), Lawn-Boy(R), Irritrol(R) Systems, Exmark(R), Drip In(R), and Lawn Genie(R), all of which are registered in the United States and many of which are registered in the principal foreign countries in which the company markets its products. The company also manufactures and sells Dingo(R) landscape products under the Toro(R) Sitework Systems brand name.</w:t>
      </w:r>
    </w:p>
    <w:p>
      <w:pPr>
        <w:spacing w:after="0" w:line="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company holds patents in the United States and foreign countries and applies for patents as applicable. Although management believes patents have value to the company, patent protection does not deter competitors from attempting to develop similar products. Although patent protection is considered to be very beneficial, the company is not materially dependent on any one or more of its patents.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338"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To prevent possible infringement of its patents by others, the company periodically reviews competitors' products. Furthermore, to avoid potential liability with respect to others' patents, the company regularly reviews patents issued by the U.S. Patent Office and foreign patent offices as needed. This patent program, consisting of both types of activities, helps the company minimize risk. The company is currently involved in patent litigation cases both where it is the plaintiff and where it is the defendant. While the ultimate results of these cases are unknown at this time, management believes that the outcome of these cases is unlikely to have a materially adverse effect on the consolidated financial results of the company.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SEASONALITY</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Sales of the company's residential products, which accounted for approximately 32 percent of total consolidated net sales in fiscal 2000, are seasonal, with greater sales of lawn and garden products occurring primarily between February and May, and of snow removal equipment occurring primarily between July and January. Opposite seasons in some global markets somewhat moderate this seasonality of residential product sales. Seasonality of professional product sales also exists, but is tempered because the selling season in West Coast and Southern states continues for a longer portion of the year than in northern states. Overall, worldwide sales levels are highest in the second quarter. Historically, accounts receivable balances increase between January and April as a result of higher sales volumes and extended payment terms made available to the company's customers. Accounts receivable balances decrease between May and December when payments become due. The seasonal requirements of the business are financed from operations and with short-term bank lines of credit. Peak borrowing usually occurs between February and May.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AND MARKETING</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markets the majority of its Toro branded products through 35 domestic and 96 foreign distributors, as well as a number of hardware retailers, home centers, and mass retailers in more than 65 countries worldwide. Toro(R) and certain Lawn-Boy(R) residential products, such as walk power mowers, riding products, and snowthrowers, are sold to distributors for resale to retail dealers throughout the United States. The Toro brand of walk power mowers are also sold in some home centers. In fiscal 2000, the Toro brand of gas snowthrowers was introduced into the home center channel nationwide. Toro(R) Wheel Horse(R) riding products are also sold directly to dealers. Home solutions products and most Lawn-Boy products are sold directly to hardware retailers, home centers, and mass retailers. In fiscal 2000, Toro also began selling selected residential products over the Internet. Internationally, residential products are sold primarily to distributors for resale to retail dealers and mass merchandisers outside the United States, principally in Canada, Australia, and European countries. However, in Australia do-it-yourself irrigation products are sold directly to retail outlets. Worldwide, professional products are sold to distributors for resale to dealers, sports complexes, industrial facilities, contractors, municipalities, rental stores, and golf courses. Beginning in fiscal 2001, the Sitework Systems product line will be sold directly to domestic dealers. Selected professional irrigation products are also sold directly to professional irrigation dealers. In addition, the Toro-owned distribution companies sell professional and residential products directly to retail dealers and customers in Australia and parts of the United States and Europe.</w:t>
      </w:r>
    </w:p>
    <w:p>
      <w:pPr>
        <w:spacing w:after="0" w:line="10" w:lineRule="exact"/>
        <w:rPr>
          <w:sz w:val="20"/>
          <w:szCs w:val="20"/>
          <w:color w:val="auto"/>
        </w:rPr>
      </w:pPr>
    </w:p>
    <w:p>
      <w:pPr>
        <w:ind w:right="3419" w:firstLine="258"/>
        <w:spacing w:after="0" w:line="250" w:lineRule="auto"/>
        <w:rPr>
          <w:sz w:val="20"/>
          <w:szCs w:val="20"/>
          <w:color w:val="auto"/>
        </w:rPr>
      </w:pPr>
      <w:r>
        <w:rPr>
          <w:rFonts w:ascii="Courier New" w:cs="Courier New" w:eastAsia="Courier New" w:hAnsi="Courier New"/>
          <w:sz w:val="14"/>
          <w:szCs w:val="14"/>
          <w:color w:val="auto"/>
        </w:rPr>
        <w:t>The company's current marketing strategy is to maintain distinct brands and brand identification for Toro(R), Toro(R) Wheel Horse(R), Lawn-Boy(R), Exmark(R), Toro(R) Sitework Systems, Drip In(R), Lawn Genie(R), and Irritrol(R) Systems products.</w:t>
      </w:r>
    </w:p>
    <w:p>
      <w:pPr>
        <w:spacing w:after="0" w:line="2" w:lineRule="exact"/>
        <w:rPr>
          <w:sz w:val="20"/>
          <w:szCs w:val="20"/>
          <w:color w:val="auto"/>
        </w:rPr>
      </w:pPr>
    </w:p>
    <w:p>
      <w:pPr>
        <w:ind w:right="3419" w:firstLine="258"/>
        <w:spacing w:after="0" w:line="250" w:lineRule="auto"/>
        <w:rPr>
          <w:sz w:val="20"/>
          <w:szCs w:val="20"/>
          <w:color w:val="auto"/>
        </w:rPr>
      </w:pPr>
      <w:r>
        <w:rPr>
          <w:rFonts w:ascii="Courier New" w:cs="Courier New" w:eastAsia="Courier New" w:hAnsi="Courier New"/>
          <w:sz w:val="14"/>
          <w:szCs w:val="14"/>
          <w:color w:val="auto"/>
        </w:rPr>
        <w:t>The company's distribution systems for the sale of its products are intended to assure quality of sales and market presence as well as effective after-market service. The company considers its distribution network to be a competitive asset in marketing Toro(R), Toro(R) Wheel Horse(R), Lawn-Boy(R), Irritrol(R) Systems, and Exmark(R) products.</w:t>
      </w:r>
    </w:p>
    <w:p>
      <w:pPr>
        <w:spacing w:after="0" w:line="2"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The company advertises its residential products during appropriate seasons throughout the year on television, radio, in print and via the Internet. Professional products are advertised in print, and via direct mail programs and the Internet. Most of the company's advertising emphasizes its brand names. Advertising is paid for by the company as well as through cooperative programs with distributors, dealers, hardware retailers, home centers, and mass retailers.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Overall, the company does not believe it is dependent on a single customer. The residential segment, however, is dependent on one significant home center customer. While the loss of any substantial customer could have a material short-term impact on the company's business, Toro believes that its diverse distribution channels and customer base should reduce the long-term impact on any such loss.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BACKLOG OF ORDERS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approximate backlog of orders believed to be firm at October 31, 2000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was $116,249,000 and $141,290,000, respectively. The decrease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$25,041,000 was partially due to a reduction of orders related to currency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devaluation. However, the company anticipates stock orders from these customers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be placed when the amount of currency support to be provided by Toro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resolved. Domestic residential segment open orders were also lower compared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last year due to a lower level of orders for snowthrower products related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higher distributor and dealer field inventories at October 31, 2000.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expects that the existing backlog of orders can be filled in fiscal 2001.</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757"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company's products are sold in highly competitive markets throughout the world. The principal competitive factors in the company's markets are product innovation, quality, service, and pricing. Pricing has become an increasingly important factor in a majority of the company's products. Management believes the company offers total solutions and full service packages with high quality products that have the latest technology and design innovations. Also, by selling Toro(R), Toro(R) Wheel Horse(R), Lawn-Boy(R), Exmark(R), and Irritrol(R) Systems branded products through a network of distributors, dealers, hardware retailers, home centers, and mass retailers, the company offers comprehensive service support during and after the warranty period. The company competes in all product lines with numerous manufacturers, many of whom have substantially greater financial resources than the company. However, no other company has a significant range of product lines that include turf equipment and irrigation systems, which management believes is a competitive advantage for Toro. Management believes that its commitment to customer service, product innovation, and its distribution systems position it well to compete in these various markets.</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PROFESSIONAL - The company's professional products compete with products from numerous manufacturers, but the principal competitors across most of the company's professional product lines are Deere &amp; Company; Textron, Inc. (including Jacobsen and Ransomes brands); Hunter Industries; Rain Bird Sprinkler Manufacturing Corporation; Husqvarna; Scag Power Equipment; Lesco Inc.; Kubota Corporation; Netafim; and T-Systems.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RESIDENTIAL - The company's principal competitors for residential products are Deere &amp; Company; Honda Motor Co., Ltd.; MTD Products, Inc.; Murray Ohio Manufacturing Co., Inc. (recently acquired by Summersong Investment); AB Electrolux (includes American Yard Products and Poulan/Weed Eater brands); Snapper Power Equipment (a division of Metromedia International Group, Inc.); Ariens Company; Garden Way, Incorporated; Simplicity Manufacturing Company; and The Black and Decker Corporation.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INTERNATIONAL - The international market is generally fragmented so that the degree of competition varies among the different countries in which the company markets its residential and professional products. Most competitors in the professional segment are based in the United States. Residential products can face more competition where foreign competitors manufacture and market competing products in their respective countries. In addition, fluctuations in the value of the U.S. dollar may affect the price of the company's products in such markets, thereby affecting their competitiveness. The company provides currency support, as needed, to remain competitive in international markets experiencing significant currency rate declines against the U.S. dollar.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GOVERNMENTAL REGULATION</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company's residential products are subject to various federal statutes designed to protect consumers and are subject to the administrative jurisdiction of the Consumer Product Safety Commission. The company is also subject to certain federal and state environmental, occupational safety, transportation, and other regulations, none of which has had a materially adverse effect on its operations or business. Management believes the company is in substantial compliance with all such regulations. The Environmental Protection Agency (EPA) released Phase I regulations for all gas engines under</w:t>
      </w:r>
    </w:p>
    <w:p>
      <w:pPr>
        <w:spacing w:after="0" w:line="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25 horsepower in June of 1995. Toro's four-cycle engine suppliers are currently in compliance with these regulations. The company received certification in the first quarter of fiscal 1998 on its own two-cycle walk power mower and snowthrower engines. Both now comply with Phase I regulations. This certification will allow the company to continue producing its two-cycle walk power mower engines at its Oxford, Mississippi plant through the calendar year 2002. However, the current two-cycle walk power mower engines do not meet Phase II regulation levels, which go into effect January 1, 2003.</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INFORMATION ABOUT FOREIGN AND DOMESTIC OPERATIONS</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With the exception of production facilities in Australia, Mexico, and Italy, all of the company's production facilities are located in the United States. Substantially all financial transactions are in U.S. dollars, although sales from the company's foreign subsidiaries, which are less than 10 percent of total consolidated company sales, are conducted in local currencies.</w:t>
      </w:r>
    </w:p>
    <w:p>
      <w:pPr>
        <w:spacing w:after="0" w:line="2"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A portion of the company's cash flow is derived from sales and purchases denominated in foreign currencies. To reduce the uncertainty of foreign currency exchange rate movements on these sales and purchase commitments, the company enters into foreign currency exchange contracts for select transactions.</w:t>
      </w:r>
    </w:p>
    <w:p>
      <w:pPr>
        <w:spacing w:after="0" w:line="2"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Reference for information on international net sales and property, plant, and equipment is made in Note 11 of Notes to the Consolidated Financial Statements, entitled "Segment Data" and included in Item 8 of Part II of this report.</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WHOLESALE FINANCING</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Toro Credit Company, a wholly owned finance subsidiary of the company, provides financing for certain products manufactured by Toro for North American distributors and approximately 250 domestic dealers. Toro Credit Company purchases selected receivables from Toro and its distributors for extended periods, which enables the distributors and dealers to carry representative inventories of equipment. Down payments are not required, and depending on the finance program for each product line, either Toro incurs finance charges, finance charges may be shared between Toro and the distributor or dealer, or finance charges are paid by the distributor or dealer. A security interest is retained in the distributors' and dealers' inventories, and periodic physical checks are made of those inventories. Generally, terms to the distributors and dealers require payments as the equipment, which secures the indebtedness, is sold to customers or when company supported finance terms end. Rates are generally fixed or based on prime rate plus a fixed percentage that differs based on whether the financing is for a distributor or dealer. Rates may also vary based upon the product that is financed.</w:t>
      </w:r>
    </w:p>
    <w:p>
      <w:pPr>
        <w:spacing w:after="0" w:line="7"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Independent Toro dealers that do not finance through Toro Credit Company finance their inventories with third party financing sources. The finance charges represent interest for a preestablished length of time at a predefined rate from a contract with this third party financing source. Exmark product is financed with a third party financing source.</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Dealer and distributor defaults in recent years have not been significant.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During fiscal 2000, the company employed an average of 4,976 employees. The total number of employees at October 31, 2000 was 4,751. Four collective bargaining agreements cover approximately 21 percent of these employees, each one expiring in the following months: October 2002, May 2003, October 2003, and September 2004.</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Management considers its overall relations with its employees to be good.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STATEMENTS</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SAFE HARBOR STATEMENT. This Annual Report on Form 10-K contains not only historical information, but also forward-looking statements regarding expectations for future company performance. Statements that are not historical are forward-looking and are made pursuant to the Private Securities Litigation Reform Act of 1995. In addition, forward-looking statements may be made orally or in press releases, conferences, reports, or otherwise, in the future by or on behalf of the company. When used by or on behalf of the company, the words "expect", "anticipate", "estimate", "believe", "intend", and similar expressions generally identify forward-looking statements.</w:t>
      </w:r>
    </w:p>
    <w:p>
      <w:pPr>
        <w:spacing w:after="0" w:line="4"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Forward-looking statements involve risks and uncertainties. These uncertainties include factors that affect all businesses operating in a global market, as well as matters specific to the company and the markets it serves. Particular risks and uncertainties facing the company's overall financial position at the present include the threat of a global slow down in the economy; inability to achieve earnings growth in fiscal 2001 of 12 to 15 percent above fiscal 2000; inability to achieve revenue growth in fiscal 2001 of 8 to 10 percent above fiscal 2000; inability to achieve gross margin in fiscal 2001 of</w:t>
      </w:r>
    </w:p>
    <w:p>
      <w:pPr>
        <w:spacing w:after="0" w:line="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37 to 38 percent; inability to keep growth of operating expenses in fiscal 2001 at 7 to 10 percent, in dollars, above fiscal 2000; inability to maintain tax rate of 37 percent in fiscal 2001; higher average short-term debt costs due to the company's reliance on short-term debt, especially at a time when anticipated working capital needs are higher; uncertainty of interest rate levels; inability to achieve goals of the announced "5 by Five" profit improvement program; uncertain prices for energy costs; the company's ability to develop and manufacture new and existing products based on anticipated investments in manufacturing capacity and engineering; market acceptance of existing and new products relative to expectations and based on current commitments to fund advertising and promotions; the company's ability to acquire, develop, and integrate new businesses and manage alliances successfully; the degree of success in implementing a distribution initiative designed to develop a distribution model; increased competition in the company's businesses from competitors that have greater financial resources, including competitive pricing pressures; impact of the Internet and e-commerce on the company's business; changes in distributor ownership; unforeseen difficulties in the implementation of strategies to use outside providers for warehousing and transportation services; changes in distributors', dealers', home centers', or mass retailers' purchasing practices, especially elimination of shelf space; the company's ability to cost-effectively expand existing manufacturing facilities; the company's ability to manage</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338" w:lineRule="exact"/>
        <w:rPr>
          <w:sz w:val="20"/>
          <w:szCs w:val="20"/>
          <w:color w:val="auto"/>
        </w:rPr>
      </w:pPr>
    </w:p>
    <w:p>
      <w:pPr>
        <w:jc w:val="both"/>
        <w:ind w:right="3519"/>
        <w:spacing w:after="0" w:line="250" w:lineRule="auto"/>
        <w:rPr>
          <w:sz w:val="20"/>
          <w:szCs w:val="20"/>
          <w:color w:val="auto"/>
        </w:rPr>
      </w:pPr>
      <w:r>
        <w:rPr>
          <w:rFonts w:ascii="Courier New" w:cs="Courier New" w:eastAsia="Courier New" w:hAnsi="Courier New"/>
          <w:sz w:val="14"/>
          <w:szCs w:val="14"/>
          <w:color w:val="auto"/>
        </w:rPr>
        <w:t>costs and capacity constraints at its manufacturing facilities; the ability to retain and hire quality employees; threatened or pending litigation on matters relating to patent infringement and commercial disputes; and the impact of new accounting standards.</w:t>
      </w:r>
    </w:p>
    <w:p>
      <w:pPr>
        <w:spacing w:after="0" w:line="2"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Particular risks and uncertainties facing the company's professional segment at the present include inflationary pressures and higher interest rates that could slow the economic growth that has been important to the growth of the company's professional businesses, including golf, agricultural irrigation, and landscape contractor markets; product quality problems in the development and production of irrigation products; delays in key new irrigation product introductions; the degree of success related to reorganization and management changes in the irrigation and agricultural irrigation areas; increasing oil prices that raise the cost of resin used in irrigation and agricultural irrigation products; a slow down in new golf course construction or existing golf course renovations; a decline in the growth rate in the number of new golfers, which slows new golf course construction; and the impact of direct-to-dealer distribution changes related to the Sitework Systems product line.</w:t>
      </w:r>
    </w:p>
    <w:p>
      <w:pPr>
        <w:spacing w:after="0" w:line="163"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Particular risks and uncertainties facing the company's residential segment at the present include changing buying patterns, including but not limited to a trend away from purchases at dealer outlets to price and value sensitive purchases at hardware retailers, home centers, and mass retailers; loss of, or a significant reduction in, sales through a significant distribution channel, particularly as the company's residential segment becomes more dependent on home center sales; and the company's expansion into selected home center markets and the potential decline of sales on other product lines and distribution channels.</w:t>
      </w:r>
    </w:p>
    <w:p>
      <w:pPr>
        <w:spacing w:after="0" w:line="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Particular risks and uncertainties facing the company's international business at the present include socio-economic conditions in certain international markets; tax law changes in Mexico; the continuing relative strength of the dollar against the euro and Australian dollar, which increases the cost of the company's products in certain foreign markets; the cost of currency support provided to international customers to compensate for weak currencies compared to the U.S. dollar; and competitive implications and price transparencies related to the euro conversion.</w:t>
      </w:r>
    </w:p>
    <w:p>
      <w:pPr>
        <w:spacing w:after="0" w:line="164"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In addition, the company is subject to risks and uncertainties facing its industry in general, including changes in business, financial, and political conditions and the economy in general in both foreign and domestic markets; a reported decline in consumer confidence; weather conditions affecting demand, including warm winters and wet spring and dry summer weather; unanticipated problems or costs associated with the transition of European currencies to the common euro currency; a slowing in housing starts or new golf course starts; inability to raise prices of products due to market conditions; changes in market demographics; actions of competitors; seasonal factors in the company's industry; unforeseen litigation; government action, including budget levels, regulation, and legislation, primarily legislation relating to the environment, commerce, infrastructure spending, health, and safety; availability of raw materials; and the company's ability to maintain good relations with its employees.</w:t>
      </w:r>
    </w:p>
    <w:p>
      <w:pPr>
        <w:spacing w:after="0" w:line="16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company wishes to caution readers not to place undue reliance on any forward-looking statement and to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foregoing statements are not exclusive and further information concerning the company and its businesses, including factors that potentially could materially affect the company's financial results, may emerge from time to time or may have been involved in developing forward-looking statements. Toro assumes no obligation to update forward-looking statements to reflect actual results or changes in factors or assumptions affecting such forward-looking statements.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PROPERTIES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The company utilizes manufacturing and office facilities, which total approximately 4,187,000 square feet of space. Toro also utilizes 20.34 acres in California as a testing facility. Plant utilization varies during the year depending upon the production cycle. In fiscal 2000, the company closed its production facility in Murray Bridge, Australia. The company considers each of its current facilities in use to be in good operating condition and adequate for its present use. Management believes the company has sufficient manufacturing capacity for fiscal 2001 based on certain steps the company enacted, including beginning fiscal 2001 production earlier than in prior years and opening a new manufacturing facility in Mexico during fiscal 2000. See Item 1, Manufacturing and Production section for further details. The following schedule outlines the company's significant facilities by location, ownership, and function as of October 31, 2000:</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840" w:val="left"/>
          <w:tab w:leader="none" w:pos="4200" w:val="left"/>
        </w:tabs>
        <w:rPr>
          <w:sz w:val="20"/>
          <w:szCs w:val="20"/>
          <w:color w:val="auto"/>
        </w:rPr>
      </w:pPr>
      <w:r>
        <w:rPr>
          <w:rFonts w:ascii="Courier New" w:cs="Courier New" w:eastAsia="Courier New" w:hAnsi="Courier New"/>
          <w:sz w:val="14"/>
          <w:szCs w:val="14"/>
          <w:color w:val="auto"/>
        </w:rPr>
        <w:t>Location</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Products Manufactured / Use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Plymouth, WI</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Owned</w:t>
            </w:r>
          </w:p>
        </w:tc>
        <w:tc>
          <w:tcPr>
            <w:tcW w:w="2660" w:type="dxa"/>
            <w:vAlign w:val="bottom"/>
          </w:tcPr>
          <w:p>
            <w:pPr>
              <w:ind w:left="160"/>
              <w:spacing w:after="0"/>
              <w:rPr>
                <w:sz w:val="20"/>
                <w:szCs w:val="20"/>
                <w:color w:val="auto"/>
              </w:rPr>
            </w:pPr>
            <w:r>
              <w:rPr>
                <w:rFonts w:ascii="Courier New" w:cs="Courier New" w:eastAsia="Courier New" w:hAnsi="Courier New"/>
                <w:sz w:val="14"/>
                <w:szCs w:val="14"/>
                <w:color w:val="auto"/>
              </w:rPr>
              <w:t>Professional and residential</w:t>
            </w:r>
          </w:p>
        </w:tc>
        <w:tc>
          <w:tcPr>
            <w:tcW w:w="4580" w:type="dxa"/>
            <w:vAlign w:val="bottom"/>
          </w:tcPr>
          <w:p>
            <w:pPr>
              <w:spacing w:after="0"/>
              <w:rPr>
                <w:sz w:val="20"/>
                <w:szCs w:val="20"/>
                <w:color w:val="auto"/>
              </w:rPr>
            </w:pPr>
            <w:r>
              <w:rPr>
                <w:rFonts w:ascii="Courier New" w:cs="Courier New" w:eastAsia="Courier New" w:hAnsi="Courier New"/>
                <w:sz w:val="14"/>
                <w:szCs w:val="14"/>
                <w:color w:val="auto"/>
              </w:rPr>
              <w:t>parts distribution center, office</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Windom, MN</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Owned/Leased</w:t>
            </w:r>
          </w:p>
        </w:tc>
        <w:tc>
          <w:tcPr>
            <w:tcW w:w="2660" w:type="dxa"/>
            <w:vAlign w:val="bottom"/>
          </w:tcPr>
          <w:p>
            <w:pPr>
              <w:ind w:left="160"/>
              <w:spacing w:after="0"/>
              <w:rPr>
                <w:sz w:val="20"/>
                <w:szCs w:val="20"/>
                <w:color w:val="auto"/>
              </w:rPr>
            </w:pPr>
            <w:r>
              <w:rPr>
                <w:rFonts w:ascii="Courier New" w:cs="Courier New" w:eastAsia="Courier New" w:hAnsi="Courier New"/>
                <w:sz w:val="14"/>
                <w:szCs w:val="14"/>
                <w:color w:val="auto"/>
              </w:rPr>
              <w:t>Residential and professional</w:t>
            </w:r>
          </w:p>
        </w:tc>
        <w:tc>
          <w:tcPr>
            <w:tcW w:w="4580" w:type="dxa"/>
            <w:vAlign w:val="bottom"/>
          </w:tcPr>
          <w:p>
            <w:pPr>
              <w:spacing w:after="0"/>
              <w:rPr>
                <w:sz w:val="20"/>
                <w:szCs w:val="20"/>
                <w:color w:val="auto"/>
              </w:rPr>
            </w:pPr>
            <w:r>
              <w:rPr>
                <w:rFonts w:ascii="Courier New" w:cs="Courier New" w:eastAsia="Courier New" w:hAnsi="Courier New"/>
                <w:sz w:val="14"/>
                <w:szCs w:val="14"/>
                <w:color w:val="auto"/>
              </w:rPr>
              <w:t>components and products and warehouse</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Bloomington, MN</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Owned/Leased</w:t>
            </w:r>
          </w:p>
        </w:tc>
        <w:tc>
          <w:tcPr>
            <w:tcW w:w="7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Corporate headquarters, warehouse, and test facility</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Tomah, WI</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Owned/Leased</w:t>
            </w:r>
          </w:p>
        </w:tc>
        <w:tc>
          <w:tcPr>
            <w:tcW w:w="2660" w:type="dxa"/>
            <w:vAlign w:val="bottom"/>
          </w:tcPr>
          <w:p>
            <w:pPr>
              <w:ind w:left="160"/>
              <w:spacing w:after="0"/>
              <w:rPr>
                <w:sz w:val="20"/>
                <w:szCs w:val="20"/>
                <w:color w:val="auto"/>
              </w:rPr>
            </w:pPr>
            <w:r>
              <w:rPr>
                <w:rFonts w:ascii="Courier New" w:cs="Courier New" w:eastAsia="Courier New" w:hAnsi="Courier New"/>
                <w:sz w:val="14"/>
                <w:szCs w:val="14"/>
                <w:color w:val="auto"/>
              </w:rPr>
              <w:t>Professional and residential</w:t>
            </w:r>
          </w:p>
        </w:tc>
        <w:tc>
          <w:tcPr>
            <w:tcW w:w="4580" w:type="dxa"/>
            <w:vAlign w:val="bottom"/>
          </w:tcPr>
          <w:p>
            <w:pPr>
              <w:spacing w:after="0"/>
              <w:rPr>
                <w:sz w:val="20"/>
                <w:szCs w:val="20"/>
                <w:color w:val="auto"/>
              </w:rPr>
            </w:pPr>
            <w:r>
              <w:rPr>
                <w:rFonts w:ascii="Courier New" w:cs="Courier New" w:eastAsia="Courier New" w:hAnsi="Courier New"/>
                <w:sz w:val="14"/>
                <w:szCs w:val="14"/>
                <w:color w:val="auto"/>
              </w:rPr>
              <w:t>products and warehouse</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Lakeville, MN</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Leased</w:t>
            </w:r>
          </w:p>
        </w:tc>
        <w:tc>
          <w:tcPr>
            <w:tcW w:w="2660" w:type="dxa"/>
            <w:vAlign w:val="bottom"/>
          </w:tcPr>
          <w:p>
            <w:pPr>
              <w:ind w:left="160"/>
              <w:spacing w:after="0"/>
              <w:rPr>
                <w:sz w:val="20"/>
                <w:szCs w:val="20"/>
                <w:color w:val="auto"/>
              </w:rPr>
            </w:pPr>
            <w:r>
              <w:rPr>
                <w:rFonts w:ascii="Courier New" w:cs="Courier New" w:eastAsia="Courier New" w:hAnsi="Courier New"/>
                <w:sz w:val="14"/>
                <w:szCs w:val="14"/>
                <w:color w:val="auto"/>
              </w:rPr>
              <w:t>Professional and residential</w:t>
            </w:r>
          </w:p>
        </w:tc>
        <w:tc>
          <w:tcPr>
            <w:tcW w:w="4580" w:type="dxa"/>
            <w:vAlign w:val="bottom"/>
          </w:tcPr>
          <w:p>
            <w:pPr>
              <w:spacing w:after="0"/>
              <w:rPr>
                <w:sz w:val="20"/>
                <w:szCs w:val="20"/>
                <w:color w:val="auto"/>
              </w:rPr>
            </w:pPr>
            <w:r>
              <w:rPr>
                <w:rFonts w:ascii="Courier New" w:cs="Courier New" w:eastAsia="Courier New" w:hAnsi="Courier New"/>
                <w:sz w:val="14"/>
                <w:szCs w:val="14"/>
                <w:color w:val="auto"/>
              </w:rPr>
              <w:t>finished goods distribution center, office</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Riverside, CA</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Owned/Leased</w:t>
            </w:r>
          </w:p>
        </w:tc>
        <w:tc>
          <w:tcPr>
            <w:tcW w:w="2660" w:type="dxa"/>
            <w:vAlign w:val="bottom"/>
          </w:tcPr>
          <w:p>
            <w:pPr>
              <w:ind w:left="160"/>
              <w:spacing w:after="0"/>
              <w:rPr>
                <w:sz w:val="20"/>
                <w:szCs w:val="20"/>
                <w:color w:val="auto"/>
              </w:rPr>
            </w:pPr>
            <w:r>
              <w:rPr>
                <w:rFonts w:ascii="Courier New" w:cs="Courier New" w:eastAsia="Courier New" w:hAnsi="Courier New"/>
                <w:sz w:val="14"/>
                <w:szCs w:val="14"/>
                <w:color w:val="auto"/>
              </w:rPr>
              <w:t>Professional and residential</w:t>
            </w:r>
          </w:p>
        </w:tc>
        <w:tc>
          <w:tcPr>
            <w:tcW w:w="4580" w:type="dxa"/>
            <w:vAlign w:val="bottom"/>
          </w:tcPr>
          <w:p>
            <w:pPr>
              <w:spacing w:after="0"/>
              <w:rPr>
                <w:sz w:val="20"/>
                <w:szCs w:val="20"/>
                <w:color w:val="auto"/>
              </w:rPr>
            </w:pPr>
            <w:r>
              <w:rPr>
                <w:rFonts w:ascii="Courier New" w:cs="Courier New" w:eastAsia="Courier New" w:hAnsi="Courier New"/>
                <w:sz w:val="14"/>
                <w:szCs w:val="14"/>
                <w:color w:val="auto"/>
              </w:rPr>
              <w:t>products and warehouse, office</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El Paso, TX</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Owned/Leased</w:t>
            </w:r>
          </w:p>
        </w:tc>
        <w:tc>
          <w:tcPr>
            <w:tcW w:w="2660" w:type="dxa"/>
            <w:vAlign w:val="bottom"/>
          </w:tcPr>
          <w:p>
            <w:pPr>
              <w:ind w:left="160"/>
              <w:spacing w:after="0"/>
              <w:rPr>
                <w:sz w:val="20"/>
                <w:szCs w:val="20"/>
                <w:color w:val="auto"/>
              </w:rPr>
            </w:pPr>
            <w:r>
              <w:rPr>
                <w:rFonts w:ascii="Courier New" w:cs="Courier New" w:eastAsia="Courier New" w:hAnsi="Courier New"/>
                <w:sz w:val="14"/>
                <w:szCs w:val="14"/>
                <w:color w:val="auto"/>
              </w:rPr>
              <w:t>Professional and residential</w:t>
            </w:r>
          </w:p>
        </w:tc>
        <w:tc>
          <w:tcPr>
            <w:tcW w:w="4580" w:type="dxa"/>
            <w:vAlign w:val="bottom"/>
          </w:tcPr>
          <w:p>
            <w:pPr>
              <w:spacing w:after="0"/>
              <w:rPr>
                <w:sz w:val="20"/>
                <w:szCs w:val="20"/>
                <w:color w:val="auto"/>
              </w:rPr>
            </w:pPr>
            <w:r>
              <w:rPr>
                <w:rFonts w:ascii="Courier New" w:cs="Courier New" w:eastAsia="Courier New" w:hAnsi="Courier New"/>
                <w:sz w:val="14"/>
                <w:szCs w:val="14"/>
                <w:color w:val="auto"/>
              </w:rPr>
              <w:t>products and warehouse</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Baraboo, WI</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Leased</w:t>
            </w:r>
          </w:p>
        </w:tc>
        <w:tc>
          <w:tcPr>
            <w:tcW w:w="2660" w:type="dxa"/>
            <w:vAlign w:val="bottom"/>
          </w:tcPr>
          <w:p>
            <w:pPr>
              <w:ind w:left="160"/>
              <w:spacing w:after="0"/>
              <w:rPr>
                <w:sz w:val="20"/>
                <w:szCs w:val="20"/>
                <w:color w:val="auto"/>
              </w:rPr>
            </w:pPr>
            <w:r>
              <w:rPr>
                <w:rFonts w:ascii="Courier New" w:cs="Courier New" w:eastAsia="Courier New" w:hAnsi="Courier New"/>
                <w:sz w:val="14"/>
                <w:szCs w:val="14"/>
                <w:color w:val="auto"/>
              </w:rPr>
              <w:t>Professional and residential</w:t>
            </w:r>
          </w:p>
        </w:tc>
        <w:tc>
          <w:tcPr>
            <w:tcW w:w="4580" w:type="dxa"/>
            <w:vAlign w:val="bottom"/>
          </w:tcPr>
          <w:p>
            <w:pPr>
              <w:spacing w:after="0"/>
              <w:rPr>
                <w:sz w:val="20"/>
                <w:szCs w:val="20"/>
                <w:color w:val="auto"/>
              </w:rPr>
            </w:pPr>
            <w:r>
              <w:rPr>
                <w:rFonts w:ascii="Courier New" w:cs="Courier New" w:eastAsia="Courier New" w:hAnsi="Courier New"/>
                <w:sz w:val="14"/>
                <w:szCs w:val="14"/>
                <w:color w:val="auto"/>
              </w:rPr>
              <w:t>finished goods distribution center, office</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Evansville, IN</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Leased</w:t>
            </w:r>
          </w:p>
        </w:tc>
        <w:tc>
          <w:tcPr>
            <w:tcW w:w="2660" w:type="dxa"/>
            <w:vAlign w:val="bottom"/>
          </w:tcPr>
          <w:p>
            <w:pPr>
              <w:ind w:left="160"/>
              <w:spacing w:after="0"/>
              <w:rPr>
                <w:sz w:val="20"/>
                <w:szCs w:val="20"/>
                <w:color w:val="auto"/>
              </w:rPr>
            </w:pPr>
            <w:r>
              <w:rPr>
                <w:rFonts w:ascii="Courier New" w:cs="Courier New" w:eastAsia="Courier New" w:hAnsi="Courier New"/>
                <w:sz w:val="14"/>
                <w:szCs w:val="14"/>
                <w:color w:val="auto"/>
              </w:rPr>
              <w:t>Professional and residential</w:t>
            </w:r>
          </w:p>
        </w:tc>
        <w:tc>
          <w:tcPr>
            <w:tcW w:w="4580" w:type="dxa"/>
            <w:vAlign w:val="bottom"/>
          </w:tcPr>
          <w:p>
            <w:pPr>
              <w:spacing w:after="0"/>
              <w:rPr>
                <w:sz w:val="20"/>
                <w:szCs w:val="20"/>
                <w:color w:val="auto"/>
              </w:rPr>
            </w:pPr>
            <w:r>
              <w:rPr>
                <w:rFonts w:ascii="Courier New" w:cs="Courier New" w:eastAsia="Courier New" w:hAnsi="Courier New"/>
                <w:sz w:val="14"/>
                <w:szCs w:val="14"/>
                <w:color w:val="auto"/>
              </w:rPr>
              <w:t>products</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Beatrice, NE</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Owned</w:t>
            </w:r>
          </w:p>
        </w:tc>
        <w:tc>
          <w:tcPr>
            <w:tcW w:w="2660" w:type="dxa"/>
            <w:vAlign w:val="bottom"/>
          </w:tcPr>
          <w:p>
            <w:pPr>
              <w:ind w:left="160"/>
              <w:spacing w:after="0"/>
              <w:rPr>
                <w:sz w:val="20"/>
                <w:szCs w:val="20"/>
                <w:color w:val="auto"/>
              </w:rPr>
            </w:pPr>
            <w:r>
              <w:rPr>
                <w:rFonts w:ascii="Courier New" w:cs="Courier New" w:eastAsia="Courier New" w:hAnsi="Courier New"/>
                <w:sz w:val="14"/>
                <w:szCs w:val="14"/>
                <w:color w:val="auto"/>
              </w:rPr>
              <w:t>Professional products, office</w:t>
            </w:r>
          </w:p>
        </w:tc>
        <w:tc>
          <w:tcPr>
            <w:tcW w:w="458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Shakopee, MN</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Owned</w:t>
            </w:r>
          </w:p>
        </w:tc>
        <w:tc>
          <w:tcPr>
            <w:tcW w:w="7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Components for professional and residential products</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Beverley, Australia</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Owned</w:t>
            </w:r>
          </w:p>
        </w:tc>
        <w:tc>
          <w:tcPr>
            <w:tcW w:w="7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Professional products, office and distribution center</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Murray Bridge, Australia*</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Owned</w:t>
            </w:r>
          </w:p>
        </w:tc>
        <w:tc>
          <w:tcPr>
            <w:tcW w:w="2660" w:type="dxa"/>
            <w:vAlign w:val="bottom"/>
          </w:tcPr>
          <w:p>
            <w:pPr>
              <w:ind w:left="160"/>
              <w:spacing w:after="0"/>
              <w:rPr>
                <w:sz w:val="20"/>
                <w:szCs w:val="20"/>
                <w:color w:val="auto"/>
              </w:rPr>
            </w:pPr>
            <w:r>
              <w:rPr>
                <w:rFonts w:ascii="Courier New" w:cs="Courier New" w:eastAsia="Courier New" w:hAnsi="Courier New"/>
                <w:sz w:val="14"/>
                <w:szCs w:val="14"/>
                <w:color w:val="auto"/>
              </w:rPr>
              <w:t>Inactive</w:t>
            </w:r>
          </w:p>
        </w:tc>
        <w:tc>
          <w:tcPr>
            <w:tcW w:w="458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El Cajon, CA</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Owned</w:t>
            </w:r>
          </w:p>
        </w:tc>
        <w:tc>
          <w:tcPr>
            <w:tcW w:w="2660" w:type="dxa"/>
            <w:vAlign w:val="bottom"/>
          </w:tcPr>
          <w:p>
            <w:pPr>
              <w:ind w:left="160"/>
              <w:spacing w:after="0"/>
              <w:rPr>
                <w:sz w:val="20"/>
                <w:szCs w:val="20"/>
                <w:color w:val="auto"/>
              </w:rPr>
            </w:pPr>
            <w:r>
              <w:rPr>
                <w:rFonts w:ascii="Courier New" w:cs="Courier New" w:eastAsia="Courier New" w:hAnsi="Courier New"/>
                <w:sz w:val="14"/>
                <w:szCs w:val="14"/>
                <w:color w:val="auto"/>
              </w:rPr>
              <w:t>Professional and residential</w:t>
            </w:r>
          </w:p>
        </w:tc>
        <w:tc>
          <w:tcPr>
            <w:tcW w:w="4580" w:type="dxa"/>
            <w:vAlign w:val="bottom"/>
          </w:tcPr>
          <w:p>
            <w:pPr>
              <w:spacing w:after="0"/>
              <w:rPr>
                <w:sz w:val="20"/>
                <w:szCs w:val="20"/>
                <w:color w:val="auto"/>
              </w:rPr>
            </w:pPr>
            <w:r>
              <w:rPr>
                <w:rFonts w:ascii="Courier New" w:cs="Courier New" w:eastAsia="Courier New" w:hAnsi="Courier New"/>
                <w:sz w:val="14"/>
                <w:szCs w:val="14"/>
                <w:color w:val="auto"/>
              </w:rPr>
              <w:t>products and warehouse, office</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Oxford, MS</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Owned</w:t>
            </w:r>
          </w:p>
        </w:tc>
        <w:tc>
          <w:tcPr>
            <w:tcW w:w="7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Components for residential products</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Lincoln, NE</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Leased</w:t>
            </w:r>
          </w:p>
        </w:tc>
        <w:tc>
          <w:tcPr>
            <w:tcW w:w="7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Professional products warehouse</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Mound, MN</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Leased</w:t>
            </w:r>
          </w:p>
        </w:tc>
        <w:tc>
          <w:tcPr>
            <w:tcW w:w="7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Residential products research center and warehouse, and residential service center</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Oevel, Belgium</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Owned</w:t>
            </w:r>
          </w:p>
        </w:tc>
        <w:tc>
          <w:tcPr>
            <w:tcW w:w="2660" w:type="dxa"/>
            <w:vAlign w:val="bottom"/>
          </w:tcPr>
          <w:p>
            <w:pPr>
              <w:ind w:left="160"/>
              <w:spacing w:after="0"/>
              <w:rPr>
                <w:sz w:val="20"/>
                <w:szCs w:val="20"/>
                <w:color w:val="auto"/>
              </w:rPr>
            </w:pPr>
            <w:r>
              <w:rPr>
                <w:rFonts w:ascii="Courier New" w:cs="Courier New" w:eastAsia="Courier New" w:hAnsi="Courier New"/>
                <w:sz w:val="14"/>
                <w:szCs w:val="14"/>
                <w:color w:val="auto"/>
              </w:rPr>
              <w:t>Professional and residential</w:t>
            </w:r>
          </w:p>
        </w:tc>
        <w:tc>
          <w:tcPr>
            <w:tcW w:w="4580" w:type="dxa"/>
            <w:vAlign w:val="bottom"/>
          </w:tcPr>
          <w:p>
            <w:pPr>
              <w:spacing w:after="0"/>
              <w:rPr>
                <w:sz w:val="20"/>
                <w:szCs w:val="20"/>
                <w:color w:val="auto"/>
              </w:rPr>
            </w:pPr>
            <w:r>
              <w:rPr>
                <w:rFonts w:ascii="Courier New" w:cs="Courier New" w:eastAsia="Courier New" w:hAnsi="Courier New"/>
                <w:sz w:val="14"/>
                <w:szCs w:val="14"/>
                <w:color w:val="auto"/>
              </w:rPr>
              <w:t>finished goods distribution center, office</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Hazelwood, MO</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Leased</w:t>
            </w:r>
          </w:p>
        </w:tc>
        <w:tc>
          <w:tcPr>
            <w:tcW w:w="2660" w:type="dxa"/>
            <w:vAlign w:val="bottom"/>
          </w:tcPr>
          <w:p>
            <w:pPr>
              <w:ind w:left="160"/>
              <w:spacing w:after="0"/>
              <w:rPr>
                <w:sz w:val="20"/>
                <w:szCs w:val="20"/>
                <w:color w:val="auto"/>
              </w:rPr>
            </w:pPr>
            <w:r>
              <w:rPr>
                <w:rFonts w:ascii="Courier New" w:cs="Courier New" w:eastAsia="Courier New" w:hAnsi="Courier New"/>
                <w:sz w:val="14"/>
                <w:szCs w:val="14"/>
                <w:color w:val="auto"/>
              </w:rPr>
              <w:t>Distribution facility</w:t>
            </w:r>
          </w:p>
        </w:tc>
        <w:tc>
          <w:tcPr>
            <w:tcW w:w="458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Madera, CA</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Owned</w:t>
            </w:r>
          </w:p>
        </w:tc>
        <w:tc>
          <w:tcPr>
            <w:tcW w:w="2660" w:type="dxa"/>
            <w:vAlign w:val="bottom"/>
          </w:tcPr>
          <w:p>
            <w:pPr>
              <w:ind w:left="160"/>
              <w:spacing w:after="0"/>
              <w:rPr>
                <w:sz w:val="20"/>
                <w:szCs w:val="20"/>
                <w:color w:val="auto"/>
              </w:rPr>
            </w:pPr>
            <w:r>
              <w:rPr>
                <w:rFonts w:ascii="Courier New" w:cs="Courier New" w:eastAsia="Courier New" w:hAnsi="Courier New"/>
                <w:sz w:val="14"/>
                <w:szCs w:val="14"/>
                <w:color w:val="auto"/>
              </w:rPr>
              <w:t>Professional and residential</w:t>
            </w:r>
          </w:p>
        </w:tc>
        <w:tc>
          <w:tcPr>
            <w:tcW w:w="4580" w:type="dxa"/>
            <w:vAlign w:val="bottom"/>
          </w:tcPr>
          <w:p>
            <w:pPr>
              <w:spacing w:after="0"/>
              <w:rPr>
                <w:sz w:val="20"/>
                <w:szCs w:val="20"/>
                <w:color w:val="auto"/>
              </w:rPr>
            </w:pPr>
            <w:r>
              <w:rPr>
                <w:rFonts w:ascii="Courier New" w:cs="Courier New" w:eastAsia="Courier New" w:hAnsi="Courier New"/>
                <w:sz w:val="14"/>
                <w:szCs w:val="14"/>
                <w:color w:val="auto"/>
              </w:rPr>
              <w:t>products and warehouse, office</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Juarez, Mexico</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Leased</w:t>
            </w:r>
          </w:p>
        </w:tc>
        <w:tc>
          <w:tcPr>
            <w:tcW w:w="2660" w:type="dxa"/>
            <w:vAlign w:val="bottom"/>
          </w:tcPr>
          <w:p>
            <w:pPr>
              <w:ind w:left="160"/>
              <w:spacing w:after="0"/>
              <w:rPr>
                <w:sz w:val="20"/>
                <w:szCs w:val="20"/>
                <w:color w:val="auto"/>
              </w:rPr>
            </w:pPr>
            <w:r>
              <w:rPr>
                <w:rFonts w:ascii="Courier New" w:cs="Courier New" w:eastAsia="Courier New" w:hAnsi="Courier New"/>
                <w:sz w:val="14"/>
                <w:szCs w:val="14"/>
                <w:color w:val="auto"/>
              </w:rPr>
              <w:t>Professional and residential</w:t>
            </w:r>
          </w:p>
        </w:tc>
        <w:tc>
          <w:tcPr>
            <w:tcW w:w="4580" w:type="dxa"/>
            <w:vAlign w:val="bottom"/>
          </w:tcPr>
          <w:p>
            <w:pPr>
              <w:spacing w:after="0"/>
              <w:rPr>
                <w:sz w:val="20"/>
                <w:szCs w:val="20"/>
                <w:color w:val="auto"/>
              </w:rPr>
            </w:pPr>
            <w:r>
              <w:rPr>
                <w:rFonts w:ascii="Courier New" w:cs="Courier New" w:eastAsia="Courier New" w:hAnsi="Courier New"/>
                <w:sz w:val="14"/>
                <w:szCs w:val="14"/>
                <w:color w:val="auto"/>
              </w:rPr>
              <w:t>manufacturing facility</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Houston, TX</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Leased</w:t>
            </w:r>
          </w:p>
        </w:tc>
        <w:tc>
          <w:tcPr>
            <w:tcW w:w="2660" w:type="dxa"/>
            <w:vAlign w:val="bottom"/>
          </w:tcPr>
          <w:p>
            <w:pPr>
              <w:ind w:left="160"/>
              <w:spacing w:after="0"/>
              <w:rPr>
                <w:sz w:val="20"/>
                <w:szCs w:val="20"/>
                <w:color w:val="auto"/>
              </w:rPr>
            </w:pPr>
            <w:r>
              <w:rPr>
                <w:rFonts w:ascii="Courier New" w:cs="Courier New" w:eastAsia="Courier New" w:hAnsi="Courier New"/>
                <w:sz w:val="14"/>
                <w:szCs w:val="14"/>
                <w:color w:val="auto"/>
              </w:rPr>
              <w:t>Distribution facility</w:t>
            </w:r>
          </w:p>
        </w:tc>
        <w:tc>
          <w:tcPr>
            <w:tcW w:w="458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Braeside, Australia</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Leased</w:t>
            </w:r>
          </w:p>
        </w:tc>
        <w:tc>
          <w:tcPr>
            <w:tcW w:w="2660" w:type="dxa"/>
            <w:vAlign w:val="bottom"/>
          </w:tcPr>
          <w:p>
            <w:pPr>
              <w:ind w:left="160"/>
              <w:spacing w:after="0"/>
              <w:rPr>
                <w:sz w:val="20"/>
                <w:szCs w:val="20"/>
                <w:color w:val="auto"/>
              </w:rPr>
            </w:pPr>
            <w:r>
              <w:rPr>
                <w:rFonts w:ascii="Courier New" w:cs="Courier New" w:eastAsia="Courier New" w:hAnsi="Courier New"/>
                <w:sz w:val="14"/>
                <w:szCs w:val="14"/>
                <w:color w:val="auto"/>
              </w:rPr>
              <w:t>Professional and residential</w:t>
            </w:r>
          </w:p>
        </w:tc>
        <w:tc>
          <w:tcPr>
            <w:tcW w:w="4580" w:type="dxa"/>
            <w:vAlign w:val="bottom"/>
          </w:tcPr>
          <w:p>
            <w:pPr>
              <w:spacing w:after="0"/>
              <w:rPr>
                <w:sz w:val="20"/>
                <w:szCs w:val="20"/>
                <w:color w:val="auto"/>
              </w:rPr>
            </w:pPr>
            <w:r>
              <w:rPr>
                <w:rFonts w:ascii="Courier New" w:cs="Courier New" w:eastAsia="Courier New" w:hAnsi="Courier New"/>
                <w:sz w:val="14"/>
                <w:szCs w:val="14"/>
                <w:color w:val="auto"/>
              </w:rPr>
              <w:t>products warehouse</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Plymouth, MN</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Leased</w:t>
            </w:r>
          </w:p>
        </w:tc>
        <w:tc>
          <w:tcPr>
            <w:tcW w:w="2660" w:type="dxa"/>
            <w:vAlign w:val="bottom"/>
          </w:tcPr>
          <w:p>
            <w:pPr>
              <w:ind w:left="160"/>
              <w:spacing w:after="0"/>
              <w:rPr>
                <w:sz w:val="20"/>
                <w:szCs w:val="20"/>
                <w:color w:val="auto"/>
              </w:rPr>
            </w:pPr>
            <w:r>
              <w:rPr>
                <w:rFonts w:ascii="Courier New" w:cs="Courier New" w:eastAsia="Courier New" w:hAnsi="Courier New"/>
                <w:sz w:val="14"/>
                <w:szCs w:val="14"/>
                <w:color w:val="auto"/>
              </w:rPr>
              <w:t>Distribution facility</w:t>
            </w:r>
          </w:p>
        </w:tc>
        <w:tc>
          <w:tcPr>
            <w:tcW w:w="458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DFW Airport, TX</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Leased</w:t>
            </w:r>
          </w:p>
        </w:tc>
        <w:tc>
          <w:tcPr>
            <w:tcW w:w="2660" w:type="dxa"/>
            <w:vAlign w:val="bottom"/>
          </w:tcPr>
          <w:p>
            <w:pPr>
              <w:ind w:left="160"/>
              <w:spacing w:after="0"/>
              <w:rPr>
                <w:sz w:val="20"/>
                <w:szCs w:val="20"/>
                <w:color w:val="auto"/>
              </w:rPr>
            </w:pPr>
            <w:r>
              <w:rPr>
                <w:rFonts w:ascii="Courier New" w:cs="Courier New" w:eastAsia="Courier New" w:hAnsi="Courier New"/>
                <w:sz w:val="14"/>
                <w:szCs w:val="14"/>
                <w:color w:val="auto"/>
              </w:rPr>
              <w:t>Distribution facility</w:t>
            </w:r>
          </w:p>
        </w:tc>
        <w:tc>
          <w:tcPr>
            <w:tcW w:w="458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Mountaintop, PA</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Leased</w:t>
            </w:r>
          </w:p>
        </w:tc>
        <w:tc>
          <w:tcPr>
            <w:tcW w:w="2660" w:type="dxa"/>
            <w:vAlign w:val="bottom"/>
          </w:tcPr>
          <w:p>
            <w:pPr>
              <w:ind w:left="160"/>
              <w:spacing w:after="0"/>
              <w:rPr>
                <w:sz w:val="20"/>
                <w:szCs w:val="20"/>
                <w:color w:val="auto"/>
              </w:rPr>
            </w:pPr>
            <w:r>
              <w:rPr>
                <w:rFonts w:ascii="Courier New" w:cs="Courier New" w:eastAsia="Courier New" w:hAnsi="Courier New"/>
                <w:sz w:val="14"/>
                <w:szCs w:val="14"/>
                <w:color w:val="auto"/>
              </w:rPr>
              <w:t>Professional and residential</w:t>
            </w:r>
          </w:p>
        </w:tc>
        <w:tc>
          <w:tcPr>
            <w:tcW w:w="4580" w:type="dxa"/>
            <w:vAlign w:val="bottom"/>
          </w:tcPr>
          <w:p>
            <w:pPr>
              <w:spacing w:after="0"/>
              <w:rPr>
                <w:sz w:val="20"/>
                <w:szCs w:val="20"/>
                <w:color w:val="auto"/>
              </w:rPr>
            </w:pPr>
            <w:r>
              <w:rPr>
                <w:rFonts w:ascii="Courier New" w:cs="Courier New" w:eastAsia="Courier New" w:hAnsi="Courier New"/>
                <w:sz w:val="14"/>
                <w:szCs w:val="14"/>
                <w:color w:val="auto"/>
              </w:rPr>
              <w:t>parts distribution center</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Itaska, IL</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Leased</w:t>
            </w:r>
          </w:p>
        </w:tc>
        <w:tc>
          <w:tcPr>
            <w:tcW w:w="2660" w:type="dxa"/>
            <w:vAlign w:val="bottom"/>
          </w:tcPr>
          <w:p>
            <w:pPr>
              <w:ind w:left="160"/>
              <w:spacing w:after="0"/>
              <w:rPr>
                <w:sz w:val="20"/>
                <w:szCs w:val="20"/>
                <w:color w:val="auto"/>
              </w:rPr>
            </w:pPr>
            <w:r>
              <w:rPr>
                <w:rFonts w:ascii="Courier New" w:cs="Courier New" w:eastAsia="Courier New" w:hAnsi="Courier New"/>
                <w:sz w:val="14"/>
                <w:szCs w:val="14"/>
                <w:color w:val="auto"/>
              </w:rPr>
              <w:t>Distribution facility</w:t>
            </w:r>
          </w:p>
        </w:tc>
        <w:tc>
          <w:tcPr>
            <w:tcW w:w="458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Fiano Romano, Italy</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Owned</w:t>
            </w:r>
          </w:p>
        </w:tc>
        <w:tc>
          <w:tcPr>
            <w:tcW w:w="7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Professional products and warehouse, office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5500" w:firstLine="8"/>
        <w:spacing w:after="0" w:line="255" w:lineRule="auto"/>
        <w:tabs>
          <w:tab w:leader="none" w:pos="17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Toro-owned facility that is currently idle and available for sale or subleasing.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73" w:lineRule="exact"/>
        <w:rPr>
          <w:sz w:val="20"/>
          <w:szCs w:val="20"/>
          <w:color w:val="auto"/>
        </w:rPr>
      </w:pPr>
    </w:p>
    <w:p>
      <w:pPr>
        <w:ind w:right="4720"/>
        <w:spacing w:after="0" w:line="250" w:lineRule="auto"/>
        <w:rPr>
          <w:sz w:val="20"/>
          <w:szCs w:val="20"/>
          <w:color w:val="auto"/>
        </w:rPr>
      </w:pPr>
      <w:r>
        <w:rPr>
          <w:rFonts w:ascii="Courier New" w:cs="Courier New" w:eastAsia="Courier New" w:hAnsi="Courier New"/>
          <w:sz w:val="14"/>
          <w:szCs w:val="14"/>
          <w:color w:val="auto"/>
        </w:rPr>
        <w:t>The company is a party to litigation in the ordinary course of its business. Litigation occasionally involves claims for damages arising out of the use of the company's products, some of which include claims for punitive as well as compensatory damages. The company is also subject to administrative proceedings with respect to certain claims involving the discharge of hazardous substances into the environment. Some of these claims assert damages and liability for remedial investigations and clean up costs. Management is of the opinion that amounts which may be awarded or assessed in connection with these matters will not have a material effect on the company's financial position. Further, the company maintains insurance against product liability losses.</w:t>
      </w:r>
    </w:p>
    <w:p>
      <w:pPr>
        <w:spacing w:after="0" w:line="4" w:lineRule="exact"/>
        <w:rPr>
          <w:sz w:val="20"/>
          <w:szCs w:val="20"/>
          <w:color w:val="auto"/>
        </w:rPr>
      </w:pPr>
    </w:p>
    <w:p>
      <w:pPr>
        <w:ind w:right="4900" w:firstLine="258"/>
        <w:spacing w:after="0" w:line="251" w:lineRule="auto"/>
        <w:rPr>
          <w:sz w:val="20"/>
          <w:szCs w:val="20"/>
          <w:color w:val="auto"/>
        </w:rPr>
      </w:pPr>
      <w:r>
        <w:rPr>
          <w:rFonts w:ascii="Courier New" w:cs="Courier New" w:eastAsia="Courier New" w:hAnsi="Courier New"/>
          <w:sz w:val="14"/>
          <w:szCs w:val="14"/>
          <w:color w:val="auto"/>
        </w:rPr>
        <w:t>The company is involved in a number of commercial disputes and patent litigation cases, both as a plaintiff and as a defendant. While the ultimate results of these cases are unknown at this time, management believes that the outcome of these cases is unlikely to have a materially adverse effect on the consolidated financial results of the company.</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1540"/>
          </w:cols>
          <w:pgMar w:left="220" w:top="285" w:right="139"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3" w:lineRule="exact"/>
        <w:rPr>
          <w:sz w:val="20"/>
          <w:szCs w:val="20"/>
          <w:color w:val="auto"/>
        </w:rPr>
      </w:pPr>
    </w:p>
    <w:p>
      <w:pPr>
        <w:ind w:right="5240"/>
        <w:spacing w:after="0" w:line="255" w:lineRule="auto"/>
        <w:rPr>
          <w:sz w:val="20"/>
          <w:szCs w:val="20"/>
          <w:color w:val="auto"/>
        </w:rPr>
      </w:pPr>
      <w:r>
        <w:rPr>
          <w:rFonts w:ascii="Courier New" w:cs="Courier New" w:eastAsia="Courier New" w:hAnsi="Courier New"/>
          <w:sz w:val="14"/>
          <w:szCs w:val="14"/>
          <w:color w:val="auto"/>
        </w:rPr>
        <w:t>No matters were submitted to a vote of security holders during the fourth quarter of fiscal 2000.</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 OF THE REGISTRANT</w:t>
      </w:r>
    </w:p>
    <w:p>
      <w:pPr>
        <w:spacing w:after="0" w:line="7"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The list below identifies those persons deemed to be executive officers of the company, discloses their age and position with the company as of January 10,</w:t>
      </w:r>
    </w:p>
    <w:p>
      <w:pPr>
        <w:spacing w:after="0" w:line="1"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2001 and positions held by them during the last five or more years. Officers are elected annually by the Board of Directors or appointed by the Chief Executive Officer annually.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380" w:val="left"/>
        </w:tabs>
        <w:rPr>
          <w:sz w:val="20"/>
          <w:szCs w:val="20"/>
          <w:color w:val="auto"/>
        </w:rPr>
      </w:pPr>
      <w:r>
        <w:rPr>
          <w:rFonts w:ascii="Courier New" w:cs="Courier New" w:eastAsia="Courier New" w:hAnsi="Courier New"/>
          <w:sz w:val="14"/>
          <w:szCs w:val="14"/>
          <w:color w:val="auto"/>
        </w:rPr>
        <w:t>Name, Age, and Position with the Company</w:t>
      </w:r>
      <w:r>
        <w:rPr>
          <w:sz w:val="20"/>
          <w:szCs w:val="20"/>
          <w:color w:val="auto"/>
        </w:rPr>
        <w:tab/>
      </w:r>
      <w:r>
        <w:rPr>
          <w:rFonts w:ascii="Courier New" w:cs="Courier New" w:eastAsia="Courier New" w:hAnsi="Courier New"/>
          <w:sz w:val="14"/>
          <w:szCs w:val="14"/>
          <w:color w:val="auto"/>
        </w:rPr>
        <w:t>Business Experience During the Last Five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500"/>
        <w:spacing w:after="0" w:line="250" w:lineRule="auto"/>
        <w:rPr>
          <w:sz w:val="20"/>
          <w:szCs w:val="20"/>
          <w:color w:val="auto"/>
        </w:rPr>
      </w:pPr>
      <w:r>
        <w:rPr>
          <w:rFonts w:ascii="Courier New" w:cs="Courier New" w:eastAsia="Courier New" w:hAnsi="Courier New"/>
          <w:sz w:val="14"/>
          <w:szCs w:val="14"/>
          <w:color w:val="auto"/>
        </w:rPr>
        <w:t>KENDRICK B. MELROSE Elected Chairman of the Board in December 1987 and Chief Executive Officer in 60, Chairman and Chief Executive Officer December 1983.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1880" w:type="dxa"/>
            <w:vAlign w:val="bottom"/>
          </w:tcPr>
          <w:p>
            <w:pPr>
              <w:ind w:left="380"/>
              <w:spacing w:after="0"/>
              <w:rPr>
                <w:sz w:val="20"/>
                <w:szCs w:val="20"/>
                <w:color w:val="auto"/>
              </w:rPr>
            </w:pPr>
            <w:r>
              <w:rPr>
                <w:rFonts w:ascii="Courier New" w:cs="Courier New" w:eastAsia="Courier New" w:hAnsi="Courier New"/>
                <w:sz w:val="14"/>
                <w:szCs w:val="14"/>
                <w:color w:val="auto"/>
              </w:rPr>
              <w:t>Elected Executive</w:t>
            </w:r>
          </w:p>
        </w:tc>
        <w:tc>
          <w:tcPr>
            <w:tcW w:w="3800" w:type="dxa"/>
            <w:vAlign w:val="bottom"/>
          </w:tcPr>
          <w:p>
            <w:pPr>
              <w:ind w:left="60"/>
              <w:spacing w:after="0"/>
              <w:rPr>
                <w:sz w:val="20"/>
                <w:szCs w:val="20"/>
                <w:color w:val="auto"/>
              </w:rPr>
            </w:pPr>
            <w:r>
              <w:rPr>
                <w:rFonts w:ascii="Courier New" w:cs="Courier New" w:eastAsia="Courier New" w:hAnsi="Courier New"/>
                <w:sz w:val="14"/>
                <w:szCs w:val="14"/>
                <w:color w:val="auto"/>
              </w:rPr>
              <w:t>Vice President, Professional Businesses and</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International in</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57, Executive Vice President, Professional</w:t>
            </w:r>
          </w:p>
        </w:tc>
        <w:tc>
          <w:tcPr>
            <w:tcW w:w="1880" w:type="dxa"/>
            <w:vAlign w:val="bottom"/>
          </w:tcPr>
          <w:p>
            <w:pPr>
              <w:ind w:left="380"/>
              <w:spacing w:after="0"/>
              <w:rPr>
                <w:sz w:val="20"/>
                <w:szCs w:val="20"/>
                <w:color w:val="auto"/>
              </w:rPr>
            </w:pPr>
            <w:r>
              <w:rPr>
                <w:rFonts w:ascii="Courier New" w:cs="Courier New" w:eastAsia="Courier New" w:hAnsi="Courier New"/>
                <w:sz w:val="14"/>
                <w:szCs w:val="14"/>
                <w:color w:val="auto"/>
              </w:rPr>
              <w:t>August 1998. From</w:t>
            </w:r>
          </w:p>
        </w:tc>
        <w:tc>
          <w:tcPr>
            <w:tcW w:w="3800" w:type="dxa"/>
            <w:vAlign w:val="bottom"/>
          </w:tcPr>
          <w:p>
            <w:pPr>
              <w:ind w:left="60"/>
              <w:spacing w:after="0"/>
              <w:rPr>
                <w:sz w:val="20"/>
                <w:szCs w:val="20"/>
                <w:color w:val="auto"/>
              </w:rPr>
            </w:pPr>
            <w:r>
              <w:rPr>
                <w:rFonts w:ascii="Courier New" w:cs="Courier New" w:eastAsia="Courier New" w:hAnsi="Courier New"/>
                <w:sz w:val="14"/>
                <w:szCs w:val="14"/>
                <w:color w:val="auto"/>
              </w:rPr>
              <w:t>September 1996 to August 1998, he served as</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Group Vice</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Businesses and International</w:t>
            </w:r>
          </w:p>
        </w:tc>
        <w:tc>
          <w:tcPr>
            <w:tcW w:w="718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President. From January 1992 to September 1996, he was appointed Vice President</w:t>
            </w:r>
          </w:p>
        </w:tc>
      </w:tr>
      <w:tr>
        <w:trPr>
          <w:trHeight w:val="166"/>
        </w:trPr>
        <w:tc>
          <w:tcPr>
            <w:tcW w:w="4020" w:type="dxa"/>
            <w:vAlign w:val="bottom"/>
          </w:tcPr>
          <w:p>
            <w:pPr>
              <w:spacing w:after="0"/>
              <w:rPr>
                <w:sz w:val="14"/>
                <w:szCs w:val="14"/>
                <w:color w:val="auto"/>
              </w:rPr>
            </w:pPr>
          </w:p>
        </w:tc>
        <w:tc>
          <w:tcPr>
            <w:tcW w:w="568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and General Manager, Consumer Division.</w:t>
            </w:r>
          </w:p>
        </w:tc>
        <w:tc>
          <w:tcPr>
            <w:tcW w:w="15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STEPHEN P. WOLFE</w:t>
            </w:r>
          </w:p>
        </w:tc>
        <w:tc>
          <w:tcPr>
            <w:tcW w:w="1060" w:type="dxa"/>
            <w:vAlign w:val="bottom"/>
          </w:tcPr>
          <w:p>
            <w:pPr>
              <w:ind w:left="420"/>
              <w:spacing w:after="0"/>
              <w:rPr>
                <w:sz w:val="20"/>
                <w:szCs w:val="20"/>
                <w:color w:val="auto"/>
              </w:rPr>
            </w:pPr>
            <w:r>
              <w:rPr>
                <w:rFonts w:ascii="Courier New" w:cs="Courier New" w:eastAsia="Courier New" w:hAnsi="Courier New"/>
                <w:sz w:val="14"/>
                <w:szCs w:val="14"/>
                <w:color w:val="auto"/>
              </w:rPr>
              <w:t>Elected</w:t>
            </w:r>
          </w:p>
        </w:tc>
        <w:tc>
          <w:tcPr>
            <w:tcW w:w="3620" w:type="dxa"/>
            <w:vAlign w:val="bottom"/>
          </w:tcPr>
          <w:p>
            <w:pPr>
              <w:ind w:left="60"/>
              <w:spacing w:after="0"/>
              <w:rPr>
                <w:sz w:val="20"/>
                <w:szCs w:val="20"/>
                <w:color w:val="auto"/>
              </w:rPr>
            </w:pPr>
            <w:r>
              <w:rPr>
                <w:rFonts w:ascii="Courier New" w:cs="Courier New" w:eastAsia="Courier New" w:hAnsi="Courier New"/>
                <w:sz w:val="14"/>
                <w:szCs w:val="14"/>
                <w:color w:val="auto"/>
              </w:rPr>
              <w:t>Vice President Finance, Treasurer in June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1997 and Chief</w:t>
            </w:r>
          </w:p>
        </w:tc>
        <w:tc>
          <w:tcPr>
            <w:tcW w:w="11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Financial</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52, Vice President Finance, Treasurer and</w:t>
            </w:r>
          </w:p>
        </w:tc>
        <w:tc>
          <w:tcPr>
            <w:tcW w:w="1060" w:type="dxa"/>
            <w:vAlign w:val="bottom"/>
          </w:tcPr>
          <w:p>
            <w:pPr>
              <w:ind w:left="420"/>
              <w:spacing w:after="0"/>
              <w:rPr>
                <w:sz w:val="20"/>
                <w:szCs w:val="20"/>
                <w:color w:val="auto"/>
              </w:rPr>
            </w:pPr>
            <w:r>
              <w:rPr>
                <w:rFonts w:ascii="Courier New" w:cs="Courier New" w:eastAsia="Courier New" w:hAnsi="Courier New"/>
                <w:sz w:val="14"/>
                <w:szCs w:val="14"/>
                <w:color w:val="auto"/>
              </w:rPr>
              <w:t>Officer</w:t>
            </w:r>
          </w:p>
        </w:tc>
        <w:tc>
          <w:tcPr>
            <w:tcW w:w="51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 May 1997. Appointed Treasurer in January 1996. Appointed</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Vice</w:t>
            </w:r>
          </w:p>
        </w:tc>
        <w:tc>
          <w:tcPr>
            <w:tcW w:w="480" w:type="dxa"/>
            <w:vAlign w:val="bottom"/>
          </w:tcPr>
          <w:p>
            <w:pPr>
              <w:spacing w:after="0"/>
              <w:rPr>
                <w:sz w:val="14"/>
                <w:szCs w:val="1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Chief Financial Officer</w:t>
            </w:r>
          </w:p>
        </w:tc>
        <w:tc>
          <w:tcPr>
            <w:tcW w:w="468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President in August 1994. Elected President, Toro</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Credit Company</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July</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4" w:lineRule="exact"/>
        <w:rPr>
          <w:sz w:val="20"/>
          <w:szCs w:val="20"/>
          <w:color w:val="auto"/>
        </w:rPr>
      </w:pPr>
    </w:p>
    <w:p>
      <w:pPr>
        <w:ind w:right="600"/>
        <w:spacing w:after="0" w:line="257" w:lineRule="auto"/>
        <w:rPr>
          <w:sz w:val="20"/>
          <w:szCs w:val="20"/>
          <w:color w:val="auto"/>
        </w:rPr>
      </w:pPr>
      <w:r>
        <w:rPr>
          <w:rFonts w:ascii="Courier New" w:cs="Courier New" w:eastAsia="Courier New" w:hAnsi="Courier New"/>
          <w:sz w:val="14"/>
          <w:szCs w:val="14"/>
          <w:color w:val="auto"/>
        </w:rPr>
        <w:t>KAREN M. MEYER Elected Vice President, Administration in August 1998. From December 1991 to 51, Vice President, Administration August 1998, she served as Vice President, Human Resources/Administrative Services.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4" w:lineRule="exact"/>
        <w:rPr>
          <w:sz w:val="20"/>
          <w:szCs w:val="20"/>
          <w:color w:val="auto"/>
        </w:rPr>
      </w:pPr>
    </w:p>
    <w:p>
      <w:pPr>
        <w:ind w:right="500"/>
        <w:spacing w:after="0" w:line="250" w:lineRule="auto"/>
        <w:rPr>
          <w:sz w:val="20"/>
          <w:szCs w:val="20"/>
          <w:color w:val="auto"/>
        </w:rPr>
      </w:pPr>
      <w:r>
        <w:rPr>
          <w:rFonts w:ascii="Courier New" w:cs="Courier New" w:eastAsia="Courier New" w:hAnsi="Courier New"/>
          <w:sz w:val="14"/>
          <w:szCs w:val="14"/>
          <w:color w:val="auto"/>
        </w:rPr>
        <w:t>J. LAWRENCE MCINTYRE Elected Vice President in July 1993. Elected Secretary and General Counsel in 58, Vice President, Secretary and General Counsel August 1993.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PHILIP A. BURKART</w:t>
            </w:r>
          </w:p>
        </w:tc>
        <w:tc>
          <w:tcPr>
            <w:tcW w:w="672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Appointed Vice President and General Manager, International Business in</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November</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39, Vice President and General Manager,</w:t>
            </w:r>
          </w:p>
        </w:tc>
        <w:tc>
          <w:tcPr>
            <w:tcW w:w="25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2000. From October 1999</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to October 2000, he served as Managing Director,</w:t>
            </w:r>
          </w:p>
        </w:tc>
        <w:tc>
          <w:tcPr>
            <w:tcW w:w="700" w:type="dxa"/>
            <w:vAlign w:val="bottom"/>
          </w:tcPr>
          <w:p>
            <w:pPr>
              <w:spacing w:after="0"/>
              <w:rPr>
                <w:sz w:val="14"/>
                <w:szCs w:val="14"/>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International Business</w:t>
            </w:r>
          </w:p>
        </w:tc>
        <w:tc>
          <w:tcPr>
            <w:tcW w:w="25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International Sales and</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Marketing. From September 1997 to October 1999,</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he was</w:t>
            </w:r>
          </w:p>
        </w:tc>
      </w:tr>
      <w:tr>
        <w:trPr>
          <w:trHeight w:val="166"/>
        </w:trPr>
        <w:tc>
          <w:tcPr>
            <w:tcW w:w="3880" w:type="dxa"/>
            <w:vAlign w:val="bottom"/>
          </w:tcPr>
          <w:p>
            <w:pPr>
              <w:spacing w:after="0"/>
              <w:rPr>
                <w:sz w:val="14"/>
                <w:szCs w:val="14"/>
                <w:color w:val="auto"/>
              </w:rPr>
            </w:pPr>
          </w:p>
        </w:tc>
        <w:tc>
          <w:tcPr>
            <w:tcW w:w="2020" w:type="dxa"/>
            <w:vAlign w:val="bottom"/>
          </w:tcPr>
          <w:p>
            <w:pPr>
              <w:ind w:left="520"/>
              <w:spacing w:after="0"/>
              <w:rPr>
                <w:sz w:val="20"/>
                <w:szCs w:val="20"/>
                <w:color w:val="auto"/>
              </w:rPr>
            </w:pPr>
            <w:r>
              <w:rPr>
                <w:rFonts w:ascii="Courier New" w:cs="Courier New" w:eastAsia="Courier New" w:hAnsi="Courier New"/>
                <w:sz w:val="14"/>
                <w:szCs w:val="14"/>
                <w:color w:val="auto"/>
              </w:rPr>
              <w:t>the International</w:t>
            </w:r>
          </w:p>
        </w:tc>
        <w:tc>
          <w:tcPr>
            <w:tcW w:w="540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Marketing Director, and was Director of Marketing/Sales from</w:t>
            </w:r>
          </w:p>
        </w:tc>
      </w:tr>
      <w:tr>
        <w:trPr>
          <w:trHeight w:val="166"/>
        </w:trPr>
        <w:tc>
          <w:tcPr>
            <w:tcW w:w="3880" w:type="dxa"/>
            <w:vAlign w:val="bottom"/>
          </w:tcPr>
          <w:p>
            <w:pPr>
              <w:spacing w:after="0"/>
              <w:rPr>
                <w:sz w:val="14"/>
                <w:szCs w:val="14"/>
                <w:color w:val="auto"/>
              </w:rPr>
            </w:pPr>
          </w:p>
        </w:tc>
        <w:tc>
          <w:tcPr>
            <w:tcW w:w="2020" w:type="dxa"/>
            <w:vAlign w:val="bottom"/>
          </w:tcPr>
          <w:p>
            <w:pPr>
              <w:ind w:left="520"/>
              <w:spacing w:after="0"/>
              <w:rPr>
                <w:sz w:val="20"/>
                <w:szCs w:val="20"/>
                <w:color w:val="auto"/>
              </w:rPr>
            </w:pPr>
            <w:r>
              <w:rPr>
                <w:rFonts w:ascii="Courier New" w:cs="Courier New" w:eastAsia="Courier New" w:hAnsi="Courier New"/>
                <w:sz w:val="14"/>
                <w:szCs w:val="14"/>
                <w:color w:val="auto"/>
              </w:rPr>
              <w:t>September 1995 to</w:t>
            </w:r>
          </w:p>
        </w:tc>
        <w:tc>
          <w:tcPr>
            <w:tcW w:w="47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September 1997.</w:t>
            </w:r>
          </w:p>
        </w:tc>
        <w:tc>
          <w:tcPr>
            <w:tcW w:w="7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DENNIS P. HIMAN</w:t>
            </w:r>
          </w:p>
        </w:tc>
        <w:tc>
          <w:tcPr>
            <w:tcW w:w="74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Appointed Vice President and General Manager, Landscape Contractor Businesses in</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56, Vice President and General Manager,</w:t>
            </w:r>
          </w:p>
        </w:tc>
        <w:tc>
          <w:tcPr>
            <w:tcW w:w="74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August 1998. From January 1996 to August 1998, he served as Vice President,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Landscape Contractor Businesses</w:t>
            </w:r>
          </w:p>
        </w:tc>
        <w:tc>
          <w:tcPr>
            <w:tcW w:w="2540" w:type="dxa"/>
            <w:vAlign w:val="bottom"/>
          </w:tcPr>
          <w:p>
            <w:pPr>
              <w:ind w:left="520"/>
              <w:spacing w:after="0"/>
              <w:rPr>
                <w:sz w:val="20"/>
                <w:szCs w:val="20"/>
                <w:color w:val="auto"/>
              </w:rPr>
            </w:pPr>
            <w:r>
              <w:rPr>
                <w:rFonts w:ascii="Courier New" w:cs="Courier New" w:eastAsia="Courier New" w:hAnsi="Courier New"/>
                <w:sz w:val="14"/>
                <w:szCs w:val="14"/>
                <w:color w:val="auto"/>
              </w:rPr>
              <w:t>Distributor Development</w:t>
            </w:r>
          </w:p>
        </w:tc>
        <w:tc>
          <w:tcPr>
            <w:tcW w:w="4880" w:type="dxa"/>
            <w:vAlign w:val="bottom"/>
          </w:tcPr>
          <w:p>
            <w:pPr>
              <w:ind w:left="40"/>
              <w:spacing w:after="0"/>
              <w:rPr>
                <w:sz w:val="20"/>
                <w:szCs w:val="20"/>
                <w:color w:val="auto"/>
              </w:rPr>
            </w:pPr>
            <w:r>
              <w:rPr>
                <w:rFonts w:ascii="Courier New" w:cs="Courier New" w:eastAsia="Courier New" w:hAnsi="Courier New"/>
                <w:sz w:val="14"/>
                <w:szCs w:val="14"/>
                <w:color w:val="auto"/>
              </w:rPr>
              <w:t>and Mergers/Acquisitions. From October 1987 to January</w:t>
            </w:r>
          </w:p>
        </w:tc>
      </w:tr>
      <w:tr>
        <w:trPr>
          <w:trHeight w:val="166"/>
        </w:trPr>
        <w:tc>
          <w:tcPr>
            <w:tcW w:w="3880" w:type="dxa"/>
            <w:vAlign w:val="bottom"/>
          </w:tcPr>
          <w:p>
            <w:pPr>
              <w:spacing w:after="0"/>
              <w:rPr>
                <w:sz w:val="14"/>
                <w:szCs w:val="14"/>
                <w:color w:val="auto"/>
              </w:rPr>
            </w:pPr>
          </w:p>
        </w:tc>
        <w:tc>
          <w:tcPr>
            <w:tcW w:w="2540" w:type="dxa"/>
            <w:vAlign w:val="bottom"/>
          </w:tcPr>
          <w:p>
            <w:pPr>
              <w:ind w:left="520"/>
              <w:spacing w:after="0"/>
              <w:rPr>
                <w:sz w:val="20"/>
                <w:szCs w:val="20"/>
                <w:color w:val="auto"/>
              </w:rPr>
            </w:pPr>
            <w:r>
              <w:rPr>
                <w:rFonts w:ascii="Courier New" w:cs="Courier New" w:eastAsia="Courier New" w:hAnsi="Courier New"/>
                <w:sz w:val="14"/>
                <w:szCs w:val="14"/>
                <w:color w:val="auto"/>
              </w:rPr>
              <w:t>1996, he served as Vice</w:t>
            </w:r>
          </w:p>
        </w:tc>
        <w:tc>
          <w:tcPr>
            <w:tcW w:w="4880" w:type="dxa"/>
            <w:vAlign w:val="bottom"/>
          </w:tcPr>
          <w:p>
            <w:pPr>
              <w:ind w:left="40"/>
              <w:spacing w:after="0"/>
              <w:rPr>
                <w:sz w:val="20"/>
                <w:szCs w:val="20"/>
                <w:color w:val="auto"/>
              </w:rPr>
            </w:pPr>
            <w:r>
              <w:rPr>
                <w:rFonts w:ascii="Courier New" w:cs="Courier New" w:eastAsia="Courier New" w:hAnsi="Courier New"/>
                <w:sz w:val="14"/>
                <w:szCs w:val="14"/>
                <w:color w:val="auto"/>
              </w:rPr>
              <w:t>President and Treasurer.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MICHAEL J. HOFFMAN</w:t>
            </w:r>
          </w:p>
        </w:tc>
        <w:tc>
          <w:tcPr>
            <w:tcW w:w="17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Appointed Vice</w:t>
            </w:r>
          </w:p>
        </w:tc>
        <w:tc>
          <w:tcPr>
            <w:tcW w:w="1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President and</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General Manager, Consumer Business in May</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2000. From</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45, Vice</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President and General Manager,</w:t>
            </w:r>
          </w:p>
        </w:tc>
        <w:tc>
          <w:tcPr>
            <w:tcW w:w="2980" w:type="dxa"/>
            <w:vAlign w:val="bottom"/>
            <w:gridSpan w:val="4"/>
          </w:tcPr>
          <w:p>
            <w:pPr>
              <w:ind w:left="520"/>
              <w:spacing w:after="0"/>
              <w:rPr>
                <w:sz w:val="20"/>
                <w:szCs w:val="20"/>
                <w:color w:val="auto"/>
              </w:rPr>
            </w:pPr>
            <w:r>
              <w:rPr>
                <w:rFonts w:ascii="Courier New" w:cs="Courier New" w:eastAsia="Courier New" w:hAnsi="Courier New"/>
                <w:sz w:val="14"/>
                <w:szCs w:val="14"/>
                <w:color w:val="auto"/>
              </w:rPr>
              <w:t>November 1997 to April 2000,</w:t>
            </w:r>
          </w:p>
        </w:tc>
        <w:tc>
          <w:tcPr>
            <w:tcW w:w="4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he served as Vice President and General Manager,</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Consumer</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Business</w:t>
            </w:r>
          </w:p>
        </w:tc>
        <w:tc>
          <w:tcPr>
            <w:tcW w:w="1420" w:type="dxa"/>
            <w:vAlign w:val="bottom"/>
          </w:tcPr>
          <w:p>
            <w:pPr>
              <w:ind w:left="520"/>
              <w:spacing w:after="0"/>
              <w:rPr>
                <w:sz w:val="20"/>
                <w:szCs w:val="20"/>
                <w:color w:val="auto"/>
              </w:rPr>
            </w:pPr>
            <w:r>
              <w:rPr>
                <w:rFonts w:ascii="Courier New" w:cs="Courier New" w:eastAsia="Courier New" w:hAnsi="Courier New"/>
                <w:sz w:val="14"/>
                <w:szCs w:val="14"/>
                <w:color w:val="auto"/>
              </w:rPr>
              <w:t>Commercial</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Business. From</w:t>
            </w:r>
          </w:p>
        </w:tc>
        <w:tc>
          <w:tcPr>
            <w:tcW w:w="3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November 1996 to November 1997, he served as</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General</w:t>
            </w:r>
          </w:p>
        </w:tc>
      </w:tr>
      <w:tr>
        <w:trPr>
          <w:trHeight w:val="166"/>
        </w:trPr>
        <w:tc>
          <w:tcPr>
            <w:tcW w:w="7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20" w:type="dxa"/>
            <w:vAlign w:val="bottom"/>
          </w:tcPr>
          <w:p>
            <w:pPr>
              <w:ind w:left="520"/>
              <w:spacing w:after="0"/>
              <w:rPr>
                <w:sz w:val="20"/>
                <w:szCs w:val="20"/>
                <w:color w:val="auto"/>
              </w:rPr>
            </w:pPr>
            <w:r>
              <w:rPr>
                <w:rFonts w:ascii="Courier New" w:cs="Courier New" w:eastAsia="Courier New" w:hAnsi="Courier New"/>
                <w:sz w:val="14"/>
                <w:szCs w:val="14"/>
                <w:color w:val="auto"/>
              </w:rPr>
              <w:t>Manager of</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Commercial</w:t>
            </w:r>
          </w:p>
        </w:tc>
        <w:tc>
          <w:tcPr>
            <w:tcW w:w="3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Division.</w:t>
            </w:r>
          </w:p>
        </w:tc>
        <w:tc>
          <w:tcPr>
            <w:tcW w:w="9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WILLIAM D. HUGHES</w:t>
            </w:r>
          </w:p>
        </w:tc>
        <w:tc>
          <w:tcPr>
            <w:tcW w:w="7420" w:type="dxa"/>
            <w:vAlign w:val="bottom"/>
            <w:gridSpan w:val="5"/>
          </w:tcPr>
          <w:p>
            <w:pPr>
              <w:ind w:left="520"/>
              <w:spacing w:after="0"/>
              <w:rPr>
                <w:sz w:val="20"/>
                <w:szCs w:val="20"/>
                <w:color w:val="auto"/>
              </w:rPr>
            </w:pPr>
            <w:r>
              <w:rPr>
                <w:rFonts w:ascii="Courier New" w:cs="Courier New" w:eastAsia="Courier New" w:hAnsi="Courier New"/>
                <w:sz w:val="14"/>
                <w:szCs w:val="14"/>
                <w:color w:val="auto"/>
              </w:rPr>
              <w:t>Appointed Vice President and General Manager, Irrigation Business in May 2000.</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50, Vice President and General Manager,</w:t>
            </w:r>
          </w:p>
        </w:tc>
        <w:tc>
          <w:tcPr>
            <w:tcW w:w="900" w:type="dxa"/>
            <w:vAlign w:val="bottom"/>
          </w:tcPr>
          <w:p>
            <w:pPr>
              <w:ind w:left="520"/>
              <w:spacing w:after="0"/>
              <w:rPr>
                <w:sz w:val="20"/>
                <w:szCs w:val="20"/>
                <w:color w:val="auto"/>
              </w:rPr>
            </w:pPr>
            <w:r>
              <w:rPr>
                <w:rFonts w:ascii="Courier New" w:cs="Courier New" w:eastAsia="Courier New" w:hAnsi="Courier New"/>
                <w:sz w:val="14"/>
                <w:szCs w:val="14"/>
                <w:color w:val="auto"/>
              </w:rPr>
              <w:t>From</w:t>
            </w:r>
          </w:p>
        </w:tc>
        <w:tc>
          <w:tcPr>
            <w:tcW w:w="1820" w:type="dxa"/>
            <w:vAlign w:val="bottom"/>
          </w:tcPr>
          <w:p>
            <w:pPr>
              <w:ind w:left="60"/>
              <w:spacing w:after="0"/>
              <w:rPr>
                <w:sz w:val="20"/>
                <w:szCs w:val="20"/>
                <w:color w:val="auto"/>
              </w:rPr>
            </w:pPr>
            <w:r>
              <w:rPr>
                <w:rFonts w:ascii="Courier New" w:cs="Courier New" w:eastAsia="Courier New" w:hAnsi="Courier New"/>
                <w:sz w:val="14"/>
                <w:szCs w:val="14"/>
                <w:color w:val="auto"/>
              </w:rPr>
              <w:t>August 1998 to April</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2000, he served</w:t>
            </w:r>
          </w:p>
        </w:tc>
        <w:tc>
          <w:tcPr>
            <w:tcW w:w="3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as Vice President and General Manager,</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Irrigation Business</w:t>
            </w:r>
          </w:p>
        </w:tc>
        <w:tc>
          <w:tcPr>
            <w:tcW w:w="410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Consumer Business. From September 1983 to</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August 1998, he was</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Chairman and Chief</w:t>
            </w:r>
          </w:p>
        </w:tc>
      </w:tr>
      <w:tr>
        <w:trPr>
          <w:trHeight w:val="166"/>
        </w:trPr>
        <w:tc>
          <w:tcPr>
            <w:tcW w:w="3880" w:type="dxa"/>
            <w:vAlign w:val="bottom"/>
          </w:tcPr>
          <w:p>
            <w:pPr>
              <w:spacing w:after="0"/>
              <w:rPr>
                <w:sz w:val="14"/>
                <w:szCs w:val="14"/>
                <w:color w:val="auto"/>
              </w:rPr>
            </w:pPr>
          </w:p>
        </w:tc>
        <w:tc>
          <w:tcPr>
            <w:tcW w:w="27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Operating Officer of Turf</w:t>
            </w:r>
          </w:p>
        </w:tc>
        <w:tc>
          <w:tcPr>
            <w:tcW w:w="3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Equipment and Supply Company, Inc.,</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 distributor of</w:t>
            </w:r>
          </w:p>
        </w:tc>
      </w:tr>
      <w:tr>
        <w:trPr>
          <w:trHeight w:val="166"/>
        </w:trPr>
        <w:tc>
          <w:tcPr>
            <w:tcW w:w="3880" w:type="dxa"/>
            <w:vAlign w:val="bottom"/>
          </w:tcPr>
          <w:p>
            <w:pPr>
              <w:spacing w:after="0"/>
              <w:rPr>
                <w:sz w:val="14"/>
                <w:szCs w:val="14"/>
                <w:color w:val="auto"/>
              </w:rPr>
            </w:pPr>
          </w:p>
        </w:tc>
        <w:tc>
          <w:tcPr>
            <w:tcW w:w="900" w:type="dxa"/>
            <w:vAlign w:val="bottom"/>
          </w:tcPr>
          <w:p>
            <w:pPr>
              <w:ind w:left="520"/>
              <w:spacing w:after="0"/>
              <w:rPr>
                <w:sz w:val="20"/>
                <w:szCs w:val="20"/>
                <w:color w:val="auto"/>
              </w:rPr>
            </w:pPr>
            <w:r>
              <w:rPr>
                <w:rFonts w:ascii="Courier New" w:cs="Courier New" w:eastAsia="Courier New" w:hAnsi="Courier New"/>
                <w:sz w:val="14"/>
                <w:szCs w:val="14"/>
                <w:color w:val="auto"/>
              </w:rPr>
              <w:t>Toro</w:t>
            </w:r>
          </w:p>
        </w:tc>
        <w:tc>
          <w:tcPr>
            <w:tcW w:w="1820" w:type="dxa"/>
            <w:vAlign w:val="bottom"/>
          </w:tcPr>
          <w:p>
            <w:pPr>
              <w:ind w:left="60"/>
              <w:spacing w:after="0"/>
              <w:rPr>
                <w:sz w:val="20"/>
                <w:szCs w:val="20"/>
                <w:color w:val="auto"/>
              </w:rPr>
            </w:pPr>
            <w:r>
              <w:rPr>
                <w:rFonts w:ascii="Courier New" w:cs="Courier New" w:eastAsia="Courier New" w:hAnsi="Courier New"/>
                <w:sz w:val="14"/>
                <w:szCs w:val="14"/>
                <w:color w:val="auto"/>
              </w:rPr>
              <w:t>products.</w:t>
            </w:r>
          </w:p>
        </w:tc>
        <w:tc>
          <w:tcPr>
            <w:tcW w:w="1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380" w:val="left"/>
        </w:tabs>
        <w:rPr>
          <w:sz w:val="20"/>
          <w:szCs w:val="20"/>
          <w:color w:val="auto"/>
        </w:rPr>
      </w:pPr>
      <w:r>
        <w:rPr>
          <w:rFonts w:ascii="Courier New" w:cs="Courier New" w:eastAsia="Courier New" w:hAnsi="Courier New"/>
          <w:sz w:val="14"/>
          <w:szCs w:val="14"/>
          <w:color w:val="auto"/>
        </w:rPr>
        <w:t>RANDY B. JAMES</w:t>
      </w:r>
      <w:r>
        <w:rPr>
          <w:sz w:val="20"/>
          <w:szCs w:val="20"/>
          <w:color w:val="auto"/>
        </w:rPr>
        <w:tab/>
      </w:r>
      <w:r>
        <w:rPr>
          <w:rFonts w:ascii="Courier New" w:cs="Courier New" w:eastAsia="Courier New" w:hAnsi="Courier New"/>
          <w:sz w:val="14"/>
          <w:szCs w:val="14"/>
          <w:color w:val="auto"/>
        </w:rPr>
        <w:t>Appointed Vice President and Controller in December 1988.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57, Vice President and Controller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4720" w:firstLine="258"/>
        <w:spacing w:after="0" w:line="252" w:lineRule="auto"/>
        <w:rPr>
          <w:sz w:val="20"/>
          <w:szCs w:val="20"/>
          <w:color w:val="auto"/>
        </w:rPr>
      </w:pPr>
      <w:r>
        <w:rPr>
          <w:rFonts w:ascii="Courier New" w:cs="Courier New" w:eastAsia="Courier New" w:hAnsi="Courier New"/>
          <w:sz w:val="14"/>
          <w:szCs w:val="14"/>
          <w:color w:val="auto"/>
        </w:rPr>
        <w:t>There are no family relationships between any director, executive officer or person nominated to become a director or executive officer. There are no arrangements or understandings between any executive officer and any other person pursuant to which he or she was selected as an officer.</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1540"/>
          </w:cols>
          <w:pgMar w:left="220" w:top="285" w:right="139"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3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THE REGISTRANT'S COMMON STOCK AND RELATED STOCKHOLDER MATTERS</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Toro Common Stock is listed for trading on the New York Stock Exchange and trades under the symbol "TTC". The high and low sales price for The Toro Company Common Stock and the dividends paid for each of the quarterly periods for fiscal 2000 and fiscal 1999 were as follows:</w:t>
      </w:r>
    </w:p>
    <w:p>
      <w:pPr>
        <w:spacing w:after="0" w:line="328"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Fiscal year ended</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2840" w:val="left"/>
          <w:tab w:leader="none" w:pos="3600" w:val="left"/>
          <w:tab w:leader="none" w:pos="4460" w:val="left"/>
          <w:tab w:leader="none" w:pos="5320" w:val="left"/>
        </w:tabs>
        <w:rPr>
          <w:sz w:val="20"/>
          <w:szCs w:val="20"/>
          <w:color w:val="auto"/>
        </w:rPr>
      </w:pPr>
      <w:r>
        <w:rPr>
          <w:rFonts w:ascii="Courier New" w:cs="Courier New" w:eastAsia="Courier New" w:hAnsi="Courier New"/>
          <w:sz w:val="14"/>
          <w:szCs w:val="14"/>
          <w:color w:val="auto"/>
        </w:rPr>
        <w:t>October 31, 2000</w:t>
      </w:r>
      <w:r>
        <w:rPr>
          <w:sz w:val="20"/>
          <w:szCs w:val="20"/>
          <w:color w:val="auto"/>
        </w:rPr>
        <w:tab/>
      </w: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Market price per share of</w:t>
            </w: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common stock -</w:t>
            </w: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500" w:type="dxa"/>
            <w:vAlign w:val="bottom"/>
          </w:tcPr>
          <w:p>
            <w:pPr>
              <w:ind w:left="440"/>
              <w:spacing w:after="0"/>
              <w:rPr>
                <w:sz w:val="20"/>
                <w:szCs w:val="20"/>
                <w:color w:val="auto"/>
              </w:rPr>
            </w:pPr>
            <w:r>
              <w:rPr>
                <w:rFonts w:ascii="Courier New" w:cs="Courier New" w:eastAsia="Courier New" w:hAnsi="Courier New"/>
                <w:sz w:val="14"/>
                <w:szCs w:val="14"/>
                <w:color w:val="auto"/>
              </w:rPr>
              <w:t>High sales price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$34.25</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$36.1875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$35.000</w:t>
            </w:r>
          </w:p>
        </w:tc>
      </w:tr>
      <w:tr>
        <w:trPr>
          <w:trHeight w:val="166"/>
        </w:trPr>
        <w:tc>
          <w:tcPr>
            <w:tcW w:w="2500" w:type="dxa"/>
            <w:vAlign w:val="bottom"/>
          </w:tcPr>
          <w:p>
            <w:pPr>
              <w:ind w:left="440"/>
              <w:spacing w:after="0"/>
              <w:rPr>
                <w:sz w:val="20"/>
                <w:szCs w:val="20"/>
                <w:color w:val="auto"/>
              </w:rPr>
            </w:pPr>
            <w:r>
              <w:rPr>
                <w:rFonts w:ascii="Courier New" w:cs="Courier New" w:eastAsia="Courier New" w:hAnsi="Courier New"/>
                <w:sz w:val="14"/>
                <w:szCs w:val="14"/>
                <w:color w:val="auto"/>
              </w:rPr>
              <w:t>Low sales price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31.75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29.00</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29.8750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28.125</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Dividends per share of</w:t>
            </w: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common stock</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0.12</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ended</w:t>
      </w:r>
    </w:p>
    <w:p>
      <w:pPr>
        <w:spacing w:after="0" w:line="7" w:lineRule="exact"/>
        <w:rPr>
          <w:sz w:val="20"/>
          <w:szCs w:val="20"/>
          <w:color w:val="auto"/>
        </w:rPr>
      </w:pPr>
    </w:p>
    <w:p>
      <w:pPr>
        <w:spacing w:after="0"/>
        <w:tabs>
          <w:tab w:leader="none" w:pos="2840" w:val="left"/>
          <w:tab w:leader="none" w:pos="3600" w:val="left"/>
          <w:tab w:leader="none" w:pos="4560" w:val="left"/>
          <w:tab w:leader="none" w:pos="5320" w:val="left"/>
        </w:tabs>
        <w:rPr>
          <w:sz w:val="20"/>
          <w:szCs w:val="20"/>
          <w:color w:val="auto"/>
        </w:rPr>
      </w:pPr>
      <w:r>
        <w:rPr>
          <w:rFonts w:ascii="Courier New" w:cs="Courier New" w:eastAsia="Courier New" w:hAnsi="Courier New"/>
          <w:sz w:val="14"/>
          <w:szCs w:val="14"/>
          <w:color w:val="auto"/>
        </w:rPr>
        <w:t>October 31, 1999</w:t>
      </w:r>
      <w:r>
        <w:rPr>
          <w:sz w:val="20"/>
          <w:szCs w:val="20"/>
          <w:color w:val="auto"/>
        </w:rPr>
        <w:tab/>
      </w: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Market price per share</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300" w:type="dxa"/>
            <w:vAlign w:val="bottom"/>
          </w:tcPr>
          <w:p>
            <w:pPr>
              <w:ind w:left="260"/>
              <w:spacing w:after="0"/>
              <w:rPr>
                <w:sz w:val="20"/>
                <w:szCs w:val="20"/>
                <w:color w:val="auto"/>
              </w:rPr>
            </w:pPr>
            <w:r>
              <w:rPr>
                <w:rFonts w:ascii="Courier New" w:cs="Courier New" w:eastAsia="Courier New" w:hAnsi="Courier New"/>
                <w:sz w:val="14"/>
                <w:szCs w:val="14"/>
                <w:color w:val="auto"/>
              </w:rPr>
              <w:t>of common stock -</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300" w:type="dxa"/>
            <w:vAlign w:val="bottom"/>
          </w:tcPr>
          <w:p>
            <w:pPr>
              <w:ind w:left="440"/>
              <w:spacing w:after="0"/>
              <w:rPr>
                <w:sz w:val="20"/>
                <w:szCs w:val="20"/>
                <w:color w:val="auto"/>
              </w:rPr>
            </w:pPr>
            <w:r>
              <w:rPr>
                <w:rFonts w:ascii="Courier New" w:cs="Courier New" w:eastAsia="Courier New" w:hAnsi="Courier New"/>
                <w:sz w:val="14"/>
                <w:szCs w:val="14"/>
                <w:color w:val="auto"/>
              </w:rPr>
              <w:t>High sales price</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$35.1250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$35.3125</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$39.5000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$38.250</w:t>
            </w:r>
          </w:p>
        </w:tc>
      </w:tr>
      <w:tr>
        <w:trPr>
          <w:trHeight w:val="166"/>
        </w:trPr>
        <w:tc>
          <w:tcPr>
            <w:tcW w:w="2300" w:type="dxa"/>
            <w:vAlign w:val="bottom"/>
          </w:tcPr>
          <w:p>
            <w:pPr>
              <w:ind w:left="440"/>
              <w:spacing w:after="0"/>
              <w:rPr>
                <w:sz w:val="20"/>
                <w:szCs w:val="20"/>
                <w:color w:val="auto"/>
              </w:rPr>
            </w:pPr>
            <w:r>
              <w:rPr>
                <w:rFonts w:ascii="Courier New" w:cs="Courier New" w:eastAsia="Courier New" w:hAnsi="Courier New"/>
                <w:sz w:val="14"/>
                <w:szCs w:val="14"/>
                <w:color w:val="auto"/>
              </w:rPr>
              <w:t>Low sales price</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22.1875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28.7500</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32.4375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34.250</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Dividends per share of</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300" w:type="dxa"/>
            <w:vAlign w:val="bottom"/>
          </w:tcPr>
          <w:p>
            <w:pPr>
              <w:ind w:left="260"/>
              <w:spacing w:after="0"/>
              <w:rPr>
                <w:sz w:val="20"/>
                <w:szCs w:val="20"/>
                <w:color w:val="auto"/>
              </w:rPr>
            </w:pPr>
            <w:r>
              <w:rPr>
                <w:rFonts w:ascii="Courier New" w:cs="Courier New" w:eastAsia="Courier New" w:hAnsi="Courier New"/>
                <w:sz w:val="14"/>
                <w:szCs w:val="14"/>
                <w:color w:val="auto"/>
              </w:rPr>
              <w:t>common stock</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0.12</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0.12</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260" w:right="4640"/>
        <w:spacing w:after="0" w:line="250" w:lineRule="auto"/>
        <w:rPr>
          <w:sz w:val="20"/>
          <w:szCs w:val="20"/>
          <w:color w:val="auto"/>
        </w:rPr>
      </w:pPr>
      <w:r>
        <w:rPr>
          <w:rFonts w:ascii="Courier New" w:cs="Courier New" w:eastAsia="Courier New" w:hAnsi="Courier New"/>
          <w:sz w:val="14"/>
          <w:szCs w:val="14"/>
          <w:color w:val="auto"/>
        </w:rPr>
        <w:t>As of January 10, 2001, Toro had approximately 5,850 stockholders of record. The Annual Meeting of Stockholders is scheduled to be held on March 13, 2001,</w:t>
      </w:r>
    </w:p>
    <w:p>
      <w:pPr>
        <w:spacing w:after="0" w:line="1" w:lineRule="exact"/>
        <w:rPr>
          <w:sz w:val="20"/>
          <w:szCs w:val="20"/>
          <w:color w:val="auto"/>
        </w:rPr>
      </w:pPr>
    </w:p>
    <w:p>
      <w:pPr>
        <w:ind w:right="4900"/>
        <w:spacing w:after="0" w:line="250" w:lineRule="auto"/>
        <w:rPr>
          <w:sz w:val="20"/>
          <w:szCs w:val="20"/>
          <w:color w:val="auto"/>
        </w:rPr>
      </w:pPr>
      <w:r>
        <w:rPr>
          <w:rFonts w:ascii="Courier New" w:cs="Courier New" w:eastAsia="Courier New" w:hAnsi="Courier New"/>
          <w:sz w:val="14"/>
          <w:szCs w:val="14"/>
          <w:color w:val="auto"/>
        </w:rPr>
        <w:t>at 3:00 p.m. (CST) at The Toro Company Corporate Offices, 8111 Lyndale Avenue South, Bloomington, Minnesota, 55420-1196.</w:t>
      </w:r>
    </w:p>
    <w:p>
      <w:pPr>
        <w:spacing w:after="0" w:line="1" w:lineRule="exact"/>
        <w:rPr>
          <w:sz w:val="20"/>
          <w:szCs w:val="20"/>
          <w:color w:val="auto"/>
        </w:rPr>
      </w:pPr>
    </w:p>
    <w:p>
      <w:pPr>
        <w:ind w:right="4820" w:firstLine="258"/>
        <w:spacing w:after="0" w:line="251" w:lineRule="auto"/>
        <w:rPr>
          <w:sz w:val="20"/>
          <w:szCs w:val="20"/>
          <w:color w:val="auto"/>
        </w:rPr>
      </w:pPr>
      <w:r>
        <w:rPr>
          <w:rFonts w:ascii="Courier New" w:cs="Courier New" w:eastAsia="Courier New" w:hAnsi="Courier New"/>
          <w:sz w:val="14"/>
          <w:szCs w:val="14"/>
          <w:color w:val="auto"/>
        </w:rPr>
        <w:t>Although the company intends to declare cash dividends on a quarterly basis in the future, the determination as to the payment and the amount of any cash dividend will depend upon the company's then current financial condition, capital requirements, results of operations, and other factors deemed relevant by the company's board of directors.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 SELECTED FINANCIAL DATA</w:t>
      </w:r>
    </w:p>
    <w:p>
      <w:pPr>
        <w:spacing w:after="0" w:line="338"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thousands, except per share data)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w:t>
            </w:r>
          </w:p>
        </w:tc>
        <w:tc>
          <w:tcPr>
            <w:tcW w:w="132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1999</w:t>
            </w:r>
          </w:p>
        </w:tc>
        <w:tc>
          <w:tcPr>
            <w:tcW w:w="17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1998(1)</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1997(2)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1,336,924</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7"/>
              </w:rPr>
              <w:t>1,274,997</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1,110,434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1,051,204</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930,909</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Gross profit percentage</w:t>
            </w:r>
          </w:p>
        </w:tc>
        <w:tc>
          <w:tcPr>
            <w:tcW w:w="460" w:type="dxa"/>
            <w:vAlign w:val="bottom"/>
          </w:tcPr>
          <w:p>
            <w:pPr>
              <w:spacing w:after="0"/>
              <w:rPr>
                <w:sz w:val="14"/>
                <w:szCs w:val="14"/>
                <w:color w:val="auto"/>
              </w:rPr>
            </w:pP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36.8%</w:t>
            </w:r>
          </w:p>
        </w:tc>
        <w:tc>
          <w:tcPr>
            <w:tcW w:w="3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36.0%</w:t>
            </w:r>
          </w:p>
        </w:tc>
        <w:tc>
          <w:tcPr>
            <w:tcW w:w="48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34.6%</w:t>
            </w:r>
          </w:p>
        </w:tc>
        <w:tc>
          <w:tcPr>
            <w:tcW w:w="48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36.9%</w:t>
            </w: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36.7%</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Earnings from operations(3)</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97,205</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74,888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23,716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72,347</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63,439</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4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26,414</w:t>
            </w:r>
          </w:p>
        </w:tc>
        <w:tc>
          <w:tcPr>
            <w:tcW w:w="3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23,913</w:t>
            </w:r>
          </w:p>
        </w:tc>
        <w:tc>
          <w:tcPr>
            <w:tcW w:w="48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25,428</w:t>
            </w:r>
          </w:p>
        </w:tc>
        <w:tc>
          <w:tcPr>
            <w:tcW w:w="4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19,900</w:t>
            </w:r>
          </w:p>
        </w:tc>
        <w:tc>
          <w:tcPr>
            <w:tcW w:w="3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13,590</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Net earnings, before extraordinary loss</w:t>
            </w:r>
          </w:p>
        </w:tc>
        <w:tc>
          <w:tcPr>
            <w:tcW w:w="4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45,285</w:t>
            </w:r>
          </w:p>
        </w:tc>
        <w:tc>
          <w:tcPr>
            <w:tcW w:w="3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35,059</w:t>
            </w:r>
          </w:p>
        </w:tc>
        <w:tc>
          <w:tcPr>
            <w:tcW w:w="48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4,090</w:t>
            </w:r>
          </w:p>
        </w:tc>
        <w:tc>
          <w:tcPr>
            <w:tcW w:w="4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36,508</w:t>
            </w:r>
          </w:p>
        </w:tc>
        <w:tc>
          <w:tcPr>
            <w:tcW w:w="3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36,409</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Percentage of net sales</w:t>
            </w:r>
          </w:p>
        </w:tc>
        <w:tc>
          <w:tcPr>
            <w:tcW w:w="460" w:type="dxa"/>
            <w:vAlign w:val="bottom"/>
          </w:tcPr>
          <w:p>
            <w:pPr>
              <w:spacing w:after="0"/>
              <w:rPr>
                <w:sz w:val="14"/>
                <w:szCs w:val="14"/>
                <w:color w:val="auto"/>
              </w:rPr>
            </w:pP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3.4%</w:t>
            </w:r>
          </w:p>
        </w:tc>
        <w:tc>
          <w:tcPr>
            <w:tcW w:w="3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w:t>
            </w:r>
          </w:p>
        </w:tc>
        <w:tc>
          <w:tcPr>
            <w:tcW w:w="48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w:t>
            </w:r>
          </w:p>
        </w:tc>
        <w:tc>
          <w:tcPr>
            <w:tcW w:w="48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w:t>
            </w: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Net earnings(4)</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45,285</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35,059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4,090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34,845</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36,409</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Basic earnings per share(4)</w:t>
            </w:r>
          </w:p>
        </w:tc>
        <w:tc>
          <w:tcPr>
            <w:tcW w:w="4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3.55</w:t>
            </w:r>
          </w:p>
        </w:tc>
        <w:tc>
          <w:tcPr>
            <w:tcW w:w="3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2.72</w:t>
            </w:r>
          </w:p>
        </w:tc>
        <w:tc>
          <w:tcPr>
            <w:tcW w:w="48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0.32</w:t>
            </w:r>
          </w:p>
        </w:tc>
        <w:tc>
          <w:tcPr>
            <w:tcW w:w="4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2.88</w:t>
            </w:r>
          </w:p>
        </w:tc>
        <w:tc>
          <w:tcPr>
            <w:tcW w:w="3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3.00</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Dilutive earnings per share(4)</w:t>
            </w:r>
          </w:p>
        </w:tc>
        <w:tc>
          <w:tcPr>
            <w:tcW w:w="4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w:t>
            </w:r>
          </w:p>
        </w:tc>
        <w:tc>
          <w:tcPr>
            <w:tcW w:w="3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2.64</w:t>
            </w:r>
          </w:p>
        </w:tc>
        <w:tc>
          <w:tcPr>
            <w:tcW w:w="48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0.31</w:t>
            </w:r>
          </w:p>
        </w:tc>
        <w:tc>
          <w:tcPr>
            <w:tcW w:w="4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2.80</w:t>
            </w:r>
          </w:p>
        </w:tc>
        <w:tc>
          <w:tcPr>
            <w:tcW w:w="3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Return on average stockholders' equity</w:t>
            </w:r>
          </w:p>
        </w:tc>
        <w:tc>
          <w:tcPr>
            <w:tcW w:w="460" w:type="dxa"/>
            <w:vAlign w:val="bottom"/>
          </w:tcPr>
          <w:p>
            <w:pPr>
              <w:spacing w:after="0"/>
              <w:rPr>
                <w:sz w:val="14"/>
                <w:szCs w:val="14"/>
                <w:color w:val="auto"/>
              </w:rPr>
            </w:pP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15.2%</w:t>
            </w:r>
          </w:p>
        </w:tc>
        <w:tc>
          <w:tcPr>
            <w:tcW w:w="3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12.9%</w:t>
            </w:r>
          </w:p>
        </w:tc>
        <w:tc>
          <w:tcPr>
            <w:tcW w:w="48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w:t>
            </w:r>
          </w:p>
        </w:tc>
        <w:tc>
          <w:tcPr>
            <w:tcW w:w="48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15.3%</w:t>
            </w: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18.0%</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779,390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787,178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723,991</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661,634</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496,877</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4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194,495</w:t>
            </w:r>
          </w:p>
        </w:tc>
        <w:tc>
          <w:tcPr>
            <w:tcW w:w="3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196,237</w:t>
            </w:r>
          </w:p>
        </w:tc>
        <w:tc>
          <w:tcPr>
            <w:tcW w:w="48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197,424</w:t>
            </w:r>
          </w:p>
        </w:tc>
        <w:tc>
          <w:tcPr>
            <w:tcW w:w="4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178,015</w:t>
            </w:r>
          </w:p>
        </w:tc>
        <w:tc>
          <w:tcPr>
            <w:tcW w:w="3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53,365</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4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317,218</w:t>
            </w:r>
          </w:p>
        </w:tc>
        <w:tc>
          <w:tcPr>
            <w:tcW w:w="3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279,663</w:t>
            </w:r>
          </w:p>
        </w:tc>
        <w:tc>
          <w:tcPr>
            <w:tcW w:w="48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263,399</w:t>
            </w:r>
          </w:p>
        </w:tc>
        <w:tc>
          <w:tcPr>
            <w:tcW w:w="4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241,163</w:t>
            </w:r>
          </w:p>
        </w:tc>
        <w:tc>
          <w:tcPr>
            <w:tcW w:w="3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213,567</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Debt to capitalization ratio</w:t>
            </w:r>
          </w:p>
        </w:tc>
        <w:tc>
          <w:tcPr>
            <w:tcW w:w="460" w:type="dxa"/>
            <w:vAlign w:val="bottom"/>
          </w:tcPr>
          <w:p>
            <w:pPr>
              <w:spacing w:after="0"/>
              <w:rPr>
                <w:sz w:val="14"/>
                <w:szCs w:val="14"/>
                <w:color w:val="auto"/>
              </w:rPr>
            </w:pP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39.4%</w:t>
            </w:r>
          </w:p>
        </w:tc>
        <w:tc>
          <w:tcPr>
            <w:tcW w:w="3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47.5%</w:t>
            </w:r>
          </w:p>
        </w:tc>
        <w:tc>
          <w:tcPr>
            <w:tcW w:w="48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46.4%</w:t>
            </w:r>
          </w:p>
        </w:tc>
        <w:tc>
          <w:tcPr>
            <w:tcW w:w="48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47.6%</w:t>
            </w: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30.7%</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Dividends per share of common stock</w:t>
            </w:r>
          </w:p>
        </w:tc>
        <w:tc>
          <w:tcPr>
            <w:tcW w:w="4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w:t>
            </w:r>
          </w:p>
        </w:tc>
        <w:tc>
          <w:tcPr>
            <w:tcW w:w="3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.48</w:t>
            </w:r>
          </w:p>
        </w:tc>
        <w:tc>
          <w:tcPr>
            <w:tcW w:w="48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.48</w:t>
            </w:r>
          </w:p>
        </w:tc>
        <w:tc>
          <w:tcPr>
            <w:tcW w:w="4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w:t>
            </w:r>
          </w:p>
        </w:tc>
        <w:tc>
          <w:tcPr>
            <w:tcW w:w="3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right="4900" w:hanging="432"/>
        <w:spacing w:after="0" w:line="250"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consolidated financial statements include results of operations of Exmark from November 1, 1997, and Drip In from February 1, 1998, the dates of acquisition.</w:t>
      </w:r>
    </w:p>
    <w:p>
      <w:pPr>
        <w:spacing w:after="0" w:line="1" w:lineRule="exact"/>
        <w:rPr>
          <w:rFonts w:ascii="Courier New" w:cs="Courier New" w:eastAsia="Courier New" w:hAnsi="Courier New"/>
          <w:sz w:val="14"/>
          <w:szCs w:val="14"/>
          <w:color w:val="auto"/>
        </w:rPr>
      </w:pPr>
    </w:p>
    <w:p>
      <w:pPr>
        <w:ind w:left="440" w:right="4720" w:hanging="432"/>
        <w:spacing w:after="0" w:line="250"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consolidated financial statements include results of operations of the James Hardie Irrigation Group from December 1, 1996, the date of acquisition.</w:t>
      </w:r>
    </w:p>
    <w:p>
      <w:pPr>
        <w:spacing w:after="0" w:line="1" w:lineRule="exact"/>
        <w:rPr>
          <w:rFonts w:ascii="Courier New" w:cs="Courier New" w:eastAsia="Courier New" w:hAnsi="Courier New"/>
          <w:sz w:val="14"/>
          <w:szCs w:val="14"/>
          <w:color w:val="auto"/>
        </w:rPr>
      </w:pPr>
    </w:p>
    <w:p>
      <w:pPr>
        <w:ind w:left="440" w:right="4640" w:hanging="432"/>
        <w:spacing w:after="0" w:line="250"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1999, 1998, and 1997 earnings from operations include net restructuring and other unusual expense of $1.7 million, $15.0 million, and $2.6 million, respectively.</w:t>
      </w:r>
    </w:p>
    <w:p>
      <w:pPr>
        <w:spacing w:after="0" w:line="1" w:lineRule="exact"/>
        <w:rPr>
          <w:rFonts w:ascii="Courier New" w:cs="Courier New" w:eastAsia="Courier New" w:hAnsi="Courier New"/>
          <w:sz w:val="14"/>
          <w:szCs w:val="14"/>
          <w:color w:val="auto"/>
        </w:rPr>
      </w:pPr>
    </w:p>
    <w:p>
      <w:pPr>
        <w:ind w:left="440" w:right="4720" w:hanging="432"/>
        <w:spacing w:after="0" w:line="252"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1997 net earnings, basic and dilutive earnings per share data includes an extraordinary loss on early retirement of debt of $1.7 million or $0.13 per dilutive share.</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1540"/>
          </w:cols>
          <w:pgMar w:left="220" w:top="285" w:right="139" w:bottom="425"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338" w:lineRule="exact"/>
        <w:rPr>
          <w:sz w:val="20"/>
          <w:szCs w:val="20"/>
          <w:color w:val="auto"/>
        </w:rPr>
      </w:pPr>
    </w:p>
    <w:p>
      <w:pPr>
        <w:ind w:left="700" w:right="3419" w:hanging="688"/>
        <w:spacing w:after="0" w:line="255"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Included in this analysis are statements that are forward-looking. Statements that are not historical are forward-looking and involve risks and uncertainties discussed under the caption "Forward-Looking Statements" in Item 1 of this Annual Report on Form 10-K.</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Toro's financial results for fiscal 2000 demonstrated a solid performance after its recovery year in fiscal 1999, with a substantial increase in profits on overall modest sales growth. Net sales increased 4.9 percent and net earnings increased 29.2 percent over fiscal 1999. The professional segment, which makes up 65 percent of total consolidated sales, continued to perform well in fiscal 2000, led by significant increases in shipments to the landscape contractor market and higher sales of commercial equipment. Financial performance of this segment was somewhat offset by challenges faced in the irrigation businesses. Residential segment operating profitability improved substantially in fiscal 2000 on a slight sales decrease. The sales decrease was due to reduced volume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resulting from the divestiture and discontinuance of nonperforming product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lines and Toro distributors' and dealers' management of field inventory to lower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levels. The other segment net sales increased substantially due primarily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 of revenue from two distributorships acquired in the second half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calendar 1999. International sales rose 7.4 percent for the year due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continued growth of demand in the European and Canadian regions. Disregarding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currency effects, international sales increased 10.3 percent for the year.</w:t>
      </w:r>
    </w:p>
    <w:p>
      <w:pPr>
        <w:spacing w:after="0" w:line="7"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Overall, the outlook for fiscal year 2001 is positive. In May 2000, Toro announced a new profit improvement program called "5 by Five." The goal of this program is to achieve an after tax return on sales of 5 percent by fiscal 2003. The major initiatives to achieve this goal include: revising and transforming how Toro manufactures, purchases, distributes, markets, and services products; improving or discontinuing low performing product lines; and reviewing the company's expense structure to eliminate low-value activities. This long-term strategy is designed to inject `New Economy' efficiencies and ideas through restructuring, business redefinition, and process improvement.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SALES</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FISCAL 2000 COMPARED WITH FISCAL 1999 - Worldwide net sales in fiscal 2000 were $1,336.9 million compared to $1,275.0 million in fiscal 1999, an increase of 4.9 percent. The following is a discussion of net sales by segment:</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Professional. Net sales for the worldwide professional segment in fiscal 2000 were $868.5 million compared to $807.4 million in fiscal 1999, an increase of 7.6 percent. Worldwide sales to the landscape contractor market led this increase with higher volume shipments for both Toro and Exmark brand mowers and the Sitework Systems product line. The landscape contractor market continued its growth trend in fiscal 2000 due to a continued rise in outsourcing lawn maintenance needs and favorable weather conditions that extended the mowing season. Worldwide shipments of golf and grounds maintenance equipment were also up, mainly due to customer acceptance of new products and continued growth of the golf market, although the number of new course projects was not as robust as a year ago. The company continues to do well in the new golf market but is also developing a new marketing focus on golf course remodeling and renovations, with an emphasis on irrigation products. Offsetting those increases was a decline in golf irrigation system sales and residential/commercial irrigation product sales due mainly to product quality problems and a slow down in new golf course construction. Worldwide agricultural irrigation sales were also down due to pricing pressures from competitors. The company has taken aggressive corrective action to address product design and manufacturing problems in the irrigation and worldwide agricultural irrigation areas, including reorganization, management changes, planned introduction of new products in fiscal 2001, and development and implementation of new processes to improve product quality and manufacturing.</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Residential. Net sales for the worldwide residential segment in fiscal 2000 were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$429.5 million compared to $447.9 million in fiscal 1999, a decrease of 4.1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 The decline was due mainly to reduced volume resulting from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divestiture and discontinuance of nonperforming outdoor lighting and gas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hand-held product lines. Sales were down by only 0.4 percent after factoring out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from these nonperforming product lines. Lower domestic unit shipments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were also a cause of this decline, while sales to the international markets were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 due to the successful introduction of new products. Domestic walk power mower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shipments were down due to reduced placement in some home centers' regions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field inventory management at Toro's distributors and dealers. In addition,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was more difficult because last year's sales levels were unusually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high for initial stocking orders from home center outlets, a new distribution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channel in fiscal 1999 for the Toro brand of walk power mowers. Domestic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snowthrower shipments were also lower due to higher distributor and dealer field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inventory levels entering the 2000-2001 winter season compared to unusually low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field inventories entering fiscal 1999. This reduction was somewhat offset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sales generated from the introduction of Toro brand gas snowthrowers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into the home center distribution channel nationwide. Although retail demand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most riding product lines increased over last year, domestic riding product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were down due to</w:t>
      </w:r>
    </w:p>
    <w:p>
      <w:pPr>
        <w:sectPr>
          <w:pgSz w:w="11900" w:h="16838" w:orient="portrait"/>
          <w:cols w:equalWidth="0" w:num="1">
            <w:col w:w="10239"/>
          </w:cols>
          <w:pgMar w:left="220" w:top="285" w:right="1440" w:bottom="922" w:gutter="0" w:footer="0" w:header="0"/>
        </w:sectPr>
      </w:pP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922"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33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field inventory management at Toro's distributors and dealers and continued strong competition for lower-priced units. This downturn was somewhat offset by higher shipments of products manufactured for a third party, which had low field inventory levels entering fiscal 2000. Offsetting those decreases were higher shipments of home solutions products, including trimmers, blowers, and blower vacuums, due to expanded outlets and placement at mass retailers. Do-it-yourself (DIY) irrigation product sales also increased due to expanded outlets and introduction of new products. However, this increase was partially offset by lower sales in the southern U.S. regions due to water restrictions and field inventory management by key customers.</w:t>
      </w:r>
    </w:p>
    <w:p>
      <w:pPr>
        <w:spacing w:after="0" w:line="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Field inventory levels at Toro's distributors and dealers were lower for riding products and walk power mowers due to continuing efforts to manage down field inventory levels in order to reduce floor plan financing costs. Snowthrower field inventory levels, however, were higher compared to the historically low field inventory levels at October 31, 1999 that had resulted from heavy snowfall in certain key markets during the winter of 1998-1999. Therefore, the company anticipates its first quarter of fiscal 2001 snowthrower product sales will be significantly lower than in the first quarter of 2000 due to higher field inventory levels entering fiscal 2001. However, due to the large amounts of snowfall in the first quarter of fiscal 2001, the company anticipates higher snowthrower sales in the fourth quarter of fiscal 2001 compared to the fourth quarter of fiscal 2000.</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Other. Net sales for the other segment in fiscal 2000 were $38.9 million compared to $19.7 million in fiscal 1999, an increase of 97.2 percent. Net sales in this segment include sales from Toro's wholly owned domestic distribution companies less sales from the professional and residential segments to those distribution companies. These distribution companies sell Toro and non-Toro manufactured products. The significant increase resulted from additional sales contributed by two distribution companies acquired in late calendar 1999.</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FISCAL 1999 COMPARED WITH FISCAL 1998 - Worldwide net sales in fiscal 1999 were $1,275.0 million compared to $1,110.4 million in fiscal 1998, an increase of 14.8 percent. The following is a discussion of net sales by segment:</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Professional. Net sales for the professional segment in fiscal 1999 were $807.4 million compared to $706.8 million in fiscal 1998, an increase of 14.2 percent. The sales increase was mainly due to increased volume arising from the rapidly growing landscape contractor market and acceptance of new products introduced in fiscal 1998. Toro's dual branding strategy of Toro and Exmark products has increased market share by providing broader coverage of that market. Sales for Toro's Sitework Systems product line increased significantly in fiscal 1999 after its introduction in fiscal 1998 due to growing market reception as well as sales through new dealer outlets. In fiscal 1999, this product was also introduced into the international market, primarily in Europe. Worldwide sales of both new and replacement golf course equipment and irrigation systems increased due to continued growth and popularity of the game of golf that led to the increase in the number of golf courses over the past few years. Sales to the worldwide grounds care market were also strong during fiscal 1999 because of strong customer acceptance of new products. Sales of Irritrol Systems brand irrigation products increased because of dry weather in fiscal 1999 in many of Irritrol's markets. Toro branded irrigation product sales for the residential/ commercial market were also above fiscal 1998 due to dry weather conditions in key markets and new marketing programs designed to improve market share. Sales to the worldwide agricultural irrigation market grew in fiscal 1999 mainly due to the addition of sales from Drip In agricultural micro-irrigation products, acquired in the second quarter of fiscal 1998, plus increased sales for Aqua-TraXX drip tape.</w:t>
      </w:r>
    </w:p>
    <w:p>
      <w:pPr>
        <w:spacing w:after="0" w:line="341"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Residential. Net sales for the worldwide residential segment in fiscal 1999 were $447.9 million compared to $397.5 million in fiscal 1998, an increase of 12.7 percent. Domestic sales of Toro walk power mowers nearly doubled from fiscal 1998 due to positive reception of the new Toro Personal Pace lawn mower, slight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increases on select products, and the addition of sales through 1,600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home center outlets, a new distribution channel for Toro brand walk power mowers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fiscal 1999. DIY irrigation product sales were also up due to dry weather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key Sun Belt markets, better availability of product, and more shelf space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 home centers. This increase was offset by weak sales of DIY irrigation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 in Australia due to wet weather conditions in the early part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season. Sales of electric home solutions products also did well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due to warm fall weather in 1998 that extended the selling season into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quarter of fiscal 1999, as well as additional placement and expanded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outlets. Worldwide snowthrower sales increased substantially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abnormally low sales in fiscal 1998, due to the heavy snowfall in the winter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1998-1999 that depleted field inventories to historically low levels.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 the timing of snowthrower shipments, which were moved from the fourth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 of fiscal 1998 to the first quarter of fiscal 1999, also contributed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increase. Offsetting those increases were lower worldwide shipments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riding products due to dry weather in key markets, continued slow retail demand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 new garden tractor, and lower shipments of riding products manufactured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 third party due to their soft retail sales and their management of field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inventory levels. Lawn-Boy walk power mower sales also decreased compared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1998 due in part to dry weather conditions experienced in certain key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markets and some movement of sales away from Lawn-Boy to the Toro brand after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introducing Toro walk power mowers into the home center channel.</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088"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200" w:lineRule="exact"/>
        <w:rPr>
          <w:sz w:val="20"/>
          <w:szCs w:val="20"/>
          <w:color w:val="auto"/>
        </w:rPr>
      </w:pPr>
    </w:p>
    <w:p>
      <w:pPr>
        <w:spacing w:after="0" w:line="30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Other. Net sales for the other segment in fiscal 1999 were $19.7 million compared to $6.1 million in fiscal 1998, an increase of 223.8 percent. The sales increase was mainly due to additional volume arising from the acquisition of a Midwestern-based distributor in the first half of fiscal 1999.</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PROFIT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FISCAL 2000 COMPARED WITH FISCAL 1999 - Gross profit was $492.1 million in fiscal 2000 compared to $459.6 million in fiscal 1999, an increase of 7.1 percent. As a percentage of net sales, gross profit was 36.8 percent in fiscal 2000 compared to 36.0 percent in fiscal 1999. The increase in gross profit was due primarily to improvement in margins in the residential segment resulting from increased sales of higher margin products, discontinuance of non-performing product lines, and cost reductions for certain residential segment products, as well as additional gross profit contribution from the company-owned domestic distribution companies. Gross profit also improved on a comparative basis because fiscal 1999 reflected the elimination of gross profit previously recorded with respect to sales of Toro products to three Toro distributors that the company acquired. Fiscal 2000 reflects a similar reversal of gross profit for only one acquired Toro distributor. Partially offsetting those positive factors was lower gross profit for irrigation and agricultural irrigation products because of price increases for raw materials and competitive pricing pressures in the agricultural irrigation market.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FISCAL 1999 COMPARED WITH FISCAL 1998 - Gross profit was $459.6 million in fiscal 1999 compared to $384.3 million in fiscal 1998, an increase of 19.6 percent. As a percentage of net sales, gross profit was 36.0 percent in fiscal 1999 compared to 34.6 percent in fiscal 1998. The increase in gross profit resulted primarily from higher margins for the residential segment due to improved manufacturing processes at the company's El Paso, Texas facility, which helped lower expenses as well as reduced costs for certain products, and slight price increases in fiscal 1999 for certain products. This increase was slightly offset by the reversal of gross profit previously recorded with respect to sales of Toro products to three Toro distributors. During fiscal 1999, Toro acquired two of these distributors and signed an irrevocable agreement to purchase the other.</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GENERAL, AND ADMINISTRATIVE EXPENSE (SG&amp;A)</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FISCAL 2000 COMPARED WITH FISCAL 1999 - SG&amp;A expense was $394.9 million in fiscal 2000 compared to $383.0 million in fiscal 1999, an increase of 3.1 percent. As a percentage of net sales, SG&amp;A decreased to 29.5 percent from 30.0 percent in fiscal 1999. The acquisition of two distribution companies added $7.7 million of incremental SG&amp;A expense. Without the addition of these two distribution companies, SG&amp;A expense would have increased only $4.2 million and decreased 0.8 percent as a percentage of net sales. The dollar increase was due to higher levels of spending for marketing, warranty, engineering, service, Internet-based projects, severance costs in the irrigation businesses, and currency support expense due to the strengthening of the U.S. dollar in fiscal 2000. Those increases were slightly offset by lower total levels of incentive compensation costs compared to a higher level of benefits paid in 1999 for performance against goals, decreased expense for information services, and reduced insurance costs related to better than expected claims experience.</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FISCAL 1999 COMPARED WITH FISCAL 1998 - SG&amp;A expense was $383.0 million in fiscal 1999 compared to $345.6 million in fiscal 1998, an increase of 10.8 percent. As a percentage of net sales, SG&amp;A decreased to 30.0 percent from 31.1 percent in fiscal 1998. The addition of a Midwestern-based distributor acquired in fiscal 1999 contributed $7.3 million of incremental SG&amp;A expense during fiscal 1999. The dollar increase is mainly due to increases for marketing expenses, warehousing costs, and warranty expenses due to higher sales levels. Incentive compensation expenses rose substantially with the improved financial performance of the company in fiscal 1999, on which incentive compensation is based. Information systems costs were higher due to the continued implementation of an enterprise-wide software system and additional investments in the development of Internet applications.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 AND OTHER UNUSUAL EXPENSE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Fiscal 1999 Compared With Fiscal 1998 - Restructuring and other unusual expense was $1.7 million in fiscal 1999 compared to $15.0 million in fiscal 1998. The restructuring expense in fiscal 1999 included a charge of $3.1 million for asset write-downs and severance costs for management, sales force changes, and plant employees related to the closure of the company's Murray Bridge, Australia manufacturing facility. Offsetting that increase was a $1.4 million reduction in other unusual expense related to the reversal for the unused portion of the one-time residential segment marketing programs accrued in fiscal 1998.</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Fiscal 2000 Compared With Fiscal 1999 - Interest expense was $26.4 million in fiscal 2000 compared to $23.9 million in fiscal 1999, an increase of 10.5 percent. This increase was due to higher average short-term debt related to higher levels of working capital as well as higher interest rates paid on short-term debt in fiscal 2000 compared to fiscal 1999.</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FISCAL 1999 COMPARED WITH FISCAL 1998 - Interest expense was $23.9 million in fiscal 1999 compared to $25.4 million in fiscal 1998, a decrease of 6.0 percent. This decrease was due to lower average debt in fiscal 1999 compared to fiscal 1998 as a result of improved asset management.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757"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NET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FISCAL 2000 COMPARED WITH FISCAL 1999 - Other income, net was $1.1 million in fiscal 2000 compared to $6.5 million in fiscal 1999. This decline was due to continued higher amounts of foreign currency losses related to the euro and Australian dollar, a valuation charge related to the write-down of an investment in a technology company, and lower levels of interest income. Somewhat offsetting the decrease were higher levels of finance charge revenue and proceeds from an insurance recovery related to a flood that damaged product at a warehouse.</w:t>
      </w:r>
    </w:p>
    <w:p>
      <w:pPr>
        <w:spacing w:after="0" w:line="33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FISCAL 1999 COMPARED WITH FISCAL 1998 - Other income, net was $6.5 million in fiscal 1999 compared to $8.5 million in fiscal 1998. Higher amounts of foreign currency losses in fiscal 1999 accounted for the decline, as did the higher base in fiscal 1998 resulting from a favorable settlement of a trade secret lawsuit and recoveries of previously written-off notes receivable. These decreases were partially offset by a payment for the sale of the residential lighting business and higher levels of interest income.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EARNINGS (LOSS) BY SEGMENT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Operating earnings (loss) by segment is defined as earnings (loss) from operations plus other income, net for the residential and professional segments. The other segment operating loss includes earnings (loss) from operations, corporate activities, other income, net, and interest expense.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2000 COMPARED WITH FISCAL 1999 -</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Professional. Operating earnings in fiscal 2000 were $99.4 million compared to $112.9 million in fiscal 1999, a decrease of 12.0 percent. As a percentage of net sales, professional segment operating margins decreased to 11.4 percent from 14.0 percent in fiscal 1999. Gross margin as a percent of sales fell 1.7 percent mainly because of increased costs for resin that were not recaptured with price increases due to competitive pressures for irrigation and agricultural irrigation products. The decline in operating profit was also due to increased levels of warranty expense related to special reserves for product modifications and lower sales of irrigation systems in fiscal 2000 compared to fiscal 1999. In addition, higher levels of foreign currency losses and a valuation charge for an investment in a technology company, slightly offset by a gain from an insurance recovery, contributed to the decline.</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Residential. Operating earnings in fiscal 2000 were $35.7 million compared to $21.2 million in fiscal 1999, an increase of 68.5 percent. As a percentage of net sales, residential segment operating margins increased to 8.3 percent from 4.7 percent in fiscal 1999. Gross margin rose 2.6 percent as a percentage of net sales due to increased sales of higher margin products, reduced costs for some products, and the elimination of non-performing product lines. Also contributing to the increase in operating profits was a 1.0 percent decline in SG&amp;A expense and restructuring and other unusual expense as a percentage of net sales. In addition, Australian operations are beginning to realize the benefit of profit improvement programs implemented during the second half of fiscal 1999.</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Other. Operating loss in fiscal 2000 was $63.3 million compared to $76.7 million in fiscal 1999. The $13.4 million improvement resulted from the addition of profits from two company-owned distributors acquired during the second half of calendar 1999, lower expense for information services, and lower incentive compensation costs. The prior year also included the elimination of gross profit previously recorded with respect to sales of Toro products to three acquired Toro distributors, while fiscal 2000 reflects the same adjustment for only one newly acquired Toro distributor. Slightly offsetting these improvements were higher interest costs and increased spending for Internet-based projects.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1999 COMPARED WITH FISCAL 1998 -</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Professional. Operating earnings in fiscal 1999 were $112.9 million compared to $78.3 million in fiscal 1998, an increase of 44.3 percent. As a percentage of net sales, professional segment operating margins were 14.0 percent in fiscal 1999 compared to 11.1 percent in fiscal 1998. This profit improvement resulted from increased sales, higher gross margins mainly from improved manufacturing processes at the El Paso, Texas facility that helped reduce costs, lower levels of restructuring and other unusual expense, and the sale of unprofitable product lines.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Residential. Operating earnings in fiscal 1999 were $21.2 million compared to a loss of $15.1 million in fiscal 1998. This improvement resulted from increased volume, improved manufacturing processes at the company's El Paso, Texas facility that helped reduce costs, and lower levels of restructuring and other unusual expense. Overall, the residential segment recovery plans put in place in fiscal 1998 resulted in significantly improved operating results for fiscal 1999 and beyond.</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Other. Operating loss in fiscal 1999 was $76.7 million compared to $56.4 million in fiscal 1998. This increase was due to higher incentive compensation expenses and information systems costs as well as the reversal of gross profit previously recorded with respect to sales of Toro products to three Toro acquired distributors, as discussed previously.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FOR TAXES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FISCAL 2000 COMPARED WITH FISCAL 1999 - The effective tax rate for fiscal 2000 was 37.0 percent compared to 39.0 percent for fiscal 1999. The reduction is due primarily to a decrease in the company's effective state tax rate. The company has determined that it is not necessary to establish a valuation reserve for deferred income tax benefit because it believes that the net deferred income tax asset of $49.6 million will be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94"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realized principally through carrybacks to taxable income in prior years, future reversals of existing taxable temporary differences and, to a lesser extent, future taxable income.</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FISCAL 1999 COMPARED WITH FISCAL 1998 - The effective tax rate for fiscal 1999 was 39.0 percent compared to 39.5 percent in fiscal 1998. The decline in the tax rate was due to an increase in benefits received from the company's foreign sales corporation.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EARNINGS</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FISCAL 2000 COMPARED WITH FISCAL 1999 - Net earnings were $45.3 million in fiscal 2000 compared to $35.1 million in fiscal 1999. Dilutive earnings per share were $3.47 in fiscal 2000 compared to $2.64 in fiscal 1999. Net earnings were up from fiscal 1999 due to moderately higher sales volumes, operating profit improvements in the residential segment, and lower levels of corporate spending.</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FISCAL 1999 COMPARED WITH FISCAL 1998 - Net earnings were $35.1 million in fiscal 1999 compared to $4.1 million in fiscal 1998. Dilutive earnings per share were $2.64 in fiscal 1999 compared to $0.31 in fiscal 1998. Net earnings were up significantly from fiscal 1998 due to increased sales, improved manufacturing efficiencies, and lower restructuring and other unusual expense.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POSITION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WORKING CAPITAL</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Average working capital for fiscal 2000 was $240.7 million compared to $226.6 million for fiscal 1999, an increase of 6.2 percent. Average working capital as a percent of sales was 18.0 percent in fiscal 2000 and 17.8 percent in fiscal 1999. The increase in average working capital was due primarily to higher average net accounts receivable related to higher sales and higher average inventory due to continued manufacturing capacity constraints experienced during fiscal 2000. These increases also resulted in higher average short-term debt in fiscal 2000.</w:t>
      </w:r>
    </w:p>
    <w:p>
      <w:pPr>
        <w:spacing w:after="0" w:line="164"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The company expects that average working capital in fiscal 2001 will increase compared to fiscal 2000 due to higher planned sales volumes that are anticipated to increase average levels of net accounts receivable.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ASSETS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assets at October 31, 2000 were $269.2 million compared to $255.4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at October 31, 1999, an increase of $13.8 million. Net property, plant,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equipment increased by $8.7 million due to higher spending on capital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equipment and tooling. Goodwill and other assets increased $4.1 million over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1999 mainly as a result of payment of a final contingent payment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connection with the company's acquisition of Exmark in fiscal 1998 plus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of the operating assets of Sitework Systems, Inc. These increases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were somewhat offset by the valuation charge related to the write-down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investment in a technology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STRUCTURE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debt at October 31, 2000 was $194.5 million compared to $196.2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October 31, 1999, a decrease of $1.7 million. The total debt to capital ratio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 39.4 percent in fiscal 2000 compared to 47.5 percent in fiscal 1999.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decrease in debt to capital ratio was mainly due to higher levels of equity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slightly offset by an increase in working capital at October 31, 2000 compared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October 31, 1999.</w:t>
      </w:r>
    </w:p>
    <w:p>
      <w:pPr>
        <w:spacing w:after="0" w:line="7" w:lineRule="exact"/>
        <w:rPr>
          <w:sz w:val="20"/>
          <w:szCs w:val="20"/>
          <w:color w:val="auto"/>
        </w:rPr>
      </w:pPr>
    </w:p>
    <w:p>
      <w:pPr>
        <w:ind w:right="3859" w:firstLine="258"/>
        <w:spacing w:after="0" w:line="252" w:lineRule="auto"/>
        <w:rPr>
          <w:sz w:val="20"/>
          <w:szCs w:val="20"/>
          <w:color w:val="auto"/>
        </w:rPr>
      </w:pPr>
      <w:r>
        <w:rPr>
          <w:rFonts w:ascii="Courier New" w:cs="Courier New" w:eastAsia="Courier New" w:hAnsi="Courier New"/>
          <w:sz w:val="14"/>
          <w:szCs w:val="14"/>
          <w:color w:val="auto"/>
        </w:rPr>
        <w:t>Total capitalization at October 31, 2000 consisted of $194.5 million of long-term debt, $11.6 million of short-term debt, and $317.2 million of stockholders' equity.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Cash Flow. Cash provided by operating activities increased by $43.9 million from fiscal 1999 due primarily to higher net earnings and lower levels of net accounts receivable and inventory due to improved asset management during the fourth quarter of fiscal 2000.</w:t>
      </w:r>
    </w:p>
    <w:p>
      <w:pPr>
        <w:spacing w:after="0" w:line="2"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Cash used in investing activities increased by $7.2 million in fiscal 2000 due to increased purchases of property, plant, and equipment. Capital expenditures for fiscal 2001 are planned to be approximately $8 million higher than fiscal 2000 for additional investments in manufacturing equipment and tooling. It is anticipated that fiscal 2001 capital expenditures will be financed primarily with funds from operations.</w:t>
      </w:r>
    </w:p>
    <w:p>
      <w:pPr>
        <w:spacing w:after="0" w:line="3" w:lineRule="exact"/>
        <w:rPr>
          <w:sz w:val="20"/>
          <w:szCs w:val="20"/>
          <w:color w:val="auto"/>
        </w:rPr>
      </w:pPr>
    </w:p>
    <w:p>
      <w:pPr>
        <w:ind w:right="3599" w:firstLine="258"/>
        <w:spacing w:after="0" w:line="250" w:lineRule="auto"/>
        <w:rPr>
          <w:sz w:val="20"/>
          <w:szCs w:val="20"/>
          <w:color w:val="auto"/>
        </w:rPr>
      </w:pPr>
      <w:r>
        <w:rPr>
          <w:rFonts w:ascii="Courier New" w:cs="Courier New" w:eastAsia="Courier New" w:hAnsi="Courier New"/>
          <w:sz w:val="14"/>
          <w:szCs w:val="14"/>
          <w:color w:val="auto"/>
        </w:rPr>
        <w:t>Cash used in financing activities increased $57.0 million from fiscal 1999 due mainly to a decrease in short-term debt at October 31, 2000 compared to short-term debt at October 31, 1999 and fewer repurchases of common stock in fiscal 2000.</w:t>
      </w:r>
    </w:p>
    <w:p>
      <w:pPr>
        <w:spacing w:after="0" w:line="2"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Cash and cash equivalents were $11.0 million less at October 31, 2000 compared to October 31, 1999 due to the timing of fiscal 1999 year end. Fiscal 1999 ended on a Sunday, which meant that cash received on Saturday could not be utilized to pay down short-term debt until the new fiscal year. This decrease also contributed to a decline in short-term debt at October 31, 2000 compared to October 31, 1999.</w:t>
      </w:r>
    </w:p>
    <w:p>
      <w:pPr>
        <w:spacing w:after="0" w:line="161" w:lineRule="exact"/>
        <w:rPr>
          <w:sz w:val="20"/>
          <w:szCs w:val="20"/>
          <w:color w:val="auto"/>
        </w:rPr>
      </w:pPr>
    </w:p>
    <w:p>
      <w:pPr>
        <w:ind w:right="3679" w:firstLine="258"/>
        <w:spacing w:after="0" w:line="251" w:lineRule="auto"/>
        <w:rPr>
          <w:sz w:val="20"/>
          <w:szCs w:val="20"/>
          <w:color w:val="auto"/>
        </w:rPr>
      </w:pPr>
      <w:r>
        <w:rPr>
          <w:rFonts w:ascii="Courier New" w:cs="Courier New" w:eastAsia="Courier New" w:hAnsi="Courier New"/>
          <w:sz w:val="14"/>
          <w:szCs w:val="14"/>
          <w:color w:val="auto"/>
        </w:rPr>
        <w:t>Management believes that the combination of funds available through its existing or anticipated financing arrangements, coupled with forecasted cash flows, will provide the necessary capital resources for the company's anticipated working capital, capital additions, acquisitions, and stock repurchases in the next fiscal year.</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Share Repurchase Plan. On January 20, 2000, the Board of Directors authorized the company to repurchase an additional 1.0 million shares of common stock. At October 31, 2000, approximately 742,000 shares remained authorized for repurchase. This repurchase program provides shares for use in connection with acquisitions and employee compensation plans so that outstanding shares are kept constant and the impact on net earnings per share of issuing such shares is minimal.</w:t>
      </w:r>
    </w:p>
    <w:p>
      <w:pPr>
        <w:sectPr>
          <w:pgSz w:w="11900" w:h="16838" w:orient="portrait"/>
          <w:cols w:equalWidth="0" w:num="1">
            <w:col w:w="10239"/>
          </w:cols>
          <w:pgMar w:left="220" w:top="285" w:right="1440" w:bottom="0" w:gutter="0" w:footer="0" w:header="0"/>
        </w:sectPr>
      </w:pP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338"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In fiscal 2000, the company repurchased 511,138 shares of common stock on the open market for $17.1 million at an average price of $33.37 per share. The company repurchased 876,800 shares for $29.2 million in fiscal 1999 at an average price of $33.26 per share and 100,000 shares for $1.7 million in fiscal 1998.</w:t>
      </w:r>
    </w:p>
    <w:p>
      <w:pPr>
        <w:spacing w:after="0" w:line="328"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Credit Lines and Other Capital Resources. The company's U.S. seasonal working capital requirements are funded with $269.8 million of committed unsecured bank credit lines. In addition, the company's non-U.S. operations maintain unsecured short-term lines of credit of $15.2 million. The company also has bankers' acceptance agreements under which an additional $40.0 million of credit lines are available. At October 31, 2000, the company had $313.4 million of unutilized availability under these credit lines. Average borrowing under these lines was $135.3 million in fiscal 2000 and $121.8 million in fiscal 1999. The increase in average short-term debt was mainly the result of higher average net accounts receivable and inventory during fiscal 2000. Interest expense on these credit lines is based on LIBOR plus a basis point spread defined in the current loan agreements.</w:t>
      </w:r>
    </w:p>
    <w:p>
      <w:pPr>
        <w:spacing w:after="0" w:line="5"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company's business is seasonal, with accounts receivable balances historically increasing between January and April as a result of higher sales volumes and extended payment terms made available to the company's customers, and decreasing between May and December when payments become due. The company's peak borrowing usually occurs between February and May. Seasonal working capital requirements are financed primarily with short-term financing arrangements described above.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is subject to the effects of changing prices. In fiscal 2000, the company began experiencing some signs of inflationary pressures for purchases of general commodities. The company is attempting to deal with these inflationary pressures by actively pursuing internal cost reduction efforts and introducing slight price increases. However, no significant price increases are planned for fiscal 2001 because of competitive pressures.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In fiscal 2000, Toro acquired the operating assets of Sitework Systems, Inc., a nationwide domestic manufacturer's sales representative of the Dingo compact utility loader. In fiscal 2001, Toro plans to distribute this product directly to dealers through the newly acquired sales force.</w:t>
      </w:r>
    </w:p>
    <w:p>
      <w:pPr>
        <w:spacing w:after="0" w:line="2"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In fiscal 2000, the company completed the purchase of two distribution companies. These companies distribute turf maintenance and creation products to the professional and residential markets.</w:t>
      </w:r>
    </w:p>
    <w:p>
      <w:pPr>
        <w:spacing w:after="0" w:line="163" w:lineRule="exact"/>
        <w:rPr>
          <w:sz w:val="20"/>
          <w:szCs w:val="20"/>
          <w:color w:val="auto"/>
        </w:rPr>
      </w:pPr>
    </w:p>
    <w:p>
      <w:pPr>
        <w:ind w:right="3419" w:firstLine="258"/>
        <w:spacing w:after="0" w:line="250" w:lineRule="auto"/>
        <w:rPr>
          <w:sz w:val="20"/>
          <w:szCs w:val="20"/>
          <w:color w:val="auto"/>
        </w:rPr>
      </w:pPr>
      <w:r>
        <w:rPr>
          <w:rFonts w:ascii="Courier New" w:cs="Courier New" w:eastAsia="Courier New" w:hAnsi="Courier New"/>
          <w:sz w:val="14"/>
          <w:szCs w:val="14"/>
          <w:color w:val="auto"/>
        </w:rPr>
        <w:t>In fiscal 1999, the company completed the purchase of two Midwest-based distributors and signed an agreement to purchase a third Midwest-based distributor, which was completed in the first quarter of fiscal 2000 as described above. All of these companies distribute products to the professional market, and two distribute products to the residential market.</w:t>
      </w:r>
    </w:p>
    <w:p>
      <w:pPr>
        <w:spacing w:after="0" w:line="2"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In fiscal 1999, Toro also became an equity partner in ProShot Golf, Inc. (ProShot). ProShot is a California-based provider of information and communication products to the golf industry, featuring Global Positioning Satellite (GPS)-based measurement and course management systems, primarily for golf carts. In fiscal 2000, ProShot agreed to be acquired by Inforetech Wireless Technology, Inc. (Inforetech), a Canadian public company. Toro expects to receive shares in Inforetech in exchange for its equity position in ProShot.</w:t>
      </w:r>
    </w:p>
    <w:p>
      <w:pPr>
        <w:spacing w:after="0" w:line="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In fiscal 1999, Toro also purchased the assets of Multi-Core Aerators Limited, a European provider of large turf aeration equipment. Multi-Core Aerators augmented Toro's full-line of turf aeration equipment. Toro also acquired the technology and manufacturing rights for battery-operated valves and remote hand-held controllers for irrigation products from a French manufacturer. The technology was incorporated into both the Toro and Irritrol Systems product lines.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CONDITIONS AND OUTLOOK</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Toro expects most of its markets to continue to be healthy in 2001. Although Toro has taken measures to minimize the effects of weather and economic conditions, unfavorable weather patterns or a slowdown of economic growth could have a negative impact on financial performance.</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Professional Markets. Toro's professional markets are generally healthy with good growth potential. The landscape industry is very robust, and Toro's multi-brand strategy is well-positioned to strengthen Toro's market leader position. Toro and Exmark maintenance equipment lead the market with high product quality and innovation combined with strong distributor/dealer networks focused on excellent customer relationships. Toro's commercial grounds business has performed well and is positioned to grow in 2001, particularly in the sports field market. Toro's Sitework Systems equipment line has made a significant impact on the landscape creation market and is expected to continue to expand into rental and contractor markets in fiscal 2001. In addition, this product line was changed to direct-to-dealer distribution in 2001, which is expected to benefit sales long term. Demand for contractor-installed or residential/commercial irrigation products is strong, but product quality problems with the Toro brand hampered Toro's ability to capitalize on this growth. Toro restructured its irrigation business in 2000 and expects improvement in sales to this market beginning in 2001.</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922"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338"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golf course industry continues to grow, but at a slower pace than the rapid rate of the past few years. Toro's worldwide golf course equipment business is expected to continue to be strong in 2001. In golf course irrigation, Toro is developing and focusing on the golf course renovation market to complement its current business. Existing courses want to stay competitive with new courses in amenities and new technologies, particularly in watering systems and conservation. Toro partnered with the Society of Golf Course Architects to pioneer Remodeling University, a series of sessions hosted by the world's top golf course architects aimed at providing guidance on renovating golf courses. Toro believes this will be a market with substantial new business over the coming years.</w:t>
      </w:r>
    </w:p>
    <w:p>
      <w:pPr>
        <w:spacing w:after="0" w:line="163"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The growth potential of the agricultural irrigation industry is promising despite competitive pricing pressures. Toro remains committed to being a vital supplier of water management products for this growing industry.</w:t>
      </w:r>
    </w:p>
    <w:p>
      <w:pPr>
        <w:spacing w:after="0" w:line="1"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Toro introduced the greatest number of new products in its history in 2000, and will continue this tradition of innovation in 2001 with several new products, including the new Toro Flex 21(TM) greensmower for the golf industry.</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Residential Markets. Toro's residential business segment continued to perform well in 2000, although sales declined slightly due to the discontinuance of several low margin product lines. Toro's Personal Pace mower, first introduced in fiscal 1999, experienced an expected slight decline in sales in fiscal 2000. However, Toro expects the market for Toro Personal Pace(R) and Lawn-Boy lawn mowers to improve slightly in 2001, assuming favorable weather patterns. Toro took quick corrective action in two product issues involving lawn mowers and issued recalls. Based on its longstanding consumer safety practices, Toro pledged to follow the ten safety principles that qualified the company for membership in the Consumer Product Safety Commission's prestigious Product Safety Circle.</w:t>
      </w:r>
    </w:p>
    <w:p>
      <w:pPr>
        <w:spacing w:after="0" w:line="163" w:lineRule="exact"/>
        <w:rPr>
          <w:sz w:val="20"/>
          <w:szCs w:val="20"/>
          <w:color w:val="auto"/>
        </w:rPr>
      </w:pPr>
    </w:p>
    <w:p>
      <w:pPr>
        <w:ind w:right="3419" w:firstLine="258"/>
        <w:spacing w:after="0" w:line="250" w:lineRule="auto"/>
        <w:rPr>
          <w:sz w:val="20"/>
          <w:szCs w:val="20"/>
          <w:color w:val="auto"/>
        </w:rPr>
      </w:pPr>
      <w:r>
        <w:rPr>
          <w:rFonts w:ascii="Courier New" w:cs="Courier New" w:eastAsia="Courier New" w:hAnsi="Courier New"/>
          <w:sz w:val="14"/>
          <w:szCs w:val="14"/>
          <w:color w:val="auto"/>
        </w:rPr>
        <w:t>Toro's riding products are expected to have strong growth in 2001 due primarily to the introduction of two new product lines, both extensions of successful Toro commercial products. The first is the Toro Time Cutter(TM), a consumer version of the popular Toro Z Master zero turning radius mower. The mower has all the amenities offered to the professional landscape contractor. The other is the Toro Twister, a residential version of Toro's mid-duty utility vehicle used by grounds keepers and golf course superintendents.</w:t>
      </w:r>
    </w:p>
    <w:p>
      <w:pPr>
        <w:spacing w:after="0" w:line="3"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The home solutions product line, consisting of electric and battery trimmers, and electric blowers and blower vacuums, had strong sales in fiscal 2000. Outlets added during fiscal 2000 should add to growth prospects in 2001. Also, the DIY irrigation product line, sold through home centers, did well in 2000. A new line of these products featuring micro-drip irrigation is expected to contribute to sales growth in fiscal 2001.</w:t>
      </w:r>
    </w:p>
    <w:p>
      <w:pPr>
        <w:spacing w:after="0" w:line="3" w:lineRule="exact"/>
        <w:rPr>
          <w:sz w:val="20"/>
          <w:szCs w:val="20"/>
          <w:color w:val="auto"/>
        </w:rPr>
      </w:pPr>
    </w:p>
    <w:p>
      <w:pPr>
        <w:ind w:right="3679" w:firstLine="258"/>
        <w:spacing w:after="0" w:line="250" w:lineRule="auto"/>
        <w:rPr>
          <w:sz w:val="20"/>
          <w:szCs w:val="20"/>
          <w:color w:val="auto"/>
        </w:rPr>
      </w:pPr>
      <w:r>
        <w:rPr>
          <w:rFonts w:ascii="Courier New" w:cs="Courier New" w:eastAsia="Courier New" w:hAnsi="Courier New"/>
          <w:sz w:val="14"/>
          <w:szCs w:val="14"/>
          <w:color w:val="auto"/>
        </w:rPr>
        <w:t>The Toro brand of snowthrowers did moderately well in 2000 despite low snowfalls in key markets during the 1999-2000 winter season. In fiscal 2001, Toro introduced the Toro Snow Commander(TM), the first new snowthrower innovation in the market in 12 years. Toro believes demand for the Toro Snow Commander(TM) will have a positive effect on the 2001-2002 snow season.</w:t>
      </w:r>
    </w:p>
    <w:p>
      <w:pPr>
        <w:spacing w:after="0" w:line="2"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International sales are expected to grow at a modest rate for both the residential and professional segments, reflecting continued acceptance of new products introduced over the past two years. Strong demand for commercial equipment, landscape contractor mowing products, and irrigation and agricultural irrigation systems is expected to positively impact professional sales in 2001. International residential sales of Toro Personal Pace lawn mowers and riding products are expected to continue to do well in 2001. Company performance will be affected somewhat by ongoing foreign currency fluctuations, as Toro supports its distributor network overseas to equalize the currency effects, as needed.</w:t>
      </w:r>
    </w:p>
    <w:p>
      <w:pPr>
        <w:spacing w:after="0" w:line="4"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Overall, Toro expects balanced growth in fiscal 2001, absent a slow down of economic growth and unusual weather patterns, and has a goal to achieve the following:</w:t>
      </w:r>
    </w:p>
    <w:p>
      <w:pPr>
        <w:spacing w:after="0" w:line="1"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Earnings 12 to 15 percent above fiscal 2000,</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Revenues 8 to 10 percent above fiscal 2000,</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Gross margin between 37 and 38 percent,</w:t>
      </w:r>
    </w:p>
    <w:p>
      <w:pPr>
        <w:spacing w:after="0" w:line="7" w:lineRule="exact"/>
        <w:rPr>
          <w:rFonts w:ascii="Courier New" w:cs="Courier New" w:eastAsia="Courier New" w:hAnsi="Courier New"/>
          <w:sz w:val="14"/>
          <w:szCs w:val="14"/>
          <w:color w:val="auto"/>
        </w:rPr>
      </w:pPr>
    </w:p>
    <w:p>
      <w:pPr>
        <w:ind w:left="180" w:right="3679" w:hanging="172"/>
        <w:spacing w:after="0" w:line="250" w:lineRule="auto"/>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Operating expenses to increase 7 to 10 percent, in dollars, above fiscal 2000,</w:t>
      </w: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 tax rate of 37 percent in fiscal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RISK</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Toro is exposed to market risk stemming from changes in foreign exchange rates, interest rates, and commodity prices. Changes in these factors could cause fluctuations in the company's net earnings and cash flows. In the normal course of business, Toro actively manages the exposure of certain market risks by entering into various hedging transactions, authorized under company policies that place controls on these activities. The company's hedging transactions involve the use of a variety of derivative instruments. Toro uses derivatives only in an attempt to limit underlying exposure to currency fluctuations, and not for trading or speculative purposes.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Exchange Rate Risk. The company is exposed to foreign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currency exchange risk</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arising from</w:t>
            </w:r>
          </w:p>
        </w:tc>
        <w:tc>
          <w:tcPr>
            <w:tcW w:w="2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transactions experienced in</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the normal</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course of business. To</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mitigate the</w:t>
            </w:r>
          </w:p>
        </w:tc>
        <w:tc>
          <w:tcPr>
            <w:tcW w:w="2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risk from foreign currency</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exchange rate</w:t>
            </w:r>
          </w:p>
        </w:tc>
      </w:tr>
      <w:tr>
        <w:trPr>
          <w:trHeight w:val="166"/>
        </w:trPr>
        <w:tc>
          <w:tcPr>
            <w:tcW w:w="3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fluctuations in those transactions,</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the company will</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generally</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enter into</w:t>
            </w:r>
          </w:p>
        </w:tc>
      </w:tr>
      <w:tr>
        <w:trPr>
          <w:trHeight w:val="166"/>
        </w:trPr>
        <w:tc>
          <w:tcPr>
            <w:tcW w:w="3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forward currency exchange contracts</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for the purchase</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or sale of</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a currency.</w:t>
            </w:r>
          </w:p>
        </w:tc>
      </w:tr>
    </w:tbl>
    <w:p>
      <w:pPr>
        <w:spacing w:after="0" w:line="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Decisions on whether to use such forward currency exchange contracts are made based on the amount of exposures to the currency involved, and an assessment of the near-term</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922"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33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market value for each currency. These contracts are managed to reduce the risk associated with the exposure being hedged. Accordingly, changes in market values of these hedge instruments are highly correlated with changes in market values of underlying hedged items both at inception of the hedge and over the life of the hedge contract. The company's primary exchange rate exposure is with the euro, the Japanese yen, the Australian dollar, and the Canadian dollar against the U.S. dollar. Gains and losses on foreign currency contracts are recorded in the Consolidated Statements of Earnings and Comprehensive Income.</w:t>
      </w:r>
    </w:p>
    <w:p>
      <w:pPr>
        <w:spacing w:after="0" w:line="3"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The following forward exchange contracts held by the company have maturity dates in fiscal 2001. All items are non-trading and stated in U.S. dollars. The average contracted rate, notional amount, and fair value impact at October 31, 2000 were as follows: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tabs>
          <w:tab w:leader="none" w:pos="6880" w:val="left"/>
        </w:tabs>
        <w:rPr>
          <w:sz w:val="20"/>
          <w:szCs w:val="20"/>
          <w:color w:val="auto"/>
        </w:rPr>
      </w:pP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Fair Value</w:t>
      </w:r>
    </w:p>
    <w:p>
      <w:pPr>
        <w:spacing w:after="0" w:line="7" w:lineRule="exact"/>
        <w:rPr>
          <w:sz w:val="20"/>
          <w:szCs w:val="20"/>
          <w:color w:val="auto"/>
        </w:rPr>
      </w:pPr>
    </w:p>
    <w:p>
      <w:pPr>
        <w:spacing w:after="0"/>
        <w:tabs>
          <w:tab w:leader="none" w:pos="4300" w:val="left"/>
          <w:tab w:leader="none" w:pos="5500" w:val="left"/>
          <w:tab w:leader="none" w:pos="688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Contracted</w:t>
      </w:r>
      <w:r>
        <w:rPr>
          <w:sz w:val="20"/>
          <w:szCs w:val="20"/>
          <w:color w:val="auto"/>
        </w:rPr>
        <w:tab/>
      </w:r>
      <w:r>
        <w:rPr>
          <w:rFonts w:ascii="Courier New" w:cs="Courier New" w:eastAsia="Courier New" w:hAnsi="Courier New"/>
          <w:sz w:val="14"/>
          <w:szCs w:val="14"/>
          <w:color w:val="auto"/>
        </w:rPr>
        <w:t>Notional</w:t>
      </w:r>
      <w:r>
        <w:rPr>
          <w:sz w:val="20"/>
          <w:szCs w:val="20"/>
          <w:color w:val="auto"/>
        </w:rPr>
        <w:tab/>
      </w:r>
      <w:r>
        <w:rPr>
          <w:rFonts w:ascii="Courier New" w:cs="Courier New" w:eastAsia="Courier New" w:hAnsi="Courier New"/>
          <w:sz w:val="14"/>
          <w:szCs w:val="14"/>
          <w:color w:val="auto"/>
        </w:rPr>
        <w:t>Impact Gain</w:t>
      </w:r>
    </w:p>
    <w:p>
      <w:pPr>
        <w:spacing w:after="0" w:line="7" w:lineRule="exact"/>
        <w:rPr>
          <w:sz w:val="20"/>
          <w:szCs w:val="20"/>
          <w:color w:val="auto"/>
        </w:rPr>
      </w:pPr>
    </w:p>
    <w:p>
      <w:pPr>
        <w:spacing w:after="0"/>
        <w:tabs>
          <w:tab w:leader="none" w:pos="4640" w:val="left"/>
          <w:tab w:leader="none" w:pos="5500" w:val="left"/>
          <w:tab w:leader="none" w:pos="6880" w:val="left"/>
        </w:tabs>
        <w:rPr>
          <w:sz w:val="20"/>
          <w:szCs w:val="20"/>
          <w:color w:val="auto"/>
        </w:rPr>
      </w:pPr>
      <w:r>
        <w:rPr>
          <w:rFonts w:ascii="Courier New" w:cs="Courier New" w:eastAsia="Courier New" w:hAnsi="Courier New"/>
          <w:sz w:val="14"/>
          <w:szCs w:val="14"/>
          <w:color w:val="auto"/>
        </w:rPr>
        <w:t>(except average contracted rate)</w:t>
      </w:r>
      <w:r>
        <w:rPr>
          <w:sz w:val="20"/>
          <w:szCs w:val="20"/>
          <w:color w:val="auto"/>
        </w:rPr>
        <w:tab/>
      </w:r>
      <w:r>
        <w:rPr>
          <w:rFonts w:ascii="Courier New" w:cs="Courier New" w:eastAsia="Courier New" w:hAnsi="Courier New"/>
          <w:sz w:val="14"/>
          <w:szCs w:val="14"/>
          <w:color w:val="auto"/>
        </w:rPr>
        <w:t>Rate</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(Loss)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BUY U.S. $/SELL AUSTRALIAN</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DOLLAR</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.5966</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$10,112.5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$1,316.2</w:t>
            </w: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BUY U.S. $/SELL CANADIAN DOLLAR</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1.4590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9,218.4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343.8</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BUY U.S. $/SELL EURO</w:t>
            </w:r>
          </w:p>
        </w:tc>
        <w:tc>
          <w:tcPr>
            <w:tcW w:w="1320" w:type="dxa"/>
            <w:vAlign w:val="bottom"/>
          </w:tcPr>
          <w:p>
            <w:pPr>
              <w:spacing w:after="0"/>
              <w:rPr>
                <w:sz w:val="14"/>
                <w:szCs w:val="14"/>
                <w:color w:val="auto"/>
              </w:rPr>
            </w:pP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.8834</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1,766.7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54.1</w:t>
            </w: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BUY U.S. $/SELL JAPANESE YEN</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108.5000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184.3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BUY AUSTRALIAN DOLLAR/SELL</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U.S. $</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.5240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3,976.7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(39.6)</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BUY EURO/SELL U.S. $</w:t>
            </w:r>
          </w:p>
        </w:tc>
        <w:tc>
          <w:tcPr>
            <w:tcW w:w="1320" w:type="dxa"/>
            <w:vAlign w:val="bottom"/>
          </w:tcPr>
          <w:p>
            <w:pPr>
              <w:spacing w:after="0"/>
              <w:rPr>
                <w:sz w:val="14"/>
                <w:szCs w:val="14"/>
                <w:color w:val="auto"/>
              </w:rPr>
            </w:pP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.8414</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1,935.3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w:t>
            </w: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BUY JAPANESE YEN/SELL U.S. $</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102.9820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7,695.5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(257.4)</w:t>
            </w: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BUY MEXICAN PESO/SELL U.S. $</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9.9389</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1,207.4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Interest Rate Risk. The company's interest rate exposure results from short-term rates, primarily LIBOR-based debt from commercial banks. Toro currently does not use interest rate swaps to mitigate the impact of fluctuations in interest rates because the existing agreement is favorable compared to similar types of borrowing arrangements at current market credit spreads based on points over LIBOR. At October 31, 2000, the financial liabilities of the company with exposure to changes in interest rates consisted mainly of $11.6 million of short-term debt outstanding. Assuming a hypothetical increase of 1 percent (100 basis points) in short-term interest rates, with all other variables remaining constant including the average balance of short-term debt outstanding during fiscal 2000, interest expense would have increased $1.4 million in fiscal 2000. Included in long-term debt is $194.5 million of fixed-rate debt, which is not subject to interest rate risk. At October 31, 2000, the estimated fair value of long-term debt with fixed interest rates was $189.9 million compared to its carrying value of $194.5 million. The fair value is estimated by discounting the projected cash flows using the rate at which similar amounts of debt could currently be borrowed. Assuming a hypothetical increase of 1 percent (100 basis points) in applicable interest rates, the estimated fair value of long-term debt would decrease by $13.8 million.</w:t>
      </w:r>
    </w:p>
    <w:p>
      <w:pPr>
        <w:spacing w:after="0" w:line="339"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Commodities. Certain raw materials used in the company's products are exposed to commodity price changes. Toro manages this risk by using long-term agreements with some vendors. The primary commodity price exposures are with aluminum, steel, and plastic resin.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 CURRENCY</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European Monetary Union (EMU) is in the last full year of a three-year transition phase during which a common currency (the "euro") was introduced in participating countries. This new currency is being used for financial transactions and will progressively replace the old national currencies, which are to be withdrawn by July 2002. During the transition to the euro, companies and public administrations have been changing budgetary, accounting, contractual, and fiscal systems while using parallel currencies and converting legacy data. Uncertainty continues as to what effects the conversion to the euro will have on the marketplace. One anticipated effect will be more transparent price differences on goods in European countries.</w:t>
      </w:r>
    </w:p>
    <w:p>
      <w:pPr>
        <w:spacing w:after="0" w:line="4"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Significant issues for the company arising from the transition are price competition on Toro distributor and Toro direct sales, and the possible need for and cost of currency support for Toro distributors in the European Union. Current concerns include currency swings and instability in the rate of exchange between the euro and the U.S. dollar. Beginning in December 1999, Toro implemented euro-hedging plans that consolidate the net cash flow from its European subsidiaries and other European offices.</w:t>
      </w:r>
    </w:p>
    <w:p>
      <w:pPr>
        <w:spacing w:after="0" w:line="3"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The company is planning to convert to a new operating business system for its European subsidiaries, which has delayed plans to begin parallel reporting with the current functional currency of the European subsidiaries and euros to late fiscal 2001. Beginning in fiscal 2002, these European subsidiaries are expected to be fully transitioned from their old national currencies to the euro, reflecting euros on invoices to customers and euro statutory reporting.</w:t>
      </w:r>
    </w:p>
    <w:p>
      <w:pPr>
        <w:spacing w:after="0" w:line="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Based on evaluation to date, management currently believes that while the company will incur internal and external costs to adjust to the euro, such costs are not expected to have a significant impact on operations, cash flows, or the financial condition of the company and its subsidiaries taken as a whole in future periods.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7A. QUANTITATIVE AND QUALITATIVE DISCLOSURES ABOUT MARKET RISK</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Information required under this Item is contained in Item 7 of this report under the caption "Market Risk," and is incorporated herein by reference.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5" w:right="1440" w:bottom="26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21</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MANAGEMENT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Stockholders and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Management is responsible for the integrity and objectivity of the financial information included in this report. The financial statements have been prepared in accordance with accounting principles generally accepted in the United States of America. Where necessary, the financial statements reflect estimates based on management judgement.</w:t>
      </w:r>
    </w:p>
    <w:p>
      <w:pPr>
        <w:spacing w:after="0" w:line="2"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Established accounting procedures and related systems of internal control provide reasonable assurance that assets are safeguarded, transactions are appropriately authorized and included in the financial records in all material aspects, and that policies and procedures are implemented by qualified personnel. This system of financial controls and procedures is reviewed, modified, and improved as changes occur in business conditions and operations, and as a result of suggestions from independent auditors.</w:t>
      </w:r>
    </w:p>
    <w:p>
      <w:pPr>
        <w:spacing w:after="0" w:line="3" w:lineRule="exact"/>
        <w:rPr>
          <w:sz w:val="20"/>
          <w:szCs w:val="20"/>
          <w:color w:val="auto"/>
        </w:rPr>
      </w:pPr>
    </w:p>
    <w:p>
      <w:pPr>
        <w:ind w:right="3419" w:firstLine="258"/>
        <w:spacing w:after="0" w:line="250" w:lineRule="auto"/>
        <w:rPr>
          <w:sz w:val="20"/>
          <w:szCs w:val="20"/>
          <w:color w:val="auto"/>
        </w:rPr>
      </w:pPr>
      <w:r>
        <w:rPr>
          <w:rFonts w:ascii="Courier New" w:cs="Courier New" w:eastAsia="Courier New" w:hAnsi="Courier New"/>
          <w:sz w:val="14"/>
          <w:szCs w:val="14"/>
          <w:color w:val="auto"/>
        </w:rPr>
        <w:t>Our independent auditors, KPMG LLP, in their audit of The Toro Company's consolidated financial statements, considered the internal control structure of the company to gain a basic understanding of the accounting system in order to design an effective and efficient audit approach, not for the purpose of providing assurance on the system of internal control.</w:t>
      </w:r>
    </w:p>
    <w:p>
      <w:pPr>
        <w:spacing w:after="0" w:line="2"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The Audit Committee, comprised of members of the Board of Directors who are not employees of the company, meets periodically with the independent auditors and management of the company to monitor the functioning of the accounting control systems and discuss auditing and financial reporting matters.</w:t>
      </w:r>
    </w:p>
    <w:p>
      <w:pPr>
        <w:spacing w:after="0" w:line="2"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The Audit Committee recommends the selection of the independent auditors, who are then appointed by the board of directors, subject to ratification by the shareholders.</w:t>
      </w:r>
    </w:p>
    <w:p>
      <w:pPr>
        <w:spacing w:after="0" w:line="1" w:lineRule="exact"/>
        <w:rPr>
          <w:sz w:val="20"/>
          <w:szCs w:val="20"/>
          <w:color w:val="auto"/>
        </w:rPr>
      </w:pPr>
    </w:p>
    <w:p>
      <w:pPr>
        <w:ind w:right="3679" w:firstLine="258"/>
        <w:spacing w:after="0" w:line="255" w:lineRule="auto"/>
        <w:rPr>
          <w:sz w:val="20"/>
          <w:szCs w:val="20"/>
          <w:color w:val="auto"/>
        </w:rPr>
      </w:pPr>
      <w:r>
        <w:rPr>
          <w:rFonts w:ascii="Courier New" w:cs="Courier New" w:eastAsia="Courier New" w:hAnsi="Courier New"/>
          <w:sz w:val="14"/>
          <w:szCs w:val="14"/>
          <w:color w:val="auto"/>
        </w:rPr>
        <w:t>The independent auditors conduct an independent audit of the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KENDRICK B. MELROSE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Kendrick B. Melrose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and Chief Executive Officer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STEPHEN P. WOLFE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Stephen P. Wolfe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Finance, Treasurer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Stockholders and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We have audited the accompanying consolidated balance sheets of The Toro Company and subsidiaries as of October 31, 2000 and 1999, and the related consolidated statements of earnings and comprehensive income, and cash flows for each of the years in the three year period ended October 31, 2000. Our audits also included the financial statement schedule listed in the Index at Item 14(a). These consolidated financial statements and schedule are the responsibility of the company's management. Our responsibility is to express an opinion on these consolidated financial statements and schedule based on our audits.</w:t>
      </w:r>
    </w:p>
    <w:p>
      <w:pPr>
        <w:spacing w:after="0" w:line="3"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The Toro Company and subsidiaries as of October 31, 2000 and 1999, and the results of their operations and their cash flows for each of the years in the three year period ended October 31, 2000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w:t>
      </w:r>
    </w:p>
    <w:p>
      <w:pPr>
        <w:spacing w:after="0" w:line="164"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/s/ KPMG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4, 2000</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22</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CONSOLIDATED STATEMENTS OF EARNINGS</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AND COMPREHENSIVE INCOME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20"/>
                <w:szCs w:val="20"/>
                <w:color w:val="auto"/>
              </w:rPr>
            </w:pPr>
            <w:r>
              <w:rPr>
                <w:rFonts w:ascii="Courier New" w:cs="Courier New" w:eastAsia="Courier New" w:hAnsi="Courier New"/>
                <w:sz w:val="14"/>
                <w:szCs w:val="14"/>
                <w:color w:val="auto"/>
              </w:rPr>
              <w:t>(Dollars and shares in thousands, except per share data) Years ended October 31</w:t>
            </w:r>
          </w:p>
        </w:tc>
        <w:tc>
          <w:tcPr>
            <w:tcW w:w="13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2000</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$ 1,336,924</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$ 1,274,997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$ 1,110,434</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4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844,861</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815,408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726,118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GROSS</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PROFIT</w:t>
            </w:r>
          </w:p>
        </w:tc>
        <w:tc>
          <w:tcPr>
            <w:tcW w:w="4000" w:type="dxa"/>
            <w:vAlign w:val="bottom"/>
          </w:tcPr>
          <w:p>
            <w:pPr>
              <w:spacing w:after="0"/>
              <w:rPr>
                <w:sz w:val="14"/>
                <w:szCs w:val="14"/>
                <w:color w:val="auto"/>
              </w:rPr>
            </w:pPr>
          </w:p>
        </w:tc>
        <w:tc>
          <w:tcPr>
            <w:tcW w:w="29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492,063</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459,589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384,316</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SELLING,</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GENERAL,</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AND ADMINISTRATIVE EXPENSE</w:t>
            </w:r>
          </w:p>
        </w:tc>
        <w:tc>
          <w:tcPr>
            <w:tcW w:w="29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394,858</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382,969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345,558</w:t>
            </w:r>
          </w:p>
        </w:tc>
      </w:tr>
      <w:tr>
        <w:trPr>
          <w:trHeight w:val="166"/>
        </w:trPr>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RESTRUCTURING AND</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OTHER UNUSUAL EXPENSE</w:t>
            </w:r>
          </w:p>
        </w:tc>
        <w:tc>
          <w:tcPr>
            <w:tcW w:w="29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15,042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EARNINGS FROM</w:t>
            </w:r>
          </w:p>
        </w:tc>
        <w:tc>
          <w:tcPr>
            <w:tcW w:w="3360" w:type="dxa"/>
            <w:vAlign w:val="bottom"/>
          </w:tcPr>
          <w:p>
            <w:pPr>
              <w:ind w:left="60"/>
              <w:spacing w:after="0"/>
              <w:rPr>
                <w:sz w:val="20"/>
                <w:szCs w:val="20"/>
                <w:color w:val="auto"/>
              </w:rPr>
            </w:pPr>
            <w:r>
              <w:rPr>
                <w:rFonts w:ascii="Courier New" w:cs="Courier New" w:eastAsia="Courier New" w:hAnsi="Courier New"/>
                <w:sz w:val="14"/>
                <w:szCs w:val="14"/>
                <w:color w:val="auto"/>
              </w:rPr>
              <w:t>OPERATIONS</w:t>
            </w:r>
          </w:p>
        </w:tc>
        <w:tc>
          <w:tcPr>
            <w:tcW w:w="37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97,205</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74,888</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23,716</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INTEREST EXPENSE</w:t>
            </w:r>
          </w:p>
        </w:tc>
        <w:tc>
          <w:tcPr>
            <w:tcW w:w="3360" w:type="dxa"/>
            <w:vAlign w:val="bottom"/>
          </w:tcPr>
          <w:p>
            <w:pPr>
              <w:spacing w:after="0"/>
              <w:rPr>
                <w:sz w:val="14"/>
                <w:szCs w:val="14"/>
                <w:color w:val="auto"/>
              </w:rPr>
            </w:pPr>
          </w:p>
        </w:tc>
        <w:tc>
          <w:tcPr>
            <w:tcW w:w="3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(26,414)</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(23,913)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(25,428)</w:t>
            </w:r>
          </w:p>
        </w:tc>
      </w:tr>
      <w:tr>
        <w:trPr>
          <w:trHeight w:val="166"/>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OTHER INCOME, NET</w:t>
            </w:r>
          </w:p>
        </w:tc>
        <w:tc>
          <w:tcPr>
            <w:tcW w:w="37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1,091</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6,498</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8,473</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4640" w:type="dxa"/>
            <w:vAlign w:val="bottom"/>
          </w:tcPr>
          <w:p>
            <w:pPr>
              <w:ind w:left="120"/>
              <w:spacing w:after="0"/>
              <w:rPr>
                <w:sz w:val="20"/>
                <w:szCs w:val="20"/>
                <w:color w:val="auto"/>
              </w:rPr>
            </w:pPr>
            <w:r>
              <w:rPr>
                <w:rFonts w:ascii="Courier New" w:cs="Courier New" w:eastAsia="Courier New" w:hAnsi="Courier New"/>
                <w:sz w:val="14"/>
                <w:szCs w:val="14"/>
                <w:color w:val="auto"/>
              </w:rPr>
              <w:t>EARNINGS BEFORE INCOME TAXES</w:t>
            </w:r>
          </w:p>
        </w:tc>
        <w:tc>
          <w:tcPr>
            <w:tcW w:w="238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71,882</w:t>
            </w:r>
          </w:p>
        </w:tc>
        <w:tc>
          <w:tcPr>
            <w:tcW w:w="7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57,473</w:t>
            </w:r>
          </w:p>
        </w:tc>
        <w:tc>
          <w:tcPr>
            <w:tcW w:w="460" w:type="dxa"/>
            <w:vAlign w:val="bottom"/>
          </w:tcPr>
          <w:p>
            <w:pPr>
              <w:spacing w:after="0"/>
              <w:rPr>
                <w:sz w:val="14"/>
                <w:szCs w:val="14"/>
                <w:color w:val="auto"/>
              </w:rPr>
            </w:pPr>
          </w:p>
        </w:tc>
        <w:tc>
          <w:tcPr>
            <w:tcW w:w="11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6,761</w:t>
            </w:r>
          </w:p>
        </w:tc>
      </w:tr>
      <w:tr>
        <w:trPr>
          <w:trHeight w:val="166"/>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INCOME TAXES</w:t>
            </w:r>
          </w:p>
        </w:tc>
        <w:tc>
          <w:tcPr>
            <w:tcW w:w="238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26,597</w:t>
            </w:r>
          </w:p>
        </w:tc>
        <w:tc>
          <w:tcPr>
            <w:tcW w:w="7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22,414</w:t>
            </w:r>
          </w:p>
        </w:tc>
        <w:tc>
          <w:tcPr>
            <w:tcW w:w="460" w:type="dxa"/>
            <w:vAlign w:val="bottom"/>
          </w:tcPr>
          <w:p>
            <w:pPr>
              <w:spacing w:after="0"/>
              <w:rPr>
                <w:sz w:val="14"/>
                <w:szCs w:val="14"/>
                <w:color w:val="auto"/>
              </w:rPr>
            </w:pPr>
          </w:p>
        </w:tc>
        <w:tc>
          <w:tcPr>
            <w:tcW w:w="11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2,671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NET EARNINGS</w:t>
            </w:r>
          </w:p>
        </w:tc>
        <w:tc>
          <w:tcPr>
            <w:tcW w:w="2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45,285</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35,059</w:t>
            </w:r>
          </w:p>
        </w:tc>
        <w:tc>
          <w:tcPr>
            <w:tcW w:w="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4,090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6880" w:val="left"/>
          <w:tab w:leader="none" w:pos="7480" w:val="left"/>
          <w:tab w:leader="none" w:pos="8780" w:val="left"/>
          <w:tab w:leader="none" w:pos="9380" w:val="left"/>
          <w:tab w:leader="none" w:pos="10060" w:val="left"/>
          <w:tab w:leader="none" w:pos="10660" w:val="left"/>
        </w:tabs>
        <w:rPr>
          <w:sz w:val="20"/>
          <w:szCs w:val="20"/>
          <w:color w:val="auto"/>
        </w:rPr>
      </w:pPr>
      <w:r>
        <w:rPr>
          <w:rFonts w:ascii="Courier New" w:cs="Courier New" w:eastAsia="Courier New" w:hAnsi="Courier New"/>
          <w:sz w:val="14"/>
          <w:szCs w:val="14"/>
          <w:color w:val="auto"/>
        </w:rPr>
        <w:t>BASIC NET EARNINGS PER SHARE OF COMMON STOCK</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3.55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2.72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0.32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6880" w:val="left"/>
          <w:tab w:leader="none" w:pos="7480" w:val="left"/>
          <w:tab w:leader="none" w:pos="8780" w:val="left"/>
          <w:tab w:leader="none" w:pos="9380" w:val="left"/>
          <w:tab w:leader="none" w:pos="10060" w:val="left"/>
          <w:tab w:leader="none" w:pos="10660" w:val="left"/>
        </w:tabs>
        <w:rPr>
          <w:sz w:val="20"/>
          <w:szCs w:val="20"/>
          <w:color w:val="auto"/>
        </w:rPr>
      </w:pPr>
      <w:r>
        <w:rPr>
          <w:rFonts w:ascii="Courier New" w:cs="Courier New" w:eastAsia="Courier New" w:hAnsi="Courier New"/>
          <w:sz w:val="14"/>
          <w:szCs w:val="14"/>
          <w:color w:val="auto"/>
        </w:rPr>
        <w:t>DILUTIVE NET EARNINGS PER SHARE OF COMMON STOCK</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3.47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2.64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40" w:type="dxa"/>
            <w:vAlign w:val="bottom"/>
          </w:tcPr>
          <w:p>
            <w:pPr>
              <w:spacing w:after="0"/>
              <w:rPr>
                <w:sz w:val="20"/>
                <w:szCs w:val="20"/>
                <w:color w:val="auto"/>
              </w:rPr>
            </w:pPr>
            <w:r>
              <w:rPr>
                <w:rFonts w:ascii="Courier New" w:cs="Courier New" w:eastAsia="Courier New" w:hAnsi="Courier New"/>
                <w:sz w:val="14"/>
                <w:szCs w:val="14"/>
                <w:color w:val="auto"/>
              </w:rPr>
              <w:t>WEIGHTED AVERAGE NUMBER OF SHARES OF COMMON STOCK OUTSTANDING-</w:t>
            </w:r>
          </w:p>
        </w:tc>
        <w:tc>
          <w:tcPr>
            <w:tcW w:w="2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BASIC</w:t>
            </w:r>
          </w:p>
        </w:tc>
        <w:tc>
          <w:tcPr>
            <w:tcW w:w="22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12,770</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12,879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12,794</w:t>
            </w:r>
          </w:p>
        </w:tc>
      </w:tr>
      <w:tr>
        <w:trPr>
          <w:trHeight w:val="166"/>
        </w:trPr>
        <w:tc>
          <w:tcPr>
            <w:tcW w:w="6340" w:type="dxa"/>
            <w:vAlign w:val="bottom"/>
          </w:tcPr>
          <w:p>
            <w:pPr>
              <w:spacing w:after="0"/>
              <w:rPr>
                <w:sz w:val="20"/>
                <w:szCs w:val="20"/>
                <w:color w:val="auto"/>
              </w:rPr>
            </w:pPr>
            <w:r>
              <w:rPr>
                <w:rFonts w:ascii="Courier New" w:cs="Courier New" w:eastAsia="Courier New" w:hAnsi="Courier New"/>
                <w:sz w:val="14"/>
                <w:szCs w:val="14"/>
                <w:color w:val="auto"/>
              </w:rPr>
              <w:t>WEIGHTED AVERAGE NUMBER OF SHARES OF COMMON STOCK OUTSTANDING-</w:t>
            </w:r>
          </w:p>
        </w:tc>
        <w:tc>
          <w:tcPr>
            <w:tcW w:w="2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DILUTIVE</w:t>
            </w:r>
          </w:p>
        </w:tc>
        <w:tc>
          <w:tcPr>
            <w:tcW w:w="22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13,058</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13,278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13,198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2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2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45,285</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35,059</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4,090</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OTHER COMPREHENSIVE LOSS</w:t>
            </w:r>
          </w:p>
        </w:tc>
        <w:tc>
          <w:tcPr>
            <w:tcW w:w="2680" w:type="dxa"/>
            <w:vAlign w:val="bottom"/>
          </w:tcPr>
          <w:p>
            <w:pPr>
              <w:spacing w:after="0"/>
              <w:rPr>
                <w:sz w:val="14"/>
                <w:szCs w:val="14"/>
                <w:color w:val="auto"/>
              </w:rPr>
            </w:pP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(3,837)</w:t>
            </w:r>
          </w:p>
        </w:tc>
        <w:tc>
          <w:tcPr>
            <w:tcW w:w="70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(1,255)</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880" w:val="left"/>
          <w:tab w:leader="none" w:pos="7300" w:val="left"/>
          <w:tab w:leader="none" w:pos="8780" w:val="left"/>
          <w:tab w:leader="none" w:pos="9200" w:val="left"/>
          <w:tab w:leader="none" w:pos="10060" w:val="left"/>
          <w:tab w:leader="none" w:pos="10580" w:val="left"/>
        </w:tabs>
        <w:rPr>
          <w:sz w:val="20"/>
          <w:szCs w:val="20"/>
          <w:color w:val="auto"/>
        </w:rPr>
      </w:pPr>
      <w:r>
        <w:rPr>
          <w:rFonts w:ascii="Courier New" w:cs="Courier New" w:eastAsia="Courier New" w:hAnsi="Courier New"/>
          <w:sz w:val="14"/>
          <w:szCs w:val="14"/>
          <w:color w:val="auto"/>
        </w:rPr>
        <w:t>COMPREHENSIVE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41,448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33,804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2,642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right="5320"/>
        <w:spacing w:after="0" w:line="255" w:lineRule="auto"/>
        <w:rPr>
          <w:sz w:val="20"/>
          <w:szCs w:val="20"/>
          <w:color w:val="auto"/>
        </w:rPr>
      </w:pPr>
      <w:r>
        <w:rPr>
          <w:rFonts w:ascii="Courier New" w:cs="Courier New" w:eastAsia="Courier New" w:hAnsi="Courier New"/>
          <w:sz w:val="14"/>
          <w:szCs w:val="14"/>
          <w:color w:val="auto"/>
        </w:rPr>
        <w:t>The financial statements should be read in conjunction with the Notes to Consolidated Financial Statements.</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1540"/>
          </w:cols>
          <w:pgMar w:left="220" w:top="285" w:right="139"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23</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CONSOLIDATED BALANCE SHEETS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 October 31</w:t>
            </w:r>
          </w:p>
        </w:tc>
        <w:tc>
          <w:tcPr>
            <w:tcW w:w="31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702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1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11,960</w:t>
            </w:r>
          </w:p>
        </w:tc>
      </w:tr>
      <w:tr>
        <w:trPr>
          <w:trHeight w:val="166"/>
        </w:trPr>
        <w:tc>
          <w:tcPr>
            <w:tcW w:w="7020" w:type="dxa"/>
            <w:vAlign w:val="bottom"/>
          </w:tcPr>
          <w:p>
            <w:pPr>
              <w:ind w:left="260"/>
              <w:spacing w:after="0"/>
              <w:rPr>
                <w:sz w:val="20"/>
                <w:szCs w:val="20"/>
                <w:color w:val="auto"/>
              </w:rPr>
            </w:pPr>
            <w:r>
              <w:rPr>
                <w:rFonts w:ascii="Courier New" w:cs="Courier New" w:eastAsia="Courier New" w:hAnsi="Courier New"/>
                <w:sz w:val="14"/>
                <w:szCs w:val="14"/>
                <w:color w:val="auto"/>
              </w:rPr>
              <w:t>RECEIVABLES, NET:</w:t>
            </w: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7020" w:type="dxa"/>
            <w:vAlign w:val="bottom"/>
          </w:tcPr>
          <w:p>
            <w:pPr>
              <w:ind w:left="440"/>
              <w:spacing w:after="0"/>
              <w:rPr>
                <w:sz w:val="20"/>
                <w:szCs w:val="20"/>
                <w:color w:val="auto"/>
              </w:rPr>
            </w:pPr>
            <w:r>
              <w:rPr>
                <w:rFonts w:ascii="Courier New" w:cs="Courier New" w:eastAsia="Courier New" w:hAnsi="Courier New"/>
                <w:sz w:val="14"/>
                <w:szCs w:val="14"/>
                <w:color w:val="auto"/>
              </w:rPr>
              <w:t>CUSTOMERS (NET OF $4,571 AT OCTOBER 31, 2000 AND $7,223 AT</w:t>
            </w: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7020" w:type="dxa"/>
            <w:vAlign w:val="bottom"/>
          </w:tcPr>
          <w:p>
            <w:pPr>
              <w:ind w:left="620"/>
              <w:spacing w:after="0"/>
              <w:rPr>
                <w:sz w:val="20"/>
                <w:szCs w:val="20"/>
                <w:color w:val="auto"/>
              </w:rPr>
            </w:pPr>
            <w:r>
              <w:rPr>
                <w:rFonts w:ascii="Courier New" w:cs="Courier New" w:eastAsia="Courier New" w:hAnsi="Courier New"/>
                <w:sz w:val="14"/>
                <w:szCs w:val="14"/>
                <w:color w:val="auto"/>
              </w:rPr>
              <w:t>OCTOBER 31, 1999 FOR ALLOWANCE FOR DOUBTFUL ACCOUNTS)</w:t>
            </w:r>
          </w:p>
        </w:tc>
        <w:tc>
          <w:tcPr>
            <w:tcW w:w="178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255,850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265,331</w:t>
            </w:r>
          </w:p>
        </w:tc>
      </w:tr>
      <w:tr>
        <w:trPr>
          <w:trHeight w:val="166"/>
        </w:trPr>
        <w:tc>
          <w:tcPr>
            <w:tcW w:w="70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78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6,634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3,013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5080" w:type="dxa"/>
            <w:vAlign w:val="bottom"/>
          </w:tcPr>
          <w:p>
            <w:pPr>
              <w:spacing w:after="0"/>
              <w:rPr>
                <w:sz w:val="20"/>
                <w:szCs w:val="20"/>
                <w:color w:val="auto"/>
              </w:rPr>
            </w:pPr>
            <w:r>
              <w:rPr>
                <w:rFonts w:ascii="Courier New" w:cs="Courier New" w:eastAsia="Courier New" w:hAnsi="Courier New"/>
                <w:sz w:val="14"/>
                <w:szCs w:val="14"/>
                <w:color w:val="auto"/>
              </w:rPr>
              <w:t>TOTAL RECEIVABLES, NET</w:t>
            </w:r>
          </w:p>
        </w:tc>
        <w:tc>
          <w:tcPr>
            <w:tcW w:w="4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262,484</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268,344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6080" w:type="dxa"/>
            <w:vAlign w:val="bottom"/>
          </w:tcPr>
          <w:p>
            <w:pPr>
              <w:spacing w:after="0"/>
              <w:rPr>
                <w:sz w:val="20"/>
                <w:szCs w:val="20"/>
                <w:color w:val="auto"/>
              </w:rPr>
            </w:pPr>
            <w:r>
              <w:rPr>
                <w:rFonts w:ascii="Courier New" w:cs="Courier New" w:eastAsia="Courier New" w:hAnsi="Courier New"/>
                <w:sz w:val="14"/>
                <w:szCs w:val="14"/>
                <w:color w:val="auto"/>
              </w:rPr>
              <w:t>INVENTORIES, NET</w:t>
            </w:r>
          </w:p>
        </w:tc>
        <w:tc>
          <w:tcPr>
            <w:tcW w:w="3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194,926</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204,430</w:t>
            </w: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PREPAID EXPENSES AND OTHER CURRENT ASSETS</w:t>
            </w:r>
          </w:p>
        </w:tc>
        <w:tc>
          <w:tcPr>
            <w:tcW w:w="3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12,065</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6,116</w:t>
            </w: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3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39,714</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40,892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498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4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510,167</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531,742</w:t>
            </w:r>
          </w:p>
        </w:tc>
      </w:tr>
    </w:tbl>
    <w:p>
      <w:pPr>
        <w:spacing w:after="0" w:line="4"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760" w:type="dxa"/>
            <w:vAlign w:val="bottom"/>
            <w:gridSpan w:val="2"/>
          </w:tcPr>
          <w:p>
            <w:pPr>
              <w:spacing w:after="0"/>
              <w:rPr>
                <w:sz w:val="20"/>
                <w:szCs w:val="20"/>
                <w:color w:val="auto"/>
              </w:rPr>
            </w:pPr>
            <w:r>
              <w:rPr>
                <w:rFonts w:ascii="Courier New" w:cs="Courier New" w:eastAsia="Courier New" w:hAnsi="Courier New"/>
                <w:sz w:val="14"/>
                <w:szCs w:val="14"/>
                <w:color w:val="auto"/>
              </w:rPr>
              <w:t>LAND AND LAND IMPROVEMENTS</w:t>
            </w:r>
          </w:p>
        </w:tc>
        <w:tc>
          <w:tcPr>
            <w:tcW w:w="38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12,714</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12,397</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AND LEASEHOLD IMPROVEMENTS</w:t>
            </w:r>
          </w:p>
        </w:tc>
        <w:tc>
          <w:tcPr>
            <w:tcW w:w="38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88,485</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85,244</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4940" w:type="dxa"/>
            <w:vAlign w:val="bottom"/>
          </w:tcPr>
          <w:p>
            <w:pPr>
              <w:spacing w:after="0"/>
              <w:rPr>
                <w:sz w:val="14"/>
                <w:szCs w:val="14"/>
                <w:color w:val="auto"/>
              </w:rPr>
            </w:pPr>
          </w:p>
        </w:tc>
        <w:tc>
          <w:tcPr>
            <w:tcW w:w="38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282,298</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256,167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538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4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383,497</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353,808</w:t>
            </w:r>
          </w:p>
        </w:tc>
      </w:tr>
      <w:tr>
        <w:trPr>
          <w:trHeight w:val="166"/>
        </w:trPr>
        <w:tc>
          <w:tcPr>
            <w:tcW w:w="538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4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250,645</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229,636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5680" w:type="dxa"/>
            <w:vAlign w:val="bottom"/>
          </w:tcPr>
          <w:p>
            <w:pPr>
              <w:spacing w:after="0"/>
              <w:rPr>
                <w:sz w:val="20"/>
                <w:szCs w:val="20"/>
                <w:color w:val="auto"/>
              </w:rPr>
            </w:pPr>
            <w:r>
              <w:rPr>
                <w:rFonts w:ascii="Courier New" w:cs="Courier New" w:eastAsia="Courier New" w:hAnsi="Courier New"/>
                <w:sz w:val="14"/>
                <w:szCs w:val="14"/>
                <w:color w:val="auto"/>
              </w:rPr>
              <w:t>TOTAL PROPERTY, PLANT, AND EQUIPMENT</w:t>
            </w:r>
          </w:p>
        </w:tc>
        <w:tc>
          <w:tcPr>
            <w:tcW w:w="3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132,852</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124,172</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DEFERRED</w:t>
            </w: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4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9,883</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8,876</w:t>
            </w:r>
          </w:p>
        </w:tc>
      </w:tr>
      <w:tr>
        <w:trPr>
          <w:trHeight w:val="166"/>
        </w:trPr>
        <w:tc>
          <w:tcPr>
            <w:tcW w:w="140" w:type="dxa"/>
            <w:vAlign w:val="bottom"/>
          </w:tcPr>
          <w:p>
            <w:pPr>
              <w:spacing w:after="0"/>
              <w:rPr>
                <w:sz w:val="14"/>
                <w:szCs w:val="14"/>
                <w:color w:val="auto"/>
              </w:rPr>
            </w:pP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GOODWILL</w:t>
            </w: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AND OTHER ASSETS</w:t>
            </w:r>
          </w:p>
        </w:tc>
        <w:tc>
          <w:tcPr>
            <w:tcW w:w="4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126,488</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122,388</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54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TOTAL ASSETS</w:t>
            </w:r>
          </w:p>
        </w:tc>
        <w:tc>
          <w:tcPr>
            <w:tcW w:w="4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$779,390</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$787,178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4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2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CURRENT PORTION OF LONG-TERM DEBT</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637</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SHORT-TERM DEBT</w:t>
            </w:r>
          </w:p>
        </w:tc>
        <w:tc>
          <w:tcPr>
            <w:tcW w:w="25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11,587</w:t>
            </w:r>
          </w:p>
        </w:tc>
        <w:tc>
          <w:tcPr>
            <w:tcW w:w="7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56,461</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w:t>
            </w:r>
          </w:p>
        </w:tc>
        <w:tc>
          <w:tcPr>
            <w:tcW w:w="25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65,340</w:t>
            </w:r>
          </w:p>
        </w:tc>
        <w:tc>
          <w:tcPr>
            <w:tcW w:w="7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65,543</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ACCRUED WARRANTIES</w:t>
            </w:r>
          </w:p>
        </w:tc>
        <w:tc>
          <w:tcPr>
            <w:tcW w:w="25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55,985</w:t>
            </w:r>
          </w:p>
        </w:tc>
        <w:tc>
          <w:tcPr>
            <w:tcW w:w="7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51,866</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ACCRUED ADVERTISING AND MARKETING PROGRAMS</w:t>
            </w:r>
          </w:p>
        </w:tc>
        <w:tc>
          <w:tcPr>
            <w:tcW w:w="25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36,332</w:t>
            </w:r>
          </w:p>
        </w:tc>
        <w:tc>
          <w:tcPr>
            <w:tcW w:w="7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36,820</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ACCRUED COMPENSATION AND BENEFIT COSTS</w:t>
            </w:r>
          </w:p>
        </w:tc>
        <w:tc>
          <w:tcPr>
            <w:tcW w:w="25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55,992</w:t>
            </w:r>
          </w:p>
        </w:tc>
        <w:tc>
          <w:tcPr>
            <w:tcW w:w="7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54,992</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OTHER ACCRUED LIABILITIES</w:t>
            </w:r>
          </w:p>
        </w:tc>
        <w:tc>
          <w:tcPr>
            <w:tcW w:w="25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35,618</w:t>
            </w:r>
          </w:p>
        </w:tc>
        <w:tc>
          <w:tcPr>
            <w:tcW w:w="7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39,486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520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4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260,892</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305,805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750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23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194,457</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195,600</w:t>
            </w: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OTHER LONG-TERM LIABILITIES</w:t>
            </w:r>
          </w:p>
        </w:tc>
        <w:tc>
          <w:tcPr>
            <w:tcW w:w="23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6,823</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6,110</w:t>
            </w: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3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7500" w:type="dxa"/>
            <w:vAlign w:val="bottom"/>
          </w:tcPr>
          <w:p>
            <w:pPr>
              <w:ind w:left="180"/>
              <w:spacing w:after="0"/>
              <w:rPr>
                <w:sz w:val="20"/>
                <w:szCs w:val="20"/>
                <w:color w:val="auto"/>
              </w:rPr>
            </w:pPr>
            <w:r>
              <w:rPr>
                <w:rFonts w:ascii="Courier New" w:cs="Courier New" w:eastAsia="Courier New" w:hAnsi="Courier New"/>
                <w:sz w:val="14"/>
                <w:szCs w:val="14"/>
                <w:color w:val="auto"/>
              </w:rPr>
              <w:t>COMMON STOCK, PAR VALUE $1.00, AUTHORIZED 35,000,000 SHARES, ISSUED AND</w:t>
            </w:r>
          </w:p>
        </w:tc>
        <w:tc>
          <w:tcPr>
            <w:tcW w:w="23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7500" w:type="dxa"/>
            <w:vAlign w:val="bottom"/>
          </w:tcPr>
          <w:p>
            <w:pPr>
              <w:ind w:left="360"/>
              <w:spacing w:after="0"/>
              <w:rPr>
                <w:sz w:val="20"/>
                <w:szCs w:val="20"/>
                <w:color w:val="auto"/>
              </w:rPr>
            </w:pPr>
            <w:r>
              <w:rPr>
                <w:rFonts w:ascii="Courier New" w:cs="Courier New" w:eastAsia="Courier New" w:hAnsi="Courier New"/>
                <w:sz w:val="14"/>
                <w:szCs w:val="14"/>
                <w:color w:val="auto"/>
              </w:rPr>
              <w:t>OUTSTANDING 12,569,194 SHARES AT OCTOBER 31, 2000 (NET OF 938,861</w:t>
            </w:r>
          </w:p>
        </w:tc>
        <w:tc>
          <w:tcPr>
            <w:tcW w:w="23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7500" w:type="dxa"/>
            <w:vAlign w:val="bottom"/>
          </w:tcPr>
          <w:p>
            <w:pPr>
              <w:ind w:left="360"/>
              <w:spacing w:after="0"/>
              <w:rPr>
                <w:sz w:val="20"/>
                <w:szCs w:val="20"/>
                <w:color w:val="auto"/>
              </w:rPr>
            </w:pPr>
            <w:r>
              <w:rPr>
                <w:rFonts w:ascii="Courier New" w:cs="Courier New" w:eastAsia="Courier New" w:hAnsi="Courier New"/>
                <w:sz w:val="14"/>
                <w:szCs w:val="14"/>
                <w:color w:val="auto"/>
              </w:rPr>
              <w:t>TREASURY SHARES) AND</w:t>
            </w:r>
          </w:p>
        </w:tc>
        <w:tc>
          <w:tcPr>
            <w:tcW w:w="23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7500" w:type="dxa"/>
            <w:vAlign w:val="bottom"/>
          </w:tcPr>
          <w:p>
            <w:pPr>
              <w:ind w:left="360"/>
              <w:spacing w:after="0"/>
              <w:rPr>
                <w:sz w:val="20"/>
                <w:szCs w:val="20"/>
                <w:color w:val="auto"/>
              </w:rPr>
            </w:pPr>
            <w:r>
              <w:rPr>
                <w:rFonts w:ascii="Courier New" w:cs="Courier New" w:eastAsia="Courier New" w:hAnsi="Courier New"/>
                <w:sz w:val="14"/>
                <w:szCs w:val="14"/>
                <w:color w:val="auto"/>
              </w:rPr>
              <w:t>12,569,309 SHARES AT OCTOBER 31, 1999 (NET OF 938,746 TREASURY SHARES)</w:t>
            </w:r>
          </w:p>
        </w:tc>
        <w:tc>
          <w:tcPr>
            <w:tcW w:w="23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12,569</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12,569</w:t>
            </w:r>
          </w:p>
        </w:tc>
      </w:tr>
      <w:tr>
        <w:trPr>
          <w:trHeight w:val="166"/>
        </w:trPr>
        <w:tc>
          <w:tcPr>
            <w:tcW w:w="7500" w:type="dxa"/>
            <w:vAlign w:val="bottom"/>
          </w:tcPr>
          <w:p>
            <w:pPr>
              <w:ind w:left="180"/>
              <w:spacing w:after="0"/>
              <w:rPr>
                <w:sz w:val="20"/>
                <w:szCs w:val="20"/>
                <w:color w:val="auto"/>
              </w:rPr>
            </w:pPr>
            <w:r>
              <w:rPr>
                <w:rFonts w:ascii="Courier New" w:cs="Courier New" w:eastAsia="Courier New" w:hAnsi="Courier New"/>
                <w:sz w:val="14"/>
                <w:szCs w:val="14"/>
                <w:color w:val="auto"/>
              </w:rPr>
              <w:t>ADDITIONAL PAID-IN CAPITAL</w:t>
            </w:r>
          </w:p>
        </w:tc>
        <w:tc>
          <w:tcPr>
            <w:tcW w:w="23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47,540</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45,343</w:t>
            </w:r>
          </w:p>
        </w:tc>
      </w:tr>
      <w:tr>
        <w:trPr>
          <w:trHeight w:val="166"/>
        </w:trPr>
        <w:tc>
          <w:tcPr>
            <w:tcW w:w="7500" w:type="dxa"/>
            <w:vAlign w:val="bottom"/>
          </w:tcPr>
          <w:p>
            <w:pPr>
              <w:ind w:left="180"/>
              <w:spacing w:after="0"/>
              <w:rPr>
                <w:sz w:val="20"/>
                <w:szCs w:val="20"/>
                <w:color w:val="auto"/>
              </w:rPr>
            </w:pPr>
            <w:r>
              <w:rPr>
                <w:rFonts w:ascii="Courier New" w:cs="Courier New" w:eastAsia="Courier New" w:hAnsi="Courier New"/>
                <w:sz w:val="14"/>
                <w:szCs w:val="14"/>
                <w:color w:val="auto"/>
              </w:rPr>
              <w:t>RETAINED EARNINGS</w:t>
            </w:r>
          </w:p>
        </w:tc>
        <w:tc>
          <w:tcPr>
            <w:tcW w:w="23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268,727</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229,532</w:t>
            </w:r>
          </w:p>
        </w:tc>
      </w:tr>
      <w:tr>
        <w:trPr>
          <w:trHeight w:val="166"/>
        </w:trPr>
        <w:tc>
          <w:tcPr>
            <w:tcW w:w="7500" w:type="dxa"/>
            <w:vAlign w:val="bottom"/>
          </w:tcPr>
          <w:p>
            <w:pPr>
              <w:ind w:left="180"/>
              <w:spacing w:after="0"/>
              <w:rPr>
                <w:sz w:val="20"/>
                <w:szCs w:val="20"/>
                <w:color w:val="auto"/>
              </w:rPr>
            </w:pPr>
            <w:r>
              <w:rPr>
                <w:rFonts w:ascii="Courier New" w:cs="Courier New" w:eastAsia="Courier New" w:hAnsi="Courier New"/>
                <w:sz w:val="14"/>
                <w:szCs w:val="14"/>
                <w:color w:val="auto"/>
              </w:rPr>
              <w:t>ACCUMULATED COMPREHENSIVE LOSS</w:t>
            </w:r>
          </w:p>
        </w:tc>
        <w:tc>
          <w:tcPr>
            <w:tcW w:w="23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(11,618)</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(7,781)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20"/>
        <w:spacing w:after="0"/>
        <w:tabs>
          <w:tab w:leader="none" w:pos="8860" w:val="left"/>
          <w:tab w:leader="none" w:pos="10660" w:val="left"/>
        </w:tabs>
        <w:rPr>
          <w:sz w:val="20"/>
          <w:szCs w:val="20"/>
          <w:color w:val="auto"/>
        </w:rPr>
      </w:pPr>
      <w:r>
        <w:rPr>
          <w:rFonts w:ascii="Courier New" w:cs="Courier New" w:eastAsia="Courier New" w:hAnsi="Courier New"/>
          <w:sz w:val="14"/>
          <w:szCs w:val="14"/>
          <w:color w:val="auto"/>
        </w:rPr>
        <w:t>TOTAL STOCKHOLDERS' EQUITY</w:t>
      </w:r>
      <w:r>
        <w:rPr>
          <w:sz w:val="20"/>
          <w:szCs w:val="20"/>
          <w:color w:val="auto"/>
        </w:rPr>
        <w:tab/>
      </w:r>
      <w:r>
        <w:rPr>
          <w:rFonts w:ascii="Courier New" w:cs="Courier New" w:eastAsia="Courier New" w:hAnsi="Courier New"/>
          <w:sz w:val="14"/>
          <w:szCs w:val="14"/>
          <w:color w:val="auto"/>
        </w:rPr>
        <w:t>317,218</w:t>
      </w:r>
      <w:r>
        <w:rPr>
          <w:sz w:val="20"/>
          <w:szCs w:val="20"/>
          <w:color w:val="auto"/>
        </w:rPr>
        <w:tab/>
      </w:r>
      <w:r>
        <w:rPr>
          <w:rFonts w:ascii="Courier New" w:cs="Courier New" w:eastAsia="Courier New" w:hAnsi="Courier New"/>
          <w:sz w:val="14"/>
          <w:szCs w:val="14"/>
          <w:color w:val="auto"/>
        </w:rPr>
        <w:t>279,663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20"/>
        <w:spacing w:after="0"/>
        <w:tabs>
          <w:tab w:leader="none" w:pos="8780" w:val="left"/>
          <w:tab w:leader="none" w:pos="10580" w:val="left"/>
        </w:tabs>
        <w:rPr>
          <w:sz w:val="20"/>
          <w:szCs w:val="20"/>
          <w:color w:val="auto"/>
        </w:rPr>
      </w:pPr>
      <w:r>
        <w:rPr>
          <w:rFonts w:ascii="Courier New" w:cs="Courier New" w:eastAsia="Courier New" w:hAnsi="Courier New"/>
          <w:sz w:val="14"/>
          <w:szCs w:val="14"/>
          <w:color w:val="auto"/>
        </w:rPr>
        <w:t>TOTAL LIABILITIES AND STOCKHOLDERS' EQUITY</w:t>
      </w:r>
      <w:r>
        <w:rPr>
          <w:sz w:val="20"/>
          <w:szCs w:val="20"/>
          <w:color w:val="auto"/>
        </w:rPr>
        <w:tab/>
      </w:r>
      <w:r>
        <w:rPr>
          <w:rFonts w:ascii="Courier New" w:cs="Courier New" w:eastAsia="Courier New" w:hAnsi="Courier New"/>
          <w:sz w:val="14"/>
          <w:szCs w:val="14"/>
          <w:color w:val="auto"/>
        </w:rPr>
        <w:t>$779,390</w:t>
      </w:r>
      <w:r>
        <w:rPr>
          <w:sz w:val="20"/>
          <w:szCs w:val="20"/>
          <w:color w:val="auto"/>
        </w:rPr>
        <w:tab/>
      </w:r>
      <w:r>
        <w:rPr>
          <w:rFonts w:ascii="Courier New" w:cs="Courier New" w:eastAsia="Courier New" w:hAnsi="Courier New"/>
          <w:sz w:val="14"/>
          <w:szCs w:val="14"/>
          <w:color w:val="auto"/>
        </w:rPr>
        <w:t>$787,178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5320"/>
        <w:spacing w:after="0" w:line="255" w:lineRule="auto"/>
        <w:rPr>
          <w:sz w:val="20"/>
          <w:szCs w:val="20"/>
          <w:color w:val="auto"/>
        </w:rPr>
      </w:pPr>
      <w:r>
        <w:rPr>
          <w:rFonts w:ascii="Courier New" w:cs="Courier New" w:eastAsia="Courier New" w:hAnsi="Courier New"/>
          <w:sz w:val="14"/>
          <w:szCs w:val="14"/>
          <w:color w:val="auto"/>
        </w:rPr>
        <w:t>The financial statements should be read in conjunction with the Notes to Consolidated Financial Statements.</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1540"/>
          </w:cols>
          <w:pgMar w:left="220" w:top="285" w:right="139"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24</w:t>
      </w:r>
    </w:p>
    <w:p>
      <w:pPr>
        <w:spacing w:after="0" w:line="3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20"/>
                <w:szCs w:val="20"/>
                <w:color w:val="auto"/>
              </w:rPr>
            </w:pPr>
            <w:r>
              <w:rPr>
                <w:rFonts w:ascii="Courier New" w:cs="Courier New" w:eastAsia="Courier New" w:hAnsi="Courier New"/>
                <w:sz w:val="14"/>
                <w:szCs w:val="14"/>
                <w:color w:val="auto"/>
              </w:rPr>
              <w:t>(Dollars in thousands) Years ended October 31</w:t>
            </w:r>
          </w:p>
        </w:tc>
        <w:tc>
          <w:tcPr>
            <w:tcW w:w="28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2000</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4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7540" w:type="dxa"/>
            <w:vAlign w:val="bottom"/>
          </w:tcPr>
          <w:p>
            <w:pPr>
              <w:ind w:left="260"/>
              <w:spacing w:after="0"/>
              <w:rPr>
                <w:sz w:val="20"/>
                <w:szCs w:val="20"/>
                <w:color w:val="auto"/>
              </w:rPr>
            </w:pPr>
            <w:r>
              <w:rPr>
                <w:rFonts w:ascii="Courier New" w:cs="Courier New" w:eastAsia="Courier New" w:hAnsi="Courier New"/>
                <w:sz w:val="14"/>
                <w:szCs w:val="14"/>
                <w:color w:val="auto"/>
              </w:rPr>
              <w:t>NET EARNINGS</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45,285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35,059</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4,090</w:t>
            </w:r>
          </w:p>
        </w:tc>
      </w:tr>
      <w:tr>
        <w:trPr>
          <w:trHeight w:val="166"/>
        </w:trPr>
        <w:tc>
          <w:tcPr>
            <w:tcW w:w="7540" w:type="dxa"/>
            <w:vAlign w:val="bottom"/>
          </w:tcPr>
          <w:p>
            <w:pPr>
              <w:ind w:left="260"/>
              <w:spacing w:after="0"/>
              <w:rPr>
                <w:sz w:val="20"/>
                <w:szCs w:val="20"/>
                <w:color w:val="auto"/>
              </w:rPr>
            </w:pPr>
            <w:r>
              <w:rPr>
                <w:rFonts w:ascii="Courier New" w:cs="Courier New" w:eastAsia="Courier New" w:hAnsi="Courier New"/>
                <w:sz w:val="14"/>
                <w:szCs w:val="14"/>
                <w:color w:val="auto"/>
              </w:rPr>
              <w:t>ADJUSTMENTS TO RECONCILE NET EARNINGS TO NET CASH PROVIDED BY OPERATING ACTIVITIES:</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7540" w:type="dxa"/>
            <w:vAlign w:val="bottom"/>
          </w:tcPr>
          <w:p>
            <w:pPr>
              <w:ind w:left="260"/>
              <w:spacing w:after="0"/>
              <w:rPr>
                <w:sz w:val="20"/>
                <w:szCs w:val="20"/>
                <w:color w:val="auto"/>
              </w:rPr>
            </w:pPr>
            <w:r>
              <w:rPr>
                <w:rFonts w:ascii="Courier New" w:cs="Courier New" w:eastAsia="Courier New" w:hAnsi="Courier New"/>
                <w:sz w:val="14"/>
                <w:szCs w:val="14"/>
                <w:color w:val="auto"/>
              </w:rPr>
              <w:t>PROVISION FOR DEPRECIATION AND AMORTIZATION</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38,151</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39,105</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37,040</w:t>
            </w:r>
          </w:p>
        </w:tc>
      </w:tr>
      <w:tr>
        <w:trPr>
          <w:trHeight w:val="166"/>
        </w:trPr>
        <w:tc>
          <w:tcPr>
            <w:tcW w:w="7540" w:type="dxa"/>
            <w:vAlign w:val="bottom"/>
          </w:tcPr>
          <w:p>
            <w:pPr>
              <w:ind w:left="260"/>
              <w:spacing w:after="0"/>
              <w:rPr>
                <w:sz w:val="20"/>
                <w:szCs w:val="20"/>
                <w:color w:val="auto"/>
              </w:rPr>
            </w:pPr>
            <w:r>
              <w:rPr>
                <w:rFonts w:ascii="Courier New" w:cs="Courier New" w:eastAsia="Courier New" w:hAnsi="Courier New"/>
                <w:sz w:val="14"/>
                <w:szCs w:val="14"/>
                <w:color w:val="auto"/>
              </w:rPr>
              <w:t>WRITE-DOWN OF AN INVESTMENT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4,106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540" w:type="dxa"/>
            <w:vAlign w:val="bottom"/>
          </w:tcPr>
          <w:p>
            <w:pPr>
              <w:ind w:left="260"/>
              <w:spacing w:after="0"/>
              <w:rPr>
                <w:sz w:val="20"/>
                <w:szCs w:val="20"/>
                <w:color w:val="auto"/>
              </w:rPr>
            </w:pPr>
            <w:r>
              <w:rPr>
                <w:rFonts w:ascii="Courier New" w:cs="Courier New" w:eastAsia="Courier New" w:hAnsi="Courier New"/>
                <w:sz w:val="14"/>
                <w:szCs w:val="14"/>
                <w:color w:val="auto"/>
              </w:rPr>
              <w:t>LOSS ON DISPOSAL OF PROPERTY, PLANT, AND EQUIPMENT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789</w:t>
            </w:r>
          </w:p>
        </w:tc>
      </w:tr>
      <w:tr>
        <w:trPr>
          <w:trHeight w:val="166"/>
        </w:trPr>
        <w:tc>
          <w:tcPr>
            <w:tcW w:w="7540" w:type="dxa"/>
            <w:vAlign w:val="bottom"/>
          </w:tcPr>
          <w:p>
            <w:pPr>
              <w:ind w:left="260"/>
              <w:spacing w:after="0"/>
              <w:rPr>
                <w:sz w:val="20"/>
                <w:szCs w:val="20"/>
                <w:color w:val="auto"/>
              </w:rPr>
            </w:pPr>
            <w:r>
              <w:rPr>
                <w:rFonts w:ascii="Courier New" w:cs="Courier New" w:eastAsia="Courier New" w:hAnsi="Courier New"/>
                <w:sz w:val="14"/>
                <w:szCs w:val="14"/>
                <w:color w:val="auto"/>
              </w:rPr>
              <w:t>CHANGE IN DEFERRED INCOME TAXES</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(7,008)</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1,229</w:t>
            </w:r>
          </w:p>
        </w:tc>
      </w:tr>
      <w:tr>
        <w:trPr>
          <w:trHeight w:val="166"/>
        </w:trPr>
        <w:tc>
          <w:tcPr>
            <w:tcW w:w="7540" w:type="dxa"/>
            <w:vAlign w:val="bottom"/>
          </w:tcPr>
          <w:p>
            <w:pPr>
              <w:ind w:left="260"/>
              <w:spacing w:after="0"/>
              <w:rPr>
                <w:sz w:val="20"/>
                <w:szCs w:val="20"/>
                <w:color w:val="auto"/>
              </w:rPr>
            </w:pPr>
            <w:r>
              <w:rPr>
                <w:rFonts w:ascii="Courier New" w:cs="Courier New" w:eastAsia="Courier New" w:hAnsi="Courier New"/>
                <w:sz w:val="14"/>
                <w:szCs w:val="14"/>
                <w:color w:val="auto"/>
              </w:rPr>
              <w:t>TAX BENEFITS RELATED TO EMPLOYEE STOCK OPTION TRANSACTIONS</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491</w:t>
            </w:r>
          </w:p>
        </w:tc>
      </w:tr>
      <w:tr>
        <w:trPr>
          <w:trHeight w:val="166"/>
        </w:trPr>
        <w:tc>
          <w:tcPr>
            <w:tcW w:w="7540" w:type="dxa"/>
            <w:vAlign w:val="bottom"/>
          </w:tcPr>
          <w:p>
            <w:pPr>
              <w:ind w:left="26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7540" w:type="dxa"/>
            <w:vAlign w:val="bottom"/>
          </w:tcPr>
          <w:p>
            <w:pPr>
              <w:ind w:left="440"/>
              <w:spacing w:after="0"/>
              <w:rPr>
                <w:sz w:val="20"/>
                <w:szCs w:val="20"/>
                <w:color w:val="auto"/>
              </w:rPr>
            </w:pPr>
            <w:r>
              <w:rPr>
                <w:rFonts w:ascii="Courier New" w:cs="Courier New" w:eastAsia="Courier New" w:hAnsi="Courier New"/>
                <w:sz w:val="14"/>
                <w:szCs w:val="14"/>
                <w:color w:val="auto"/>
              </w:rPr>
              <w:t>RECEIVABLES, NET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(23,093)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26,391</w:t>
            </w:r>
          </w:p>
        </w:tc>
      </w:tr>
      <w:tr>
        <w:trPr>
          <w:trHeight w:val="166"/>
        </w:trPr>
        <w:tc>
          <w:tcPr>
            <w:tcW w:w="7540" w:type="dxa"/>
            <w:vAlign w:val="bottom"/>
          </w:tcPr>
          <w:p>
            <w:pPr>
              <w:ind w:left="440"/>
              <w:spacing w:after="0"/>
              <w:rPr>
                <w:sz w:val="20"/>
                <w:szCs w:val="20"/>
                <w:color w:val="auto"/>
              </w:rPr>
            </w:pPr>
            <w:r>
              <w:rPr>
                <w:rFonts w:ascii="Courier New" w:cs="Courier New" w:eastAsia="Courier New" w:hAnsi="Courier New"/>
                <w:sz w:val="14"/>
                <w:szCs w:val="14"/>
                <w:color w:val="auto"/>
              </w:rPr>
              <w:t>INVENTORIES, NET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18,538</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(12,603)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(12,755)</w:t>
            </w:r>
          </w:p>
        </w:tc>
      </w:tr>
      <w:tr>
        <w:trPr>
          <w:trHeight w:val="166"/>
        </w:trPr>
        <w:tc>
          <w:tcPr>
            <w:tcW w:w="7540" w:type="dxa"/>
            <w:vAlign w:val="bottom"/>
          </w:tcPr>
          <w:p>
            <w:pPr>
              <w:ind w:left="44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(5,915)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8,563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(3,629)</w:t>
            </w:r>
          </w:p>
        </w:tc>
      </w:tr>
      <w:tr>
        <w:trPr>
          <w:trHeight w:val="166"/>
        </w:trPr>
        <w:tc>
          <w:tcPr>
            <w:tcW w:w="7540" w:type="dxa"/>
            <w:vAlign w:val="bottom"/>
          </w:tcPr>
          <w:p>
            <w:pPr>
              <w:ind w:left="440"/>
              <w:spacing w:after="0"/>
              <w:rPr>
                <w:sz w:val="20"/>
                <w:szCs w:val="20"/>
                <w:color w:val="auto"/>
              </w:rPr>
            </w:pPr>
            <w:r>
              <w:rPr>
                <w:rFonts w:ascii="Courier New" w:cs="Courier New" w:eastAsia="Courier New" w:hAnsi="Courier New"/>
                <w:sz w:val="14"/>
                <w:szCs w:val="14"/>
                <w:color w:val="auto"/>
              </w:rPr>
              <w:t>ACCOUNTS PAYABLE AND ACCRUED EXPENSES</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5,749</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20,823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15,448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538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7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105,552</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61,612</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69,094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CASH FLOWS FROM INVESTING</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2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PURCHASES OF PROPERTY,</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PLANT, AND EQUIPMENT</w:t>
            </w:r>
          </w:p>
        </w:tc>
        <w:tc>
          <w:tcPr>
            <w:tcW w:w="2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(39,934)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(29,842)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(33,893)</w:t>
            </w:r>
          </w:p>
        </w:tc>
      </w:tr>
      <w:tr>
        <w:trPr>
          <w:trHeight w:val="166"/>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PROCEEDS FROM DISPOSAL</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OF PROPERTY, PLANT, AND EQUIPMENT</w:t>
            </w:r>
          </w:p>
        </w:tc>
        <w:tc>
          <w:tcPr>
            <w:tcW w:w="2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2,907</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541</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3,956</w:t>
            </w:r>
          </w:p>
        </w:tc>
      </w:tr>
      <w:tr>
        <w:trPr>
          <w:trHeight w:val="166"/>
        </w:trPr>
        <w:tc>
          <w:tcPr>
            <w:tcW w:w="6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INCREASE IN INVESTMENTS IN AFFILIATES</w:t>
            </w:r>
          </w:p>
        </w:tc>
        <w:tc>
          <w:tcPr>
            <w:tcW w:w="2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(3,017)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(944)</w:t>
            </w:r>
          </w:p>
        </w:tc>
      </w:tr>
      <w:tr>
        <w:trPr>
          <w:trHeight w:val="166"/>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(INCREASE) DECREASE IN</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OTHER ASSETS</w:t>
            </w:r>
          </w:p>
        </w:tc>
        <w:tc>
          <w:tcPr>
            <w:tcW w:w="2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(3,319)</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(769)</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r>
      <w:tr>
        <w:trPr>
          <w:trHeight w:val="166"/>
        </w:trPr>
        <w:tc>
          <w:tcPr>
            <w:tcW w:w="6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ACQUISITIONS, NET OF CASH ACQUIRED</w:t>
            </w:r>
          </w:p>
        </w:tc>
        <w:tc>
          <w:tcPr>
            <w:tcW w:w="2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(3,014)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(4,067)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(17,173)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520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2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(44,366)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(37,154)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(48,039)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20"/>
                <w:szCs w:val="20"/>
                <w:color w:val="auto"/>
              </w:rPr>
            </w:pPr>
            <w:r>
              <w:rPr>
                <w:rFonts w:ascii="Courier New" w:cs="Courier New" w:eastAsia="Courier New" w:hAnsi="Courier New"/>
                <w:sz w:val="14"/>
                <w:szCs w:val="14"/>
                <w:color w:val="auto"/>
              </w:rPr>
              <w:t>CASH FLOWS FROM</w:t>
            </w: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FINANCING</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2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(REPAYMENTS)</w:t>
            </w:r>
          </w:p>
        </w:tc>
        <w:tc>
          <w:tcPr>
            <w:tcW w:w="48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INCREASE IN SHORT-TERM DEBT</w:t>
            </w:r>
          </w:p>
        </w:tc>
        <w:tc>
          <w:tcPr>
            <w:tcW w:w="2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(48,263)</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20,841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620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REPAYMENTS OF LONG-TERM DEBT</w:t>
            </w:r>
          </w:p>
        </w:tc>
        <w:tc>
          <w:tcPr>
            <w:tcW w:w="2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(3,808)</w:t>
            </w:r>
          </w:p>
        </w:tc>
      </w:tr>
      <w:tr>
        <w:trPr>
          <w:trHeight w:val="166"/>
        </w:trPr>
        <w:tc>
          <w:tcPr>
            <w:tcW w:w="19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INCREASE (DECREASE)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OTHER LONG-TERM LIABILITIES</w:t>
            </w:r>
          </w:p>
        </w:tc>
        <w:tc>
          <w:tcPr>
            <w:tcW w:w="25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648</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572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22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PROCEEDS FROM EXERCISE</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OF STOCK OPTIONS</w:t>
            </w:r>
          </w:p>
        </w:tc>
        <w:tc>
          <w:tcPr>
            <w:tcW w:w="25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4,275</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4,133</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2,219</w:t>
            </w:r>
          </w:p>
        </w:tc>
      </w:tr>
      <w:tr>
        <w:trPr>
          <w:trHeight w:val="166"/>
        </w:trPr>
        <w:tc>
          <w:tcPr>
            <w:tcW w:w="19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PURCHASES OF COMMON</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STOCK</w:t>
            </w:r>
          </w:p>
        </w:tc>
        <w:tc>
          <w:tcPr>
            <w:tcW w:w="2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(17,056)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(29,165)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(1,724)</w:t>
            </w:r>
          </w:p>
        </w:tc>
      </w:tr>
      <w:tr>
        <w:trPr>
          <w:trHeight w:val="166"/>
        </w:trPr>
        <w:tc>
          <w:tcPr>
            <w:tcW w:w="19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DIVIDENDS ON COMMON</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STOCK</w:t>
            </w:r>
          </w:p>
        </w:tc>
        <w:tc>
          <w:tcPr>
            <w:tcW w:w="2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(6,090)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(6,136)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(6,162)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5200" w:type="dxa"/>
            <w:vAlign w:val="bottom"/>
          </w:tcPr>
          <w:p>
            <w:pPr>
              <w:spacing w:after="0"/>
              <w:rPr>
                <w:sz w:val="20"/>
                <w:szCs w:val="20"/>
                <w:color w:val="auto"/>
              </w:rPr>
            </w:pPr>
            <w:r>
              <w:rPr>
                <w:rFonts w:ascii="Courier New" w:cs="Courier New" w:eastAsia="Courier New" w:hAnsi="Courier New"/>
                <w:sz w:val="14"/>
                <w:szCs w:val="14"/>
                <w:color w:val="auto"/>
              </w:rPr>
              <w:t>NET CASH USED IN FINANCING ACTIVITIES</w:t>
            </w:r>
          </w:p>
        </w:tc>
        <w:tc>
          <w:tcPr>
            <w:tcW w:w="2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(68,331)</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(11,333)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(19,525)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3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(3,837)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(1,448)</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gridSpan w:val="7"/>
          </w:tcPr>
          <w:p>
            <w:pPr>
              <w:spacing w:after="0"/>
              <w:rPr>
                <w:sz w:val="20"/>
                <w:szCs w:val="20"/>
                <w:color w:val="auto"/>
              </w:rPr>
            </w:pPr>
            <w:r>
              <w:rPr>
                <w:rFonts w:ascii="Courier New" w:cs="Courier New" w:eastAsia="Courier New" w:hAnsi="Courier New"/>
                <w:sz w:val="14"/>
                <w:szCs w:val="14"/>
                <w:color w:val="auto"/>
              </w:rPr>
              <w:t>NET INCREASE (DECREASE) IN CASH AND</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CASH EQUIVALENTS</w:t>
            </w:r>
          </w:p>
        </w:tc>
        <w:tc>
          <w:tcPr>
            <w:tcW w:w="15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(10,982)</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11,870</w:t>
            </w:r>
          </w:p>
        </w:tc>
        <w:tc>
          <w:tcPr>
            <w:tcW w:w="520" w:type="dxa"/>
            <w:vAlign w:val="bottom"/>
          </w:tcPr>
          <w:p>
            <w:pPr>
              <w:spacing w:after="0"/>
              <w:rPr>
                <w:sz w:val="14"/>
                <w:szCs w:val="14"/>
                <w:color w:val="auto"/>
              </w:rPr>
            </w:pPr>
          </w:p>
        </w:tc>
        <w:tc>
          <w:tcPr>
            <w:tcW w:w="12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82</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BEGINNING OF THE FISCAL YEAR</w:t>
            </w:r>
          </w:p>
        </w:tc>
        <w:tc>
          <w:tcPr>
            <w:tcW w:w="15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11,960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w:t>
            </w:r>
          </w:p>
        </w:tc>
        <w:tc>
          <w:tcPr>
            <w:tcW w:w="520" w:type="dxa"/>
            <w:vAlign w:val="bottom"/>
          </w:tcPr>
          <w:p>
            <w:pPr>
              <w:spacing w:after="0"/>
              <w:rPr>
                <w:sz w:val="14"/>
                <w:szCs w:val="14"/>
                <w:color w:val="auto"/>
              </w:rPr>
            </w:pPr>
          </w:p>
        </w:tc>
        <w:tc>
          <w:tcPr>
            <w:tcW w:w="12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END OF</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THE FISCAL YEAR</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978</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11,960</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20"/>
                <w:szCs w:val="20"/>
                <w:color w:val="auto"/>
              </w:rPr>
            </w:pPr>
            <w:r>
              <w:rPr>
                <w:rFonts w:ascii="Courier New" w:cs="Courier New" w:eastAsia="Courier New" w:hAnsi="Courier New"/>
                <w:sz w:val="14"/>
                <w:szCs w:val="14"/>
                <w:color w:val="auto"/>
              </w:rPr>
              <w:t>SUPPLEMENTAL DISCLOSURES OF CASH FLOW INFORMATION:</w:t>
            </w: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CASH PAID DURING THE FISCAL YEAR FOR:</w:t>
            </w: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7120" w:type="dxa"/>
            <w:vAlign w:val="bottom"/>
          </w:tcPr>
          <w:p>
            <w:pPr>
              <w:ind w:left="440"/>
              <w:spacing w:after="0"/>
              <w:rPr>
                <w:sz w:val="20"/>
                <w:szCs w:val="20"/>
                <w:color w:val="auto"/>
              </w:rPr>
            </w:pPr>
            <w:r>
              <w:rPr>
                <w:rFonts w:ascii="Courier New" w:cs="Courier New" w:eastAsia="Courier New" w:hAnsi="Courier New"/>
                <w:sz w:val="14"/>
                <w:szCs w:val="14"/>
                <w:color w:val="auto"/>
              </w:rPr>
              <w:t>INTEREST</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26,716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24,090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24,363</w:t>
            </w:r>
          </w:p>
        </w:tc>
      </w:tr>
      <w:tr>
        <w:trPr>
          <w:trHeight w:val="166"/>
        </w:trPr>
        <w:tc>
          <w:tcPr>
            <w:tcW w:w="7120" w:type="dxa"/>
            <w:vAlign w:val="bottom"/>
          </w:tcPr>
          <w:p>
            <w:pPr>
              <w:ind w:left="440"/>
              <w:spacing w:after="0"/>
              <w:rPr>
                <w:sz w:val="20"/>
                <w:szCs w:val="20"/>
                <w:color w:val="auto"/>
              </w:rPr>
            </w:pPr>
            <w:r>
              <w:rPr>
                <w:rFonts w:ascii="Courier New" w:cs="Courier New" w:eastAsia="Courier New" w:hAnsi="Courier New"/>
                <w:sz w:val="14"/>
                <w:szCs w:val="14"/>
                <w:color w:val="auto"/>
              </w:rPr>
              <w:t>INCOME TAXES</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29,162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21,838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3,345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STOCK ISSUED IN CONNECTION WITH ACQUISITIONS AND STOCK COMPENSATION PLANS</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14,641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13,055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24,770</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DEBT ISSUED IN CONNECTION WITH AN ACQUISITION</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15,761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5320"/>
        <w:spacing w:after="0" w:line="255" w:lineRule="auto"/>
        <w:rPr>
          <w:sz w:val="20"/>
          <w:szCs w:val="20"/>
          <w:color w:val="auto"/>
        </w:rPr>
      </w:pPr>
      <w:r>
        <w:rPr>
          <w:rFonts w:ascii="Courier New" w:cs="Courier New" w:eastAsia="Courier New" w:hAnsi="Courier New"/>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29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1540"/>
          </w:cols>
          <w:pgMar w:left="220" w:top="285" w:right="139" w:bottom="1440" w:gutter="0" w:footer="0" w:header="0"/>
        </w:sectPr>
      </w:pPr>
    </w:p>
    <w:bookmarkStart w:id="24" w:name="page25"/>
    <w:bookmarkEnd w:id="24"/>
    <w:p>
      <w:pPr>
        <w:spacing w:after="0" w:line="4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25</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left="260" w:hanging="252"/>
        <w:spacing w:after="0"/>
        <w:tabs>
          <w:tab w:leader="none" w:pos="2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AND RELATED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NATURE OF OPERATIONS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principal business of The Toro Company and all wholly owned and majority-owned domestic and foreign subsidiaries ("Toro" or "the company") is the development, manufacture, and selling of outdoor beautification equipment and systems used in the residential and professional markets. Toro products are sold through a network of distributors, dealers, hardware retailers, home centers, mass retailers, and over the Internet.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CONSOLIDATION</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accompanying consolidated financial statements include the accounts of the company. The company records its investment in each unconsolidated affiliated company (20 to 50 percent ownership) at its related equity in the net assets of such affiliate and other investments (less than 20 percent ownership) are recorded at cost. All material intercompany accounts and transactions have been eliminated from the consolidated financial statements.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considers all highly liquid investments purchased with</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 maturity of 3 months or less to be cash equivalents. At October 31, 2000, the company had $2,380,000 included in trade payables that represented the reclassification of outstanding checks in excess of related bank balances. There were no such amounts on October 31, 1999.</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Inventories are valued at the lower of cost or net realizable value with cost determined by the last-in, first-out (LIFO) method for most inventories.</w:t>
      </w:r>
    </w:p>
    <w:p>
      <w:pPr>
        <w:spacing w:after="0" w:line="16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Inventories at October 31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RAW MATERIALS AND WORK IN PROGRESS</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$101,784</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$104,676</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132,526</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142,028</w:t>
            </w:r>
          </w:p>
        </w:tc>
      </w:tr>
    </w:tbl>
    <w:p>
      <w:pPr>
        <w:spacing w:after="0" w:line="4"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234,310246,704</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LESS LIFO AND OTHER RESERVES</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39,384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42,274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$194,926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204,430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AND DEPRECIATION</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Property, plant, and equipment are carried at cost. The company provides for depreciation of plant and equipment utilizing the straight-line method over the estimated useful lives of the assets. Buildings, including leasehold improvements, are generally depreciated over 10 to 45 years, and equipment over 3 to 7 years. Tooling costs are generally amortized over 3 to 5 years using the units of production method. Expenditures for major renewals and betterments, which substantially increase the useful lives of existing assets, are capitalized, and maintenance and repairs are charged to operating expenses as incurred. Interest is capitalized during the construction period for significant capital projects. During the years ended October 31, 2000 and 1999, the company capitalized $587,000 and $156,000 of interest, respectively.</w:t>
      </w:r>
    </w:p>
    <w:p>
      <w:pPr>
        <w:spacing w:after="0" w:line="5"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In fiscal 2000, the company adopted the Statement of Position (SOP) 98-1, "Accounting for the Costs of Computer Software Developed or Obtained for Internal Use." Software and web site costs are generally amortized over 2 to 5 years utilizing the straight-line method. In fiscal 2000, the company capitalized $4,312,000 and amortized $294,000 related to software and web site costs developed or obtained for internal use. All software and web site costs prior to the adoption of SOP 98-1 in fiscal 2000 were expensed at the time of purchase or related costs incurred.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GOODWILL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Goodwill is amortized on a straight-line basis over periods ranging</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from 3 to 20 years. Goodwill totaled $109,347,000 and $101,986,000 at October 31, 2000 and 1999, respectively, net of accumulated amortization of $33,807,000 at October 31, 2000 and $25,329,000 at October 31, 1999.</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IMPAIRMENT OF LONG-LIVED ASSETS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reviews long-lived assets, including identifiable intangibles and associated goodwill, for impairment when events or changes in circumstances warrant such a review. An asset is deemed impaired and written down to its fair value if expected associated undiscounted future cash flows are less than its carrying value.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ACCRUED WARRANTIES</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provides an accrual for estimated future warranty costs based upon the historical relationship of warranty costs to sales by product line and specific known future costs.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EXCHANGE CONTRACTS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Forward exchange contracts are used to hedge certain foreign currency transactions and forecasted sales and purchases denominated in foreign currencies. These financial exposures are managed in accordance with the company's policies and procedures. The company does not hold or issue derivative financial instruments for speculative or trading purposes. Foreign currency</w:t>
      </w:r>
    </w:p>
    <w:p>
      <w:pPr>
        <w:sectPr>
          <w:pgSz w:w="11900" w:h="16885" w:orient="portrait"/>
          <w:cols w:equalWidth="0" w:num="1">
            <w:col w:w="10239"/>
          </w:cols>
          <w:pgMar w:left="220" w:top="285" w:right="1440" w:bottom="0" w:gutter="0" w:footer="0" w:header="0"/>
        </w:sectPr>
      </w:pPr>
    </w:p>
    <w:bookmarkStart w:id="25" w:name="page26"/>
    <w:bookmarkEnd w:id="25"/>
    <w:p>
      <w:pPr>
        <w:ind w:right="3679"/>
        <w:spacing w:after="0" w:line="255" w:lineRule="auto"/>
        <w:rPr>
          <w:sz w:val="20"/>
          <w:szCs w:val="20"/>
          <w:color w:val="auto"/>
        </w:rPr>
      </w:pPr>
      <w:r>
        <w:rPr>
          <w:rFonts w:ascii="Courier New" w:cs="Courier New" w:eastAsia="Courier New" w:hAnsi="Courier New"/>
          <w:sz w:val="14"/>
          <w:szCs w:val="14"/>
          <w:color w:val="auto"/>
        </w:rPr>
        <w:t>exchange contract gains and losses are included in other income, net, on the Consolidated Statements of Earnings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141"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TRANSLATION AND TRANSACTIONS</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functional currency of the company's foreign operations is the applicable local currency. The functional currency is translated into U.S. dollars for balance sheet accounts using current exchange rates in effect at the balance sheet date and for revenue and expense accounts using a weighted average exchange rate during the fiscal year. The translation adjustments are deferred as a separate component of stockholders' equity, captioned accumulated comprehensive loss. Gains or losses resulting from transactions denominated in foreign currencies are included in other income, net, on the Consolidated Statements of Earnings and Comprehensive Income.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INCOME</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Accumulated comprehensive income for the company consists of net earnings and foreign currency translation adjustments. Foreign currency translation adjustments are captioned as other comprehensive loss in the Consolidated Statement of Earnings and Comprehensive Income.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STOCK-BASED COMPENSATION</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Statement of Financial Accounting Standards (SFAS) No. 123, "Accounting for Stock-Based Compensation," requires companies to measure employee stock compensation plans based on the fair value method of accounting or to continue to apply Accounting Principles Board Opinion No. 25, "Accounting for Stock Issued to Employees," (APB No. 25), and provide pro forma footnote disclosures under the fair value method in SFAS No. 123. The company continues to apply the principles of APB No. 25 and has provided pro forma fair value disclosures in Note 9.</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FOR REVENUES</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Revenue is recognized at the time products are shipped to customers. Freight revenue billed to customers and expenses incurred for shipping products to customers are reported as part of net sales.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ADVERTISING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advertising expenditures and the related production are expensed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 in which costs are incurred or the first time advertising takes place.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Cooperative advertising represents expenditures for shared advertising costs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the company reimburses to customers. These obligations are accrued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expensed when the related revenues are recognized in accordance with the program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established for various product lines. Advertising costs were $34,751,000,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$36,209,000, and $36,055,000 for the fiscal years ended 2000, 1999, and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FINANCING DISTRIBUTOR/DEALER INVENTORY</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enters into certain inventory repurchase agreements with third party financing companies. The company records sales when product is shipped to distributors, and the distributors then sell product to dealers. The company has repurchased only immaterial amounts of inventory from third party financing companies over the last three years. Any expected costs of repurchasing inventory has been provided for in the allowance for doubtful accounts. At October 31, 2000, the company was contingently liable to repurchase $3,695,665 of inventory relating to receivables under these financing arrangements.</w:t>
      </w:r>
    </w:p>
    <w:p>
      <w:pPr>
        <w:spacing w:after="0" w:line="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Included in selling, general, and administrative expense are costs associated with programs in which the company shares the expense of financing distributor and dealer inventories. This charge represents interest for a pre-established length of time at a predefined rate from a contract with a third party financing source to finance distributor and dealer inventory purchases. These financing arrangements are used by the company as a marketing tool to enable customers to buy inventory. The financing costs for distributor and dealer inventories were $8,586,000, $8,497,000, and $10,499,000 for the fiscal years ended 2000, 1999, and 1998,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has reflected the necessary deferred tax asset/liability in the accompanying balance sheets. Management believes the future tax deductions will be realized principally through carryback to taxable income in prior years, future reversals of existing taxable temporary differences, and to a lesser extent, future taxable income.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EARNINGS PER SHARE</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Basic net earnings per share is calculated using net earnings available to common stockholders divided by the weighted average number of shares of common stock outstanding during the year plus the assumed issuance of contingent shares. Dilutive net earnings per share is similar to basic net earnings per share except that the weighted average number of shares of common stock outstanding plus the assumed issuance of contingent shares is increased to include the number of additional shares of common stock that would have been outstanding, such as common stock to be issued upon exercise of options, contingently issuable shares, and assumed issuance of restricted shares.</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5" w:right="1440" w:bottom="1088" w:gutter="0" w:footer="0" w:header="0"/>
        </w:sectPr>
      </w:pPr>
    </w:p>
    <w:bookmarkStart w:id="27" w:name="page28"/>
    <w:bookmarkEnd w:id="27"/>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27</w:t>
      </w:r>
    </w:p>
    <w:p>
      <w:pPr>
        <w:spacing w:after="0" w:line="7" w:lineRule="exact"/>
        <w:rPr>
          <w:sz w:val="20"/>
          <w:szCs w:val="20"/>
          <w:color w:val="auto"/>
        </w:rPr>
      </w:pPr>
    </w:p>
    <w:p>
      <w:pPr>
        <w:ind w:right="3339" w:firstLine="258"/>
        <w:spacing w:after="0" w:line="255" w:lineRule="auto"/>
        <w:rPr>
          <w:sz w:val="20"/>
          <w:szCs w:val="20"/>
          <w:color w:val="auto"/>
        </w:rPr>
      </w:pPr>
      <w:r>
        <w:rPr>
          <w:rFonts w:ascii="Courier New" w:cs="Courier New" w:eastAsia="Courier New" w:hAnsi="Courier New"/>
          <w:sz w:val="14"/>
          <w:szCs w:val="14"/>
          <w:color w:val="auto"/>
        </w:rPr>
        <w:t>Reconciliations of basic and dilutive weighted average shares of common stock outstanding are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WEIGHTED AVERAGE</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NUMBER</w:t>
            </w: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9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OF SHARES OF COMMON STOCK</w:t>
            </w: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OUTSTANDING</w:t>
            </w:r>
          </w:p>
        </w:tc>
        <w:tc>
          <w:tcPr>
            <w:tcW w:w="1520" w:type="dxa"/>
            <w:vAlign w:val="bottom"/>
          </w:tcPr>
          <w:p>
            <w:pPr>
              <w:spacing w:after="0"/>
              <w:rPr>
                <w:sz w:val="14"/>
                <w:szCs w:val="14"/>
                <w:color w:val="auto"/>
              </w:rPr>
            </w:pP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12,708,342</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12,752,700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12,794,128</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ASSUMED ISSUANCE</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9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CONTINGENT SHARES</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61,393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126,591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NUMBER</w:t>
      </w:r>
    </w:p>
    <w:p>
      <w:pPr>
        <w:spacing w:after="0" w:line="7" w:lineRule="exact"/>
        <w:rPr>
          <w:rFonts w:ascii="Courier New" w:cs="Courier New" w:eastAsia="Courier New" w:hAnsi="Courier New"/>
          <w:sz w:val="14"/>
          <w:szCs w:val="14"/>
          <w:color w:val="auto"/>
        </w:rPr>
      </w:pPr>
    </w:p>
    <w:p>
      <w:pPr>
        <w:ind w:left="260" w:right="78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SHARES OF COMMON STOCK AND ASSUMED ISSUANCE OF</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CONTINGENT SHARES</w:t>
            </w:r>
          </w:p>
        </w:tc>
        <w:tc>
          <w:tcPr>
            <w:tcW w:w="3960" w:type="dxa"/>
            <w:vAlign w:val="bottom"/>
          </w:tcPr>
          <w:p>
            <w:pPr>
              <w:jc w:val="right"/>
              <w:spacing w:after="0"/>
              <w:rPr>
                <w:sz w:val="20"/>
                <w:szCs w:val="20"/>
                <w:color w:val="auto"/>
              </w:rPr>
            </w:pPr>
            <w:r>
              <w:rPr>
                <w:rFonts w:ascii="Courier New" w:cs="Courier New" w:eastAsia="Courier New" w:hAnsi="Courier New"/>
                <w:sz w:val="14"/>
                <w:szCs w:val="14"/>
                <w:color w:val="auto"/>
              </w:rPr>
              <w:t>12,769,735   12,879,291   12,794,128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WEIGHTED AVERAGE NUMBER</w:t>
            </w: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OF SHARES OF COMMON STOCK</w:t>
            </w: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AND ASSUMED ISSUANCE OF</w:t>
            </w: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CONTINGENT SHARES</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12,769,735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12,879,291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12,794,128</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ASSUMED CONVERSION OF STOCK</w:t>
            </w: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OPTIONS, CONTINGENTLY</w:t>
            </w: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ISSUABLE SHARES, AND</w:t>
            </w: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ASSUMED ISSUANCE OF</w:t>
            </w: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RESTRICTED SHARES</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288,140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398,306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403,548</w:t>
            </w:r>
          </w:p>
        </w:tc>
      </w:tr>
    </w:tbl>
    <w:p>
      <w:pPr>
        <w:spacing w:after="0" w:line="4"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right="7999" w:hanging="25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NUMBER OF SHARES OF COMMON STOCK, ASSUMED ISSUANCE OF</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CONTINGENT</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AND RESTRICTED</w:t>
            </w:r>
          </w:p>
        </w:tc>
        <w:tc>
          <w:tcPr>
            <w:tcW w:w="132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SHARES,</w:t>
            </w:r>
          </w:p>
        </w:tc>
        <w:tc>
          <w:tcPr>
            <w:tcW w:w="2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CONTINGENTLY ISSUABLE</w:t>
            </w:r>
          </w:p>
        </w:tc>
        <w:tc>
          <w:tcPr>
            <w:tcW w:w="132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SHARES,</w:t>
            </w:r>
          </w:p>
        </w:tc>
        <w:tc>
          <w:tcPr>
            <w:tcW w:w="2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ASSUMED CONVERSION</w:t>
            </w:r>
          </w:p>
        </w:tc>
        <w:tc>
          <w:tcPr>
            <w:tcW w:w="132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OF OPTIONS</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OUTSTANDING</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13,057,875</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13,277,597  13,197,676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ESTIMATES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the reported amounts of revenue and expenses during the reporting period. Actual results could differ from those estimates.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Certain amounts from prior years' financial statements have been reclassified to conform to the current year presentation.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PRONOUNCEMENTS</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December 1999, the Securities and Exchange Commission (SEC) staff issued Staff Accounting Bulletin No. 101, "Revenue Recognition in Financial Statements" (SAB 101). SAB 101 summarizes certain SEC staff views in applying accounting principles generally accepted in the United States of America to revenue recognition in financial statements. SAB 101 will be effective for the company in the fourth quarter of fiscal year 2001. Toro is currently evaluating the impact of SAB 101 on its financial condition and results of operations.</w:t>
      </w:r>
    </w:p>
    <w:p>
      <w:pPr>
        <w:spacing w:after="0" w:line="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During fiscal 1998, the Financial Accounting Standards Board (FASB) issued SFAS No. 133, "Accounting for Derivative Instruments and Hedging Activities." SFAS 133 establishes new standards for recognizing all derivatives as either assets or liabilities, and measuring those instruments at fair value. The company adopted the new standard in the first quarter of fiscal year 2001. The adoption of SFAS 133 did not have a significant impact on the company's financial condition or results of operations.</w:t>
      </w:r>
    </w:p>
    <w:p>
      <w:pPr>
        <w:spacing w:after="0" w:line="330" w:lineRule="exact"/>
        <w:rPr>
          <w:sz w:val="20"/>
          <w:szCs w:val="20"/>
          <w:color w:val="auto"/>
        </w:rPr>
      </w:pPr>
    </w:p>
    <w:p>
      <w:pPr>
        <w:ind w:left="260" w:hanging="252"/>
        <w:spacing w:after="0"/>
        <w:tabs>
          <w:tab w:leader="none" w:pos="2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ACQUISITIONS, INVESTMENTS IN AFFILIATES, AND DIVESTITURES</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In fiscal 2000, Toro acquired the operating assets of Sitework Systems, Inc., a nationwide domestic manufacturer's sales representative of the Dingo compact utility loader. In fiscal 2001, Toro plans to distribute this product directly to dealers through the newly acquired sales force.</w:t>
      </w:r>
    </w:p>
    <w:p>
      <w:pPr>
        <w:spacing w:after="0" w:line="2" w:lineRule="exact"/>
        <w:rPr>
          <w:sz w:val="20"/>
          <w:szCs w:val="20"/>
          <w:color w:val="auto"/>
        </w:rPr>
      </w:pPr>
    </w:p>
    <w:p>
      <w:pPr>
        <w:ind w:right="3419" w:firstLine="258"/>
        <w:spacing w:after="0" w:line="250" w:lineRule="auto"/>
        <w:rPr>
          <w:sz w:val="20"/>
          <w:szCs w:val="20"/>
          <w:color w:val="auto"/>
        </w:rPr>
      </w:pPr>
      <w:r>
        <w:rPr>
          <w:rFonts w:ascii="Courier New" w:cs="Courier New" w:eastAsia="Courier New" w:hAnsi="Courier New"/>
          <w:sz w:val="14"/>
          <w:szCs w:val="14"/>
          <w:color w:val="auto"/>
        </w:rPr>
        <w:t>In fiscal 2000, the company completed the purchase of two distribution companies, including one for which an irrevocable purchase agreement was signed in fiscal 1999. These companies distribute product to the professional and residential markets.</w:t>
      </w:r>
    </w:p>
    <w:p>
      <w:pPr>
        <w:spacing w:after="0" w:line="2"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In fiscal 1999, the company completed the purchase of two Midwestern-based distributors and signed an irrevocable purchase agreement referred to above. All of these companies distribute products to the professional market, and two distribute products to the residential market.</w:t>
      </w:r>
    </w:p>
    <w:p>
      <w:pPr>
        <w:spacing w:after="0" w:line="2"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In fiscal 1999, Toro became an equity partner in ProShot Golf, Inc. (ProShot). ProShot is a California-based provider of information and communication products to the golf industry, featuring Global Positioning Satellite (GPS)-based measurement and course management systems, primarily for golf carts. In fiscal 2000, ProShot agreed to be acquired by Inforetech Wireless Technology, Inc. In fiscal 2000, Toro recorded a valuation charge of $4,106,000 related to the write-down of this investment.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 fiscal 1999, Toro purchased the assets of Multi-Core Aerators Limited, a</w:t>
      </w:r>
    </w:p>
    <w:p>
      <w:pPr>
        <w:sectPr>
          <w:pgSz w:w="11900" w:h="16877" w:orient="portrait"/>
          <w:cols w:equalWidth="0" w:num="1">
            <w:col w:w="10239"/>
          </w:cols>
          <w:pgMar w:left="220" w:top="285" w:right="1440" w:bottom="0" w:gutter="0" w:footer="0" w:header="0"/>
        </w:sectPr>
      </w:pPr>
    </w:p>
    <w:bookmarkStart w:id="28" w:name="page29"/>
    <w:bookmarkEnd w:id="28"/>
    <w:p>
      <w:pPr>
        <w:ind w:right="3599"/>
        <w:spacing w:after="0" w:line="251" w:lineRule="auto"/>
        <w:rPr>
          <w:sz w:val="20"/>
          <w:szCs w:val="20"/>
          <w:color w:val="auto"/>
        </w:rPr>
      </w:pPr>
      <w:r>
        <w:rPr>
          <w:rFonts w:ascii="Courier New" w:cs="Courier New" w:eastAsia="Courier New" w:hAnsi="Courier New"/>
          <w:sz w:val="14"/>
          <w:szCs w:val="14"/>
          <w:color w:val="auto"/>
        </w:rPr>
        <w:t>European provider of large turf aeration equipment. Toro also acquired the technology and manufacturing rights for battery-operated valves and remote hand-held controllers for irrigation products from a French manufacturer. The technology was incorporated into both the Toro and Irritrol Systems product lines.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141"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28</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 fiscal 1998, the company completed the acquisition of Exmark,</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 leading manufacturer of equipment for the professional landscape contractor industry. Under the terms of the purchase agreement, the company was required to make contingent payments to Exmark shareholders if Exmark's post-acquisition earnings and sales growth from November 1, 1997 through October 31, 1999 exceeded minimum levels established in the purchase agreement. The company issued 309,309 shares of Toro Common Stock valued at $10.5 million and paid $1.6 million of cash in January 2000 related to the fiscal 1999 contingent payment. No further amounts will be due under this agreement.</w:t>
      </w:r>
    </w:p>
    <w:p>
      <w:pPr>
        <w:spacing w:after="0" w:line="3"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The acquisitions described above, except for the equity investment in ProShot, were accounted for using the purchase accounting method. Accordingly, the purchase price was allocated based on the estimated fair values of assets acquired and liabilities assumed on the date of acquisition. The excess purchase price over the estimated fair value of net tangible assets and identifiable intangible assets acquired was recorded as goodwill, and is being amortized on a straight-line basis over a 5 to 20 year period.</w:t>
      </w:r>
    </w:p>
    <w:p>
      <w:pPr>
        <w:spacing w:after="0" w:line="3"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During fiscal 1999, Toro sold the licensing rights and certain assets of its outdoor lighting business. The company also completed the sale of its professional fertilizer and recycling equipment businesses.</w:t>
      </w:r>
    </w:p>
    <w:p>
      <w:pPr>
        <w:spacing w:after="0" w:line="329" w:lineRule="exact"/>
        <w:rPr>
          <w:sz w:val="20"/>
          <w:szCs w:val="20"/>
          <w:color w:val="auto"/>
        </w:rPr>
      </w:pPr>
    </w:p>
    <w:p>
      <w:pPr>
        <w:ind w:left="260" w:hanging="252"/>
        <w:spacing w:after="0"/>
        <w:tabs>
          <w:tab w:leader="none" w:pos="2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CHARGES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fiscal 1999, the company recorded a restructuring charge of $3,118,000 for asset write-downs and severance costs for management, sales force changes, and plant employees related to the closure of an Australian manufacturing facility. Other unusual expense was reduced by $1,386,000, relating to the reversal for the unused portion of the one-time residential marketing programs accrued in fiscal 1998 discussed below. Restructuring expense included approximately $1,549,000 of cash charges primarily related to severance costs, and approximately $1,569,000 of net non-cash charges related to the write-down of assets.</w:t>
      </w:r>
    </w:p>
    <w:p>
      <w:pPr>
        <w:spacing w:after="0" w:line="16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In fiscal 1998, the company recorded a charge of $15,042,000 for restructuring and other unusual expense. The restructuring charges of $5,770,000 consisted of $4,359,000 for the severance and asset write-down related to the closure of two manufacturing facilities and $1,411,000 for other severance costs. Other unusual expense consisted of $5,321,000 for the impairment loss related to the expected sale of the recycling equipment business and portions of the professional fertilizer business, and $3,951,000 for special marketing programs. These programs consisted of one-time rebates and co-op advertising credits designed to reduce certain residential field inventories by providing incentives to increase retail sales in preparation for anticipated changes in warehousing and transportation. Restructuring and other unusual expense included approximately $8,600,000 of cash charges primarily related to severance and marketing programs, and approximately $6,400,000 of non-cash charges related to the write-down of assets.</w:t>
      </w:r>
    </w:p>
    <w:p>
      <w:pPr>
        <w:spacing w:after="0" w:line="16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At October 31, 1998, the company had $10,716,000 of restructuring and other unusual expense remaining in other accrued liabilities. During fiscal 1999, the company utilized or reversed $11,565,000 of these reserves and accrued an additional $3,118,000 of restructuring charges, leaving $2,269,000 remaining in accrued liabilities for restructuring and other unusual expense at October 31, 1999. During fiscal 2000, the company utilized $922,000 of these reserves, leaving $1,347,000 remaining in accrued liabilities for restructuring and other unusual expense at October 31, 2000. The company expects these reserves to be utilized when its closed facilities available for sale are sold.</w:t>
      </w:r>
    </w:p>
    <w:p>
      <w:pPr>
        <w:spacing w:after="0" w:line="329" w:lineRule="exact"/>
        <w:rPr>
          <w:sz w:val="20"/>
          <w:szCs w:val="20"/>
          <w:color w:val="auto"/>
        </w:rPr>
      </w:pPr>
    </w:p>
    <w:p>
      <w:pPr>
        <w:ind w:left="260" w:hanging="252"/>
        <w:spacing w:after="0"/>
        <w:tabs>
          <w:tab w:leader="none" w:pos="2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NET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(expense) is as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 (Dollars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788</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$ 2,015</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853</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GROSS FINANCE CHARGE REVENUE</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5,460</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4,082</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4,489</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ROYALTIES</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1,433</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1,930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1,815</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FOREIGN CURRENCY LOSSES</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(4,949)</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(1,691)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(602)</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INSURANCE RECOVERY, NET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2,208</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INVESTMENT VALUATION CHARGE</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(4,106)</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MISCELLANEOUS</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257</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162</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$1,091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$6,498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8,473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260" w:hanging="252"/>
        <w:spacing w:after="0"/>
        <w:tabs>
          <w:tab w:leader="none" w:pos="2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SHORT-TERM CAPITAL RESOURCES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October 31, 2000, the company had available committed unsecured lines of credit with domestic banks in the aggregate of $269,750,000. Interest expense on these credit lines is based on LIBOR plus a basis point spread defined in the current loan agreements. Most of these agreements also require the company to pay a fee of 0.175 - 0.200 percent per year on the available lines of credit, which is included in interest expense. The company also has bankers' acceptance agreements under which an additional $40,000,000 of credit lines are available. The company's non-U.S. operations maintain unsecured short-term lines of credit of $15,246,000. These facilities bear interest at various rates depending on the rates in their respective countries of operation.</w:t>
      </w:r>
    </w:p>
    <w:p>
      <w:pPr>
        <w:sectPr>
          <w:pgSz w:w="11900" w:h="16838" w:orient="portrait"/>
          <w:cols w:equalWidth="0" w:num="1">
            <w:col w:w="10239"/>
          </w:cols>
          <w:pgMar w:left="220" w:top="285" w:right="1440" w:bottom="0" w:gutter="0" w:footer="0" w:header="0"/>
        </w:sectPr>
      </w:pPr>
    </w:p>
    <w:bookmarkStart w:id="30" w:name="page31"/>
    <w:bookmarkEnd w:id="30"/>
    <w:p>
      <w:pPr>
        <w:ind w:left="214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9019"/>
          </w:cols>
          <w:pgMar w:left="1440" w:top="307" w:right="1440" w:bottom="1440" w:gutter="0" w:footer="0" w:header="0"/>
        </w:sectPr>
      </w:pPr>
    </w:p>
    <w:bookmarkStart w:id="31" w:name="page32"/>
    <w:bookmarkEnd w:id="31"/>
    <w:p>
      <w:pPr>
        <w:spacing w:after="0" w:line="4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29</w:t>
      </w:r>
    </w:p>
    <w:p>
      <w:pPr>
        <w:spacing w:after="0" w:line="338"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The company had $11,587,000 outstanding at October 31, 2000 and $56,461,000 outstanding at October 31, 1999 under these lines of credit. The weighted average interest rate on short-term debt outstanding at October 31, 2000 and 1999 was 7.25 percent and 5.82 percent, respectively.</w:t>
      </w:r>
    </w:p>
    <w:p>
      <w:pPr>
        <w:spacing w:after="0" w:line="328" w:lineRule="exact"/>
        <w:rPr>
          <w:sz w:val="20"/>
          <w:szCs w:val="20"/>
          <w:color w:val="auto"/>
        </w:rPr>
      </w:pPr>
    </w:p>
    <w:p>
      <w:pPr>
        <w:ind w:left="260" w:hanging="252"/>
        <w:spacing w:after="0"/>
        <w:tabs>
          <w:tab w:leader="none" w:pos="2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DEBT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summary of long-term debt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(Dollars in thousands) October 31</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INDUSTRIAL REVENUE BOND</w:t>
            </w:r>
          </w:p>
        </w:tc>
        <w:tc>
          <w:tcPr>
            <w:tcW w:w="1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8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WITH VARIOUS INTEREST RATES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$ 1,565</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7.000%</w:t>
            </w:r>
          </w:p>
        </w:tc>
        <w:tc>
          <w:tcPr>
            <w:tcW w:w="32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NOTES, DUE FEBRUARY 17, 2003</w:t>
            </w:r>
          </w:p>
        </w:tc>
        <w:tc>
          <w:tcPr>
            <w:tcW w:w="82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15,761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15,761</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7.125%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NOTES, DUE JUNE</w:t>
            </w:r>
          </w:p>
        </w:tc>
        <w:tc>
          <w:tcPr>
            <w:tcW w:w="1860" w:type="dxa"/>
            <w:vAlign w:val="bottom"/>
          </w:tcPr>
          <w:p>
            <w:pPr>
              <w:spacing w:after="0"/>
              <w:rPr>
                <w:sz w:val="20"/>
                <w:szCs w:val="20"/>
                <w:color w:val="auto"/>
              </w:rPr>
            </w:pPr>
            <w:r>
              <w:rPr>
                <w:rFonts w:ascii="Courier New" w:cs="Courier New" w:eastAsia="Courier New" w:hAnsi="Courier New"/>
                <w:sz w:val="14"/>
                <w:szCs w:val="14"/>
                <w:color w:val="auto"/>
              </w:rPr>
              <w:t>15, 2007</w:t>
            </w:r>
          </w:p>
        </w:tc>
        <w:tc>
          <w:tcPr>
            <w:tcW w:w="82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75,000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75,000</w:t>
            </w:r>
          </w:p>
        </w:tc>
      </w:tr>
      <w:tr>
        <w:trPr>
          <w:trHeight w:val="166"/>
        </w:trPr>
        <w:tc>
          <w:tcPr>
            <w:tcW w:w="3840" w:type="dxa"/>
            <w:vAlign w:val="bottom"/>
            <w:gridSpan w:val="3"/>
          </w:tcPr>
          <w:p>
            <w:pPr>
              <w:spacing w:after="0"/>
              <w:rPr>
                <w:sz w:val="20"/>
                <w:szCs w:val="20"/>
                <w:color w:val="auto"/>
              </w:rPr>
            </w:pPr>
            <w:r>
              <w:rPr>
                <w:rFonts w:ascii="Courier New" w:cs="Courier New" w:eastAsia="Courier New" w:hAnsi="Courier New"/>
                <w:sz w:val="14"/>
                <w:szCs w:val="14"/>
                <w:color w:val="auto"/>
              </w:rPr>
              <w:t>INDUSTRIAL REVENUE BOND DUE</w:t>
            </w: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NOVEMBER 1, 2017 AT</w:t>
            </w:r>
          </w:p>
        </w:tc>
        <w:tc>
          <w:tcPr>
            <w:tcW w:w="1860" w:type="dxa"/>
            <w:vAlign w:val="bottom"/>
          </w:tcPr>
          <w:p>
            <w:pPr>
              <w:spacing w:after="0"/>
              <w:rPr>
                <w:sz w:val="20"/>
                <w:szCs w:val="20"/>
                <w:color w:val="auto"/>
              </w:rPr>
            </w:pPr>
            <w:r>
              <w:rPr>
                <w:rFonts w:ascii="Courier New" w:cs="Courier New" w:eastAsia="Courier New" w:hAnsi="Courier New"/>
                <w:sz w:val="14"/>
                <w:szCs w:val="14"/>
                <w:color w:val="auto"/>
              </w:rPr>
              <w:t>4.500%</w:t>
            </w:r>
          </w:p>
        </w:tc>
        <w:tc>
          <w:tcPr>
            <w:tcW w:w="82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3,600</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7.800%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DEBENTURES, DUE</w:t>
            </w:r>
          </w:p>
        </w:tc>
        <w:tc>
          <w:tcPr>
            <w:tcW w:w="1860" w:type="dxa"/>
            <w:vAlign w:val="bottom"/>
          </w:tcPr>
          <w:p>
            <w:pPr>
              <w:spacing w:after="0"/>
              <w:rPr>
                <w:sz w:val="20"/>
                <w:szCs w:val="20"/>
                <w:color w:val="auto"/>
              </w:rPr>
            </w:pPr>
            <w:r>
              <w:rPr>
                <w:rFonts w:ascii="Courier New" w:cs="Courier New" w:eastAsia="Courier New" w:hAnsi="Courier New"/>
                <w:sz w:val="14"/>
                <w:szCs w:val="14"/>
                <w:color w:val="auto"/>
              </w:rPr>
              <w:t>JUNE 15, 2027</w:t>
            </w:r>
          </w:p>
        </w:tc>
        <w:tc>
          <w:tcPr>
            <w:tcW w:w="17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100,000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311</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8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194,495</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196,237</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LESS CURRENT PORTION</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637</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8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$194,457</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$195,600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In connection with the issuance in June 1997 of the $175.0 million in long-term debt securities, the company paid $23.7 million to terminate three forward-starting interest rate swap agreements with notional amounts totaling $125.0 million. These swap agreements had been entered into to reduce exposure to interest rate risk prior to the issuance of the new long-term debt securities. At the inception of one of the swap agreements, the company had received payments, which were recorded as deferred income to be recognized as an adjustment to interest expense over the term of the new debt securities. At the date the swaps were terminated, this deferred income totaled $18.7 million. The excess termination fees over the deferred income recorded has been deferred and is being recognized as an adjustment to interest expense over the term of the new debt securities issued.</w:t>
      </w:r>
    </w:p>
    <w:p>
      <w:pPr>
        <w:spacing w:after="0" w:line="5"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Principal payments required on long-term debt in each of the next five years ending October 31 are as follows: 2001, $38,000; 2002, $53,000; 2003, $15,782,000; 2004, $22,000; 2005, $0; and after 2005, $178,600,000.</w:t>
      </w:r>
    </w:p>
    <w:p>
      <w:pPr>
        <w:spacing w:after="0" w:line="200" w:lineRule="exact"/>
        <w:rPr>
          <w:sz w:val="20"/>
          <w:szCs w:val="20"/>
          <w:color w:val="auto"/>
        </w:rPr>
      </w:pPr>
    </w:p>
    <w:p>
      <w:pPr>
        <w:spacing w:after="0" w:line="294" w:lineRule="exact"/>
        <w:rPr>
          <w:sz w:val="20"/>
          <w:szCs w:val="20"/>
          <w:color w:val="auto"/>
        </w:rPr>
      </w:pPr>
    </w:p>
    <w:p>
      <w:pPr>
        <w:ind w:left="260" w:hanging="252"/>
        <w:spacing w:after="0"/>
        <w:tabs>
          <w:tab w:leader="none" w:pos="2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A reconciliation of the statutory federal income tax rate to the company's consolidated effective tax rate is summarized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STATUTORY FEDERAL INCOME TAX RATE</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35.0%</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INCREASE</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(REDUCTION) IN INCOME</w:t>
            </w:r>
          </w:p>
        </w:tc>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TAXES</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RESULTING FROM:</w:t>
            </w:r>
          </w:p>
        </w:tc>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BENEFITS</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FROM FOREIGN SALES</w:t>
            </w:r>
          </w:p>
        </w:tc>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3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CORPORATION</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(3.2)</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(17.6)</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STATE AND LOCAL INCOME TAXES,</w:t>
            </w:r>
          </w:p>
        </w:tc>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3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OF FEDERAL INCOME TAX BENEFIT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EFFECT OF FOREIGN SOURCE INCOME</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0.8</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AMORTIZATION</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OTHER, NET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CONSOLIDATED EFFECTIVE TAX RATE</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37.0%</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Components of the provision for income taxes are as follows: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(Dollars in</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thousands)</w:t>
            </w:r>
          </w:p>
        </w:tc>
        <w:tc>
          <w:tcPr>
            <w:tcW w:w="1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Years ended</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October 31</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CURRENT:</w:t>
            </w:r>
          </w:p>
        </w:tc>
        <w:tc>
          <w:tcPr>
            <w:tcW w:w="2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04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FEDERAL</w:t>
            </w:r>
          </w:p>
        </w:tc>
        <w:tc>
          <w:tcPr>
            <w:tcW w:w="21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$21,414</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$25,864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$4,558</w:t>
            </w:r>
          </w:p>
        </w:tc>
      </w:tr>
      <w:tr>
        <w:trPr>
          <w:trHeight w:val="166"/>
        </w:trPr>
        <w:tc>
          <w:tcPr>
            <w:tcW w:w="204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STATE</w:t>
            </w:r>
          </w:p>
        </w:tc>
        <w:tc>
          <w:tcPr>
            <w:tcW w:w="21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1,387</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3,342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CURRENT PROVISION</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22,801</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29,206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4,903</w:t>
            </w:r>
          </w:p>
        </w:tc>
      </w:tr>
    </w:tbl>
    <w:p>
      <w:pPr>
        <w:spacing w:after="0" w:line="4"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2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3,765</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(5,911)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(2,060)</w:t>
            </w:r>
          </w:p>
        </w:tc>
      </w:tr>
    </w:tbl>
    <w:p>
      <w:pPr>
        <w:sectPr>
          <w:pgSz w:w="11900" w:h="16880" w:orient="portrait"/>
          <w:cols w:equalWidth="0" w:num="1">
            <w:col w:w="10239"/>
          </w:cols>
          <w:pgMar w:left="220" w:top="285" w:right="1440" w:bottom="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STATE</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(881)</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(172)</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8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DEFERRED PROVISION</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3,796</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(6,792)</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(2,232)</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8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TOTAL PROVISION FOR INCOME TAXES</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$26,597</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$22,414</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firstLine="258"/>
        <w:spacing w:after="0" w:line="255" w:lineRule="auto"/>
        <w:rPr>
          <w:sz w:val="20"/>
          <w:szCs w:val="20"/>
          <w:color w:val="auto"/>
        </w:rPr>
      </w:pPr>
      <w:r>
        <w:rPr>
          <w:rFonts w:ascii="Courier New" w:cs="Courier New" w:eastAsia="Courier New" w:hAnsi="Courier New"/>
          <w:sz w:val="14"/>
          <w:szCs w:val="14"/>
          <w:color w:val="auto"/>
        </w:rPr>
        <w:t>The tax effects of temporary differences that give rise to the net deferred income tax assets at October 31, 2000 and 1999 are presented below:</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ALLOWANCE FOR DOUBTFUL ACCOUNTS</w:t>
            </w:r>
          </w:p>
        </w:tc>
        <w:tc>
          <w:tcPr>
            <w:tcW w:w="1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$ 2,952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$ 4,210</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INVENTORY ITEMS</w:t>
            </w:r>
          </w:p>
        </w:tc>
        <w:tc>
          <w:tcPr>
            <w:tcW w:w="1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3,063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4,730</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8,362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8,882</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WARRANTY RESERVES</w:t>
            </w:r>
          </w:p>
        </w:tc>
        <w:tc>
          <w:tcPr>
            <w:tcW w:w="1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11,112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18,448</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EMPLOYEE BENEFITS</w:t>
            </w:r>
          </w:p>
        </w:tc>
        <w:tc>
          <w:tcPr>
            <w:tcW w:w="1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9,210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7,346</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OTHER NONDEDUCTIBLE ACCRUALS</w:t>
            </w:r>
          </w:p>
        </w:tc>
        <w:tc>
          <w:tcPr>
            <w:tcW w:w="1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14,898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6,152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DEFERRED INCOME TAX ASSETS</w:t>
            </w:r>
          </w:p>
        </w:tc>
        <w:tc>
          <w:tcPr>
            <w:tcW w:w="2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$49,597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$49,768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During the years ended October 31, 2000, 1999, and 1998, respectively,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$337,000, $573,000, and $491,000 was added to additional paid-in capital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accordance with APB No. 25 reflecting the permanent book to tax difference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for tax benefits related to employee stock option transactions.</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141"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 w:hanging="252"/>
        <w:spacing w:after="0"/>
        <w:tabs>
          <w:tab w:leader="none" w:pos="2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w:t>
      </w:r>
    </w:p>
    <w:p>
      <w:pPr>
        <w:spacing w:after="0" w:line="173" w:lineRule="exact"/>
        <w:rPr>
          <w:sz w:val="20"/>
          <w:szCs w:val="20"/>
          <w:color w:val="auto"/>
        </w:rPr>
      </w:pPr>
    </w:p>
    <w:p>
      <w:pPr>
        <w:ind w:right="4560"/>
        <w:spacing w:after="0" w:line="255" w:lineRule="auto"/>
        <w:rPr>
          <w:sz w:val="20"/>
          <w:szCs w:val="20"/>
          <w:color w:val="auto"/>
        </w:rPr>
      </w:pPr>
      <w:r>
        <w:rPr>
          <w:rFonts w:ascii="Courier New" w:cs="Courier New" w:eastAsia="Courier New" w:hAnsi="Courier New"/>
          <w:sz w:val="14"/>
          <w:szCs w:val="14"/>
          <w:color w:val="auto"/>
        </w:rPr>
        <w:t>Changes in the components of stockholders' equity during the fiscal years ended 2000, 1999, and 1998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Additional</w:t>
            </w:r>
          </w:p>
        </w:tc>
        <w:tc>
          <w:tcPr>
            <w:tcW w:w="1300" w:type="dxa"/>
            <w:vAlign w:val="bottom"/>
          </w:tcPr>
          <w:p>
            <w:pPr>
              <w:spacing w:after="0"/>
              <w:rPr>
                <w:sz w:val="14"/>
                <w:szCs w:val="14"/>
                <w:color w:val="auto"/>
              </w:rPr>
            </w:pP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Accumulated</w:t>
            </w:r>
          </w:p>
        </w:tc>
        <w:tc>
          <w:tcPr>
            <w:tcW w:w="1000" w:type="dxa"/>
            <w:vAlign w:val="bottom"/>
          </w:tcPr>
          <w:p>
            <w:pPr>
              <w:spacing w:after="0"/>
              <w:rPr>
                <w:sz w:val="14"/>
                <w:szCs w:val="14"/>
                <w:color w:val="auto"/>
              </w:rPr>
            </w:pPr>
          </w:p>
        </w:tc>
      </w:tr>
      <w:tr>
        <w:trPr>
          <w:trHeight w:val="166"/>
        </w:trPr>
        <w:tc>
          <w:tcPr>
            <w:tcW w:w="418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Common</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Paid-In</w:t>
            </w:r>
          </w:p>
        </w:tc>
        <w:tc>
          <w:tcPr>
            <w:tcW w:w="1300" w:type="dxa"/>
            <w:vAlign w:val="bottom"/>
          </w:tcPr>
          <w:p>
            <w:pPr>
              <w:ind w:left="420"/>
              <w:spacing w:after="0"/>
              <w:rPr>
                <w:sz w:val="20"/>
                <w:szCs w:val="20"/>
                <w:color w:val="auto"/>
              </w:rPr>
            </w:pPr>
            <w:r>
              <w:rPr>
                <w:rFonts w:ascii="Courier New" w:cs="Courier New" w:eastAsia="Courier New" w:hAnsi="Courier New"/>
                <w:sz w:val="14"/>
                <w:szCs w:val="14"/>
                <w:color w:val="auto"/>
              </w:rPr>
              <w:t>Retained</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Comprehensive</w:t>
            </w:r>
          </w:p>
        </w:tc>
        <w:tc>
          <w:tcPr>
            <w:tcW w:w="1000" w:type="dxa"/>
            <w:vAlign w:val="bottom"/>
          </w:tcPr>
          <w:p>
            <w:pPr>
              <w:spacing w:after="0"/>
              <w:rPr>
                <w:sz w:val="14"/>
                <w:szCs w:val="14"/>
                <w:color w:val="auto"/>
              </w:rPr>
            </w:pP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Stock</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Capital</w:t>
            </w:r>
          </w:p>
        </w:tc>
        <w:tc>
          <w:tcPr>
            <w:tcW w:w="1300" w:type="dxa"/>
            <w:vAlign w:val="bottom"/>
          </w:tcPr>
          <w:p>
            <w:pPr>
              <w:ind w:left="420"/>
              <w:spacing w:after="0"/>
              <w:rPr>
                <w:sz w:val="20"/>
                <w:szCs w:val="20"/>
                <w:color w:val="auto"/>
              </w:rPr>
            </w:pPr>
            <w:r>
              <w:rPr>
                <w:rFonts w:ascii="Courier New" w:cs="Courier New" w:eastAsia="Courier New" w:hAnsi="Courier New"/>
                <w:sz w:val="14"/>
                <w:szCs w:val="14"/>
                <w:color w:val="auto"/>
              </w:rPr>
              <w:t>Earnings</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Loss</w:t>
            </w:r>
          </w:p>
        </w:tc>
        <w:tc>
          <w:tcPr>
            <w:tcW w:w="1000" w:type="dxa"/>
            <w:vAlign w:val="bottom"/>
          </w:tcPr>
          <w:p>
            <w:pPr>
              <w:ind w:left="560"/>
              <w:spacing w:after="0"/>
              <w:rPr>
                <w:sz w:val="20"/>
                <w:szCs w:val="20"/>
                <w:color w:val="auto"/>
              </w:rPr>
            </w:pPr>
            <w:r>
              <w:rPr>
                <w:rFonts w:ascii="Courier New" w:cs="Courier New" w:eastAsia="Courier New" w:hAnsi="Courier New"/>
                <w:sz w:val="14"/>
                <w:szCs w:val="14"/>
                <w:color w:val="auto"/>
                <w:w w:val="99"/>
              </w:rPr>
              <w:t>Total</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Balance at October 31, 1997</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$ 12,189</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$31,371</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$202,681</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$(5,078)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$241,163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Dividends paid on common stock ($0.48 per share)</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(6,162)</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(6,162)</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Issuance of 82,386 shares under stock option plans</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83</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2,136</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2,219</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Issuance of 598,051 shares of common stock for</w:t>
            </w:r>
          </w:p>
        </w:tc>
        <w:tc>
          <w:tcPr>
            <w:tcW w:w="1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acquisition of Exmark</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598</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24,172</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24,770</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Purchase of 100,000 shares of common stock</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(1,624)</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(1,724)</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Other comprehensive loss</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(1,448)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(1,448)</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Tax benefits related to employee stock option</w:t>
            </w:r>
          </w:p>
        </w:tc>
        <w:tc>
          <w:tcPr>
            <w:tcW w:w="1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transactions</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491</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491</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4,090</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Balance at October 31, 1998</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$ 12,770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$56,546</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$200,609</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$(6,526)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$263,399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Dividends paid on common stock ($0.48 per share)</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(6,136)</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(6,136)</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Issuance of 164,612</w:t>
            </w:r>
          </w:p>
        </w:tc>
        <w:tc>
          <w:tcPr>
            <w:tcW w:w="2860" w:type="dxa"/>
            <w:vAlign w:val="bottom"/>
          </w:tcPr>
          <w:p>
            <w:pPr>
              <w:ind w:left="60"/>
              <w:spacing w:after="0"/>
              <w:rPr>
                <w:sz w:val="20"/>
                <w:szCs w:val="20"/>
                <w:color w:val="auto"/>
              </w:rPr>
            </w:pPr>
            <w:r>
              <w:rPr>
                <w:rFonts w:ascii="Courier New" w:cs="Courier New" w:eastAsia="Courier New" w:hAnsi="Courier New"/>
                <w:sz w:val="14"/>
                <w:szCs w:val="14"/>
                <w:color w:val="auto"/>
              </w:rPr>
              <w:t>shares under stock option plans</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164</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3,969</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4,133</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Issuance of 511,991</w:t>
            </w:r>
          </w:p>
        </w:tc>
        <w:tc>
          <w:tcPr>
            <w:tcW w:w="2860" w:type="dxa"/>
            <w:vAlign w:val="bottom"/>
          </w:tcPr>
          <w:p>
            <w:pPr>
              <w:ind w:left="60"/>
              <w:spacing w:after="0"/>
              <w:rPr>
                <w:sz w:val="20"/>
                <w:szCs w:val="20"/>
                <w:color w:val="auto"/>
              </w:rPr>
            </w:pPr>
            <w:r>
              <w:rPr>
                <w:rFonts w:ascii="Courier New" w:cs="Courier New" w:eastAsia="Courier New" w:hAnsi="Courier New"/>
                <w:sz w:val="14"/>
                <w:szCs w:val="14"/>
                <w:color w:val="auto"/>
              </w:rPr>
              <w:t>shares of common stock for</w:t>
            </w: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Exmark contingent payment</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512</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12,543</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13,055</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Purchase of 876,852</w:t>
            </w:r>
          </w:p>
        </w:tc>
        <w:tc>
          <w:tcPr>
            <w:tcW w:w="2860" w:type="dxa"/>
            <w:vAlign w:val="bottom"/>
          </w:tcPr>
          <w:p>
            <w:pPr>
              <w:ind w:left="60"/>
              <w:spacing w:after="0"/>
              <w:rPr>
                <w:sz w:val="20"/>
                <w:szCs w:val="20"/>
                <w:color w:val="auto"/>
              </w:rPr>
            </w:pPr>
            <w:r>
              <w:rPr>
                <w:rFonts w:ascii="Courier New" w:cs="Courier New" w:eastAsia="Courier New" w:hAnsi="Courier New"/>
                <w:sz w:val="14"/>
                <w:szCs w:val="14"/>
                <w:color w:val="auto"/>
              </w:rPr>
              <w:t>shares of common stock</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(877)</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(28,288)</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(29,165)</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Other comprehensive</w:t>
            </w:r>
          </w:p>
        </w:tc>
        <w:tc>
          <w:tcPr>
            <w:tcW w:w="2860" w:type="dxa"/>
            <w:vAlign w:val="bottom"/>
          </w:tcPr>
          <w:p>
            <w:pPr>
              <w:ind w:left="60"/>
              <w:spacing w:after="0"/>
              <w:rPr>
                <w:sz w:val="20"/>
                <w:szCs w:val="20"/>
                <w:color w:val="auto"/>
              </w:rPr>
            </w:pPr>
            <w:r>
              <w:rPr>
                <w:rFonts w:ascii="Courier New" w:cs="Courier New" w:eastAsia="Courier New" w:hAnsi="Courier New"/>
                <w:sz w:val="14"/>
                <w:szCs w:val="14"/>
                <w:color w:val="auto"/>
              </w:rPr>
              <w:t>loss</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(1,255)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(1,255)</w:t>
            </w:r>
          </w:p>
        </w:tc>
      </w:tr>
      <w:tr>
        <w:trPr>
          <w:trHeight w:val="166"/>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Tax benefits related to employee stock option</w:t>
            </w: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transactions</w:t>
            </w:r>
          </w:p>
        </w:tc>
        <w:tc>
          <w:tcPr>
            <w:tcW w:w="2860" w:type="dxa"/>
            <w:vAlign w:val="bottom"/>
          </w:tcPr>
          <w:p>
            <w:pPr>
              <w:spacing w:after="0"/>
              <w:rPr>
                <w:sz w:val="14"/>
                <w:szCs w:val="14"/>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573</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573</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2860" w:type="dxa"/>
            <w:vAlign w:val="bottom"/>
          </w:tcPr>
          <w:p>
            <w:pPr>
              <w:spacing w:after="0"/>
              <w:rPr>
                <w:sz w:val="14"/>
                <w:szCs w:val="14"/>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35,059</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Balance at October 31, 1999</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$ 12,569</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$45,343</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$229,532</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$(7,781)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$279,663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gridSpan w:val="3"/>
          </w:tcPr>
          <w:p>
            <w:pPr>
              <w:spacing w:after="0"/>
              <w:rPr>
                <w:sz w:val="20"/>
                <w:szCs w:val="20"/>
                <w:color w:val="auto"/>
              </w:rPr>
            </w:pPr>
            <w:r>
              <w:rPr>
                <w:rFonts w:ascii="Courier New" w:cs="Courier New" w:eastAsia="Courier New" w:hAnsi="Courier New"/>
                <w:sz w:val="14"/>
                <w:szCs w:val="14"/>
                <w:color w:val="auto"/>
              </w:rPr>
              <w:t>DIVIDENDS PAID ON COMMON STOCK ($0.48 PER SHARE)</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(6,090)</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(6,090)</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ISSUANCE OF 173,957</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SHARES</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UNDER STOCK COMPENSATION</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PLANS</w:t>
            </w:r>
          </w:p>
        </w:tc>
        <w:tc>
          <w:tcPr>
            <w:tcW w:w="6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174</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4,733</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4,907</w:t>
            </w:r>
          </w:p>
        </w:tc>
      </w:tr>
      <w:tr>
        <w:trPr>
          <w:trHeight w:val="166"/>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CONTRIBUTION OF STOCK TO A</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DEFERRED COMPENSATION TRUST</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2,620</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2,620</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ISSUANCE OF 337,066</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SHARES</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OF COMMON STOCK FOR</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6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EXMARK CONTINGENT PAYMENT AND ACQUISITIONS</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337</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11,052</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11,389</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PURCHASE OF 511,138</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SHARES</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OF COMMON STOCK</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(511)</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(16,545)</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(17,056)</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OTHER COMPREHENSIVE</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LOSS</w:t>
            </w:r>
          </w:p>
        </w:tc>
        <w:tc>
          <w:tcPr>
            <w:tcW w:w="236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(3,837)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(3,837)</w:t>
            </w:r>
          </w:p>
        </w:tc>
      </w:tr>
      <w:tr>
        <w:trPr>
          <w:trHeight w:val="166"/>
        </w:trPr>
        <w:tc>
          <w:tcPr>
            <w:tcW w:w="4660" w:type="dxa"/>
            <w:vAlign w:val="bottom"/>
            <w:gridSpan w:val="3"/>
          </w:tcPr>
          <w:p>
            <w:pPr>
              <w:spacing w:after="0"/>
              <w:rPr>
                <w:sz w:val="20"/>
                <w:szCs w:val="20"/>
                <w:color w:val="auto"/>
              </w:rPr>
            </w:pPr>
            <w:r>
              <w:rPr>
                <w:rFonts w:ascii="Courier New" w:cs="Courier New" w:eastAsia="Courier New" w:hAnsi="Courier New"/>
                <w:sz w:val="14"/>
                <w:szCs w:val="14"/>
                <w:color w:val="auto"/>
              </w:rPr>
              <w:t>TAX BENEFITS RELATED TO EMPLOYEE STOCK OPTION</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TRANSACTIONS</w:t>
            </w:r>
          </w:p>
        </w:tc>
        <w:tc>
          <w:tcPr>
            <w:tcW w:w="6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337</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337</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6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45,285</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45,285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BALANCE AT OCTOBER 31, 2000</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$ 12,569</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$47,540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$268,727</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$(11,618)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$317,218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480" w:firstLine="258"/>
        <w:spacing w:after="0" w:line="251" w:lineRule="auto"/>
        <w:rPr>
          <w:sz w:val="20"/>
          <w:szCs w:val="20"/>
          <w:color w:val="auto"/>
        </w:rPr>
      </w:pPr>
      <w:r>
        <w:rPr>
          <w:rFonts w:ascii="Courier New" w:cs="Courier New" w:eastAsia="Courier New" w:hAnsi="Courier New"/>
          <w:sz w:val="14"/>
          <w:szCs w:val="14"/>
          <w:color w:val="auto"/>
        </w:rPr>
        <w:t>Under the terms of a Preferred Share Purchase Rights Plan effective May 20, 1998, each share of the company's common stock entitles its holder to one preferred share purchase right. These rights become exercisable only if a person or group acquires, or announces a tender offer that would result in ownership of, 15 percent or more of Toro's common stock. Each right will then entitle the holder to buy a one one-hundredth interest in a share of a series of preferred stock, at a price of $180. Among other things under the plan, if a person or group acquires 15 percent or more of Toro's outstanding common stock, each right entitles its holder (other than the acquiring person or group) to purchase the number of shares of common stock of Toro having a market value of twice the exercise price of the right. The Board of Directors may redeem the rights for $0.01 per right at any time before a person or group acquires beneficial ownership of 15 percent or more of the common shares.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1380"/>
          </w:cols>
          <w:pgMar w:left="220" w:top="285" w:right="299" w:bottom="1440" w:gutter="0" w:footer="0" w:header="0"/>
        </w:sectPr>
      </w:pPr>
    </w:p>
    <w:bookmarkStart w:id="34" w:name="page35"/>
    <w:bookmarkEnd w:id="34"/>
    <w:p>
      <w:pPr>
        <w:spacing w:after="0" w:line="4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31</w:t>
      </w:r>
    </w:p>
    <w:p>
      <w:pPr>
        <w:spacing w:after="0" w:line="338" w:lineRule="exact"/>
        <w:rPr>
          <w:sz w:val="20"/>
          <w:szCs w:val="20"/>
          <w:color w:val="auto"/>
        </w:rPr>
      </w:pPr>
    </w:p>
    <w:p>
      <w:pPr>
        <w:ind w:left="260" w:hanging="252"/>
        <w:spacing w:after="0"/>
        <w:tabs>
          <w:tab w:leader="none" w:pos="2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STOCK-BASED COMPENSATION PLANS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Under the company's stock option plans, certain employees and non-employee directors have been granted options to purchase shares of common stock at prices equal to fair market value on the date the option was granted. The stock options are generally exercisable immediately, and expire five to ten years after the date of grant.</w:t>
      </w:r>
    </w:p>
    <w:p>
      <w:pPr>
        <w:spacing w:after="0" w:line="2" w:lineRule="exact"/>
        <w:rPr>
          <w:sz w:val="20"/>
          <w:szCs w:val="20"/>
          <w:color w:val="auto"/>
        </w:rPr>
      </w:pPr>
    </w:p>
    <w:p>
      <w:pPr>
        <w:ind w:right="4119" w:firstLine="258"/>
        <w:spacing w:after="0" w:line="250" w:lineRule="auto"/>
        <w:rPr>
          <w:sz w:val="20"/>
          <w:szCs w:val="20"/>
          <w:color w:val="auto"/>
        </w:rPr>
      </w:pPr>
      <w:r>
        <w:rPr>
          <w:rFonts w:ascii="Courier New" w:cs="Courier New" w:eastAsia="Courier New" w:hAnsi="Courier New"/>
          <w:sz w:val="14"/>
          <w:szCs w:val="14"/>
          <w:color w:val="auto"/>
        </w:rPr>
        <w:t>Under The Toro Company 2000 Stock Option Plan, 1,000,000 shares are authorized for issuance, under The Toro Company 1993 Stock Option Plan,</w:t>
      </w:r>
    </w:p>
    <w:p>
      <w:pPr>
        <w:spacing w:after="0" w:line="1"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1,600,000 shares are authorized for issuance, and under The Toro Company Directors Stock Option Plan, 65,000 shares are authorized for issuance. At October 31, 2000, 706,500 shares were available for future grants under The Toro Company 2000 Stock Option Plan, 57,646 shares were available for future grants under The Toro Company 1993 Stock Option plan, and 20,289 shares were available for future grants under The Toro Company Directors Stock Option Plan.</w:t>
      </w:r>
    </w:p>
    <w:p>
      <w:pPr>
        <w:spacing w:after="0" w:line="3"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Performance-based stock options were previously granted under the Continuous Performance Award Plan (CPAP), which was terminated in fiscal 1999. The company cancelled all unvested options. Options granted under this plan totaled 53,871 in fiscal 1998. CPAP options cancelled were 104,806 and 26,607 during the fiscal years 1999 and 1998, respectively. The company recognized compensation expense of $267,000 in fiscal 1998 related to this plan.</w:t>
      </w:r>
    </w:p>
    <w:p>
      <w:pPr>
        <w:spacing w:after="0" w:line="3" w:lineRule="exact"/>
        <w:rPr>
          <w:sz w:val="20"/>
          <w:szCs w:val="20"/>
          <w:color w:val="auto"/>
        </w:rPr>
      </w:pPr>
    </w:p>
    <w:p>
      <w:pPr>
        <w:ind w:right="3679" w:firstLine="258"/>
        <w:spacing w:after="0" w:line="252" w:lineRule="auto"/>
        <w:rPr>
          <w:sz w:val="20"/>
          <w:szCs w:val="20"/>
          <w:color w:val="auto"/>
        </w:rPr>
      </w:pPr>
      <w:r>
        <w:rPr>
          <w:rFonts w:ascii="Courier New" w:cs="Courier New" w:eastAsia="Courier New" w:hAnsi="Courier New"/>
          <w:sz w:val="14"/>
          <w:szCs w:val="14"/>
          <w:color w:val="auto"/>
        </w:rPr>
        <w:t>The company's net earnings and dilutive net earnings per share would have been as follows if the company had elected to recognize compensation expense consistent with the methodology prescribed in SFAS 123, "Accounting for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(Dollars in</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thousands,</w:t>
            </w:r>
          </w:p>
        </w:tc>
        <w:tc>
          <w:tcPr>
            <w:tcW w:w="1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68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except per share data)</w:t>
            </w:r>
          </w:p>
        </w:tc>
        <w:tc>
          <w:tcPr>
            <w:tcW w:w="1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Years ended</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October 31</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EARNINGS,</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AS REPORTED</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$45,285</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$35,059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$4,090</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PRO</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FORMA NET</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EARNINGS</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43,288</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33,150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2,626</w:t>
            </w:r>
          </w:p>
        </w:tc>
      </w:tr>
    </w:tbl>
    <w:p>
      <w:pPr>
        <w:spacing w:after="0" w:line="4"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DILUTIVE NET EARNINGS PER SHARE,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AS REPORTED</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3.47</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2.64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$ 0.31</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PRO FORMA DILUTIVE NET EARNINGS</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PER SHARE</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3.32</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779" w:firstLine="258"/>
        <w:spacing w:after="0" w:line="252" w:lineRule="auto"/>
        <w:rPr>
          <w:sz w:val="20"/>
          <w:szCs w:val="20"/>
          <w:color w:val="auto"/>
        </w:rPr>
      </w:pPr>
      <w:r>
        <w:rPr>
          <w:rFonts w:ascii="Courier New" w:cs="Courier New" w:eastAsia="Courier New" w:hAnsi="Courier New"/>
          <w:sz w:val="14"/>
          <w:szCs w:val="14"/>
          <w:color w:val="auto"/>
        </w:rPr>
        <w:t>The fair value of stock options is estimated at the grant date using the Black-Scholes option pricing model with the following weighted average assumptions: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RISK-FREE INTEREST RATE</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6.17%</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5.71%</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EXPECTED LIFE OF OPTION IN YEARS</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DIVIDEND YIELD</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STOCK VOLATILITY</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The weighted average fair market value of options was estimated to be $10.26, $6.85, and $10.01 per share for the years ended October 31, 2000, 1999, and 1998, respectively.</w:t>
      </w:r>
    </w:p>
    <w:p>
      <w:pPr>
        <w:spacing w:after="0" w:line="1" w:lineRule="exact"/>
        <w:rPr>
          <w:sz w:val="20"/>
          <w:szCs w:val="20"/>
          <w:color w:val="auto"/>
        </w:rPr>
      </w:pPr>
    </w:p>
    <w:p>
      <w:pPr>
        <w:ind w:right="4019" w:firstLine="258"/>
        <w:spacing w:after="0" w:line="255" w:lineRule="auto"/>
        <w:rPr>
          <w:sz w:val="20"/>
          <w:szCs w:val="20"/>
          <w:color w:val="auto"/>
        </w:rPr>
      </w:pPr>
      <w:r>
        <w:rPr>
          <w:rFonts w:ascii="Courier New" w:cs="Courier New" w:eastAsia="Courier New" w:hAnsi="Courier New"/>
          <w:sz w:val="14"/>
          <w:szCs w:val="14"/>
          <w:color w:val="auto"/>
        </w:rPr>
        <w:t>A summary of stock option activity under the plans described above is presented below:</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Weighted</w:t>
      </w:r>
    </w:p>
    <w:p>
      <w:pPr>
        <w:spacing w:after="0" w:line="7"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p>
      <w:pPr>
        <w:ind w:left="4480"/>
        <w:spacing w:after="0"/>
        <w:tabs>
          <w:tab w:leader="none" w:pos="6020" w:val="left"/>
        </w:tabs>
        <w:rPr>
          <w:sz w:val="20"/>
          <w:szCs w:val="20"/>
          <w:color w:val="auto"/>
        </w:rPr>
      </w:pP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exercise</w:t>
      </w:r>
    </w:p>
    <w:p>
      <w:pPr>
        <w:spacing w:after="0" w:line="7" w:lineRule="exact"/>
        <w:rPr>
          <w:sz w:val="20"/>
          <w:szCs w:val="20"/>
          <w:color w:val="auto"/>
        </w:rPr>
      </w:pPr>
    </w:p>
    <w:p>
      <w:pPr>
        <w:ind w:left="4140"/>
        <w:spacing w:after="0"/>
        <w:tabs>
          <w:tab w:leader="none" w:pos="6280" w:val="left"/>
        </w:tabs>
        <w:rPr>
          <w:sz w:val="20"/>
          <w:szCs w:val="20"/>
          <w:color w:val="auto"/>
        </w:rPr>
      </w:pPr>
      <w:r>
        <w:rPr>
          <w:rFonts w:ascii="Courier New" w:cs="Courier New" w:eastAsia="Courier New" w:hAnsi="Courier New"/>
          <w:sz w:val="14"/>
          <w:szCs w:val="14"/>
          <w:color w:val="auto"/>
        </w:rPr>
        <w:t>outstanding</w:t>
      </w:r>
      <w:r>
        <w:rPr>
          <w:sz w:val="20"/>
          <w:szCs w:val="20"/>
          <w:color w:val="auto"/>
        </w:rPr>
        <w:tab/>
      </w:r>
      <w:r>
        <w:rPr>
          <w:rFonts w:ascii="Courier New" w:cs="Courier New" w:eastAsia="Courier New" w:hAnsi="Courier New"/>
          <w:sz w:val="14"/>
          <w:szCs w:val="14"/>
          <w:color w:val="auto"/>
        </w:rPr>
        <w:t>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October 31, 1997</w:t>
            </w:r>
          </w:p>
        </w:tc>
        <w:tc>
          <w:tcPr>
            <w:tcW w:w="26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882,150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$24.06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31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397,882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41.97</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3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(103,792)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25.37</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Cancelled</w:t>
            </w:r>
          </w:p>
        </w:tc>
        <w:tc>
          <w:tcPr>
            <w:tcW w:w="3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(64,514)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31.55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October 31, 1998</w:t>
            </w:r>
          </w:p>
        </w:tc>
        <w:tc>
          <w:tcPr>
            <w:tcW w:w="27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1,111,726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$29.92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31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379,976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24.88</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3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(172,474)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25.63</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Cancelled</w:t>
            </w:r>
          </w:p>
        </w:tc>
        <w:tc>
          <w:tcPr>
            <w:tcW w:w="3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(227,595)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37.32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October 31, 1999</w:t>
            </w:r>
          </w:p>
        </w:tc>
        <w:tc>
          <w:tcPr>
            <w:tcW w:w="27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1,091,633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31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587,805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32.70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3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(164,330)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27.72</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CANCELLED</w:t>
            </w:r>
          </w:p>
        </w:tc>
        <w:tc>
          <w:tcPr>
            <w:tcW w:w="3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(65,104)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37.59</w:t>
            </w:r>
          </w:p>
        </w:tc>
      </w:tr>
    </w:tbl>
    <w:p>
      <w:pPr>
        <w:sectPr>
          <w:pgSz w:w="11900" w:h="16880" w:orient="portrait"/>
          <w:cols w:equalWidth="0" w:num="1">
            <w:col w:w="10239"/>
          </w:cols>
          <w:pgMar w:left="220" w:top="285" w:right="1440" w:bottom="0" w:gutter="0" w:footer="0" w:header="0"/>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OCTOBER 31, 2000</w:t>
            </w:r>
          </w:p>
        </w:tc>
        <w:tc>
          <w:tcPr>
            <w:tcW w:w="27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1,450,004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$28.98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The table below presents the number, weighted average remaining contractual life, and weighted average exercise price for options outstanding at October 31, 2000:</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2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Weighted</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2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average</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remaining</w:t>
            </w:r>
          </w:p>
        </w:tc>
      </w:tr>
      <w:tr>
        <w:trPr>
          <w:trHeight w:val="166"/>
        </w:trPr>
        <w:tc>
          <w:tcPr>
            <w:tcW w:w="2600" w:type="dxa"/>
            <w:vAlign w:val="bottom"/>
          </w:tcPr>
          <w:p>
            <w:pPr>
              <w:spacing w:after="0"/>
              <w:rPr>
                <w:sz w:val="14"/>
                <w:szCs w:val="14"/>
                <w:color w:val="auto"/>
              </w:rPr>
            </w:pPr>
          </w:p>
        </w:tc>
        <w:tc>
          <w:tcPr>
            <w:tcW w:w="1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Number of</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exercise</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contractual</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Exercise price range</w:t>
            </w:r>
          </w:p>
        </w:tc>
        <w:tc>
          <w:tcPr>
            <w:tcW w:w="1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options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price</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life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$14.750</w:t>
            </w:r>
          </w:p>
        </w:tc>
        <w:tc>
          <w:tcPr>
            <w:tcW w:w="1760" w:type="dxa"/>
            <w:vAlign w:val="bottom"/>
          </w:tcPr>
          <w:p>
            <w:pPr>
              <w:spacing w:after="0"/>
              <w:rPr>
                <w:sz w:val="14"/>
                <w:szCs w:val="14"/>
                <w:color w:val="auto"/>
              </w:rPr>
            </w:pP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300,000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$14.75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years</w:t>
            </w: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$22.563 - $24.938</w:t>
            </w: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272,461</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24.87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years</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$30.875</w:t>
            </w:r>
          </w:p>
        </w:tc>
        <w:tc>
          <w:tcPr>
            <w:tcW w:w="17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 $31.750</w:t>
            </w: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305,500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31.60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years</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$33.813</w:t>
            </w:r>
          </w:p>
        </w:tc>
        <w:tc>
          <w:tcPr>
            <w:tcW w:w="17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 $35.438</w:t>
            </w: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386,547</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33.87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years</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$43.375</w:t>
            </w:r>
          </w:p>
        </w:tc>
        <w:tc>
          <w:tcPr>
            <w:tcW w:w="17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 $43.500</w:t>
            </w: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185,496</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43.50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years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spacing w:after="0"/>
        <w:tabs>
          <w:tab w:leader="none" w:pos="3440" w:val="left"/>
          <w:tab w:leader="none" w:pos="4720" w:val="left"/>
          <w:tab w:leader="none" w:pos="584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1,450,004</w:t>
      </w:r>
      <w:r>
        <w:rPr>
          <w:sz w:val="20"/>
          <w:szCs w:val="20"/>
          <w:color w:val="auto"/>
        </w:rPr>
        <w:tab/>
      </w:r>
      <w:r>
        <w:rPr>
          <w:rFonts w:ascii="Courier New" w:cs="Courier New" w:eastAsia="Courier New" w:hAnsi="Courier New"/>
          <w:sz w:val="14"/>
          <w:szCs w:val="14"/>
          <w:color w:val="auto"/>
        </w:rPr>
        <w:t>$28.98</w:t>
      </w:r>
      <w:r>
        <w:rPr>
          <w:sz w:val="20"/>
          <w:szCs w:val="20"/>
          <w:color w:val="auto"/>
        </w:rPr>
        <w:tab/>
      </w:r>
      <w:r>
        <w:rPr>
          <w:rFonts w:ascii="Courier New" w:cs="Courier New" w:eastAsia="Courier New" w:hAnsi="Courier New"/>
          <w:sz w:val="14"/>
          <w:szCs w:val="14"/>
          <w:color w:val="auto"/>
        </w:rPr>
        <w:t>3.4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right="3779" w:firstLine="258"/>
        <w:spacing w:after="0" w:line="255" w:lineRule="auto"/>
        <w:rPr>
          <w:sz w:val="20"/>
          <w:szCs w:val="20"/>
          <w:color w:val="auto"/>
        </w:rPr>
      </w:pPr>
      <w:r>
        <w:rPr>
          <w:rFonts w:ascii="Courier New" w:cs="Courier New" w:eastAsia="Courier New" w:hAnsi="Courier New"/>
          <w:sz w:val="14"/>
          <w:szCs w:val="14"/>
          <w:color w:val="auto"/>
        </w:rPr>
        <w:t>As of October 31, 2000, 1,163,004 options were exercisable at a weighted average exercise price of $28.32.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141"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32</w:t>
      </w:r>
    </w:p>
    <w:p>
      <w:pPr>
        <w:spacing w:after="0" w:line="7" w:lineRule="exact"/>
        <w:rPr>
          <w:sz w:val="20"/>
          <w:szCs w:val="20"/>
          <w:color w:val="auto"/>
        </w:rPr>
      </w:pPr>
    </w:p>
    <w:p>
      <w:pPr>
        <w:ind w:right="3419" w:firstLine="258"/>
        <w:spacing w:after="0" w:line="250" w:lineRule="auto"/>
        <w:rPr>
          <w:sz w:val="20"/>
          <w:szCs w:val="20"/>
          <w:color w:val="auto"/>
        </w:rPr>
      </w:pPr>
      <w:r>
        <w:rPr>
          <w:rFonts w:ascii="Courier New" w:cs="Courier New" w:eastAsia="Courier New" w:hAnsi="Courier New"/>
          <w:sz w:val="14"/>
          <w:szCs w:val="14"/>
          <w:color w:val="auto"/>
        </w:rPr>
        <w:t>In fiscal 2000, the company granted options that vest at the earlier of December 15, 2003 or when the company's fiscal year net earnings divided by net sales exceeds five percent. If these options vest due to the company achieving its goal of five percent return on sales by the end of fiscal 2003, these options expire on December 31, 2006. If these options vest at December 15, 2003 and the company has not achieved its goal of five percent return on sales, then these options expire on December 31, 2003. The company granted 298,500 options under this plan during fiscal 2000.</w:t>
      </w:r>
    </w:p>
    <w:p>
      <w:pPr>
        <w:spacing w:after="0" w:line="3"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In fiscal 1999, the company's stockholders approved The Toro Company Performance Share Plan. Under this long-term incentive plan, Performance Shares are granted to key employees of the company. A Performance Share is the right to receive shares of Common Stock or deferred Common Stock units, contingent on the achievement of performance goals of the company, generally over a three-year period. The number of shares of Common Stock authorized for issuance under the long-term incentive plan is 500,000. The number of shares of common stock a participant will receive will be increased (up to 200 percent) or reduced (down to zero) from target levels based on the level of achievement of performance goals. In fiscal 2000, 87,000 Performance Shares were granted for the three year period ended fiscal 2002. For fiscal 1999, 274,600 Performance Shares were granted for one year and two year transition periods as well as the usual three year period. The company issued 42,912 Performance Shares in fiscal 2000. The company recognized compensation expense related to this plan of $2,455,000 and $3,502,000 during the fiscal years 2000 and 1999, respectively.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 fiscal 1998, the company's stockholders amended The Toro Company Annual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Incentive Plan II (annual incentive plan) to add a Common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and retention feature (Stock Retention Award). If the Compensation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of the Board of Directors grants a participant a Stock Retention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Award, the participant may elect to convert up to 50 percent of a cash bonus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award into Common Stock. The participant may alternatively elect to defer up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 percent of the cash bonus through The Toro Company Deferred Compensation Plan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Officers into units having a value based on shares of Common Stock.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either case, the participant receives additional compensation in the form of 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share or unit of Common Stock for every two shares or units acquired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upon conversion. This match vests in increments of 25 percent of the 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matching shares or units at the end of each of the second, third,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fourth, and fifth years. Compensation expense related to this plan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$1,936,000 and $2,322,000 for fiscal years ended 2000 and 1999, respectively.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issued 38,120 shares in fiscal 2000 under this plan.</w:t>
      </w:r>
    </w:p>
    <w:p>
      <w:pPr>
        <w:spacing w:after="0" w:line="7"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On July 31, 1995, the company issued 17,467 shares of restricted stock and 17,467 performance units to the CEO under the terms of the Chief Executive Officer Incentive Award Agreement. The value of each performance unit is equal to the fair market value of a share of common stock. The restricted stock and performance units vest based upon achievement of specified succession planning goals. Dividends are paid with respect to the restricted stock and those shares may be voted. Portions of the restricted stock and performance unit awards are forfeited if specified goals are not achieved at various dates, ending on October 31, 2003 or termination of employment. For each fiscal year ending October 31, 2000 and 1999, 2,620 shares and units vested. Compensation expense related to this plan was $139,000, $178,000, and $89,000 for the fiscal years ended 2000, 1999, and 1998,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EMPLOYEE BENEFIT PROGRAMS</w:t>
      </w:r>
    </w:p>
    <w:p>
      <w:pPr>
        <w:spacing w:after="0" w:line="173"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The company maintains The Toro Company Investment and Savings Plan and The Toro Company Employee Stock Ownership Plan for eligible employees. The company's expenses under these plans were $11,750,000, $12,370,000, and $11,245,000 for fiscal years ended 2000, 1999, and 1998, respectively.</w:t>
      </w:r>
    </w:p>
    <w:p>
      <w:pPr>
        <w:spacing w:after="0" w:line="2"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In addition, the company and its subsidiaries have supplemental and other retirement plans covering certain employees. The expense related to these plans was not significant.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SEGMENT DATA</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Toro develops, manufactures, and sells a wide variety of turf maintenance products used in the professional and residential markets. The company's principal businesses are based on Toro's ability to provide comprehensive, integrated solutions that create, maintain, enhance, and conserve beautiful landscapes. The company's reportable segments are strategic business units that offer different products and services and are managed separately based on the fundamental differences in their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REPORTABLE SEGMENTS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professional segment consists of turf equipment and irrigation products. Turf equipment products include golf mowing equipment, landscape contractor mowing equipment, and landscape creation equipment, and other maintenance equipment. Irrigation products consist of sprinkler heads, electric and hydraulic valves, controllers, computer irrigation central control systems, and agricultural drip tape and hose products. These products are sold mainly through a network of distributors and dealers to professionals who maintain golf courses, sports fields, municipal properties, agricultural grounds, and residential and commercial landscapes.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5"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33</w:t>
      </w:r>
    </w:p>
    <w:p>
      <w:pPr>
        <w:spacing w:after="0" w:line="338" w:lineRule="exact"/>
        <w:rPr>
          <w:sz w:val="20"/>
          <w:szCs w:val="20"/>
          <w:color w:val="auto"/>
        </w:rPr>
      </w:pPr>
    </w:p>
    <w:p>
      <w:pPr>
        <w:ind w:right="4560" w:firstLine="258"/>
        <w:spacing w:after="0" w:line="250" w:lineRule="auto"/>
        <w:rPr>
          <w:sz w:val="20"/>
          <w:szCs w:val="20"/>
          <w:color w:val="auto"/>
        </w:rPr>
      </w:pPr>
      <w:r>
        <w:rPr>
          <w:rFonts w:ascii="Courier New" w:cs="Courier New" w:eastAsia="Courier New" w:hAnsi="Courier New"/>
          <w:sz w:val="14"/>
          <w:szCs w:val="14"/>
          <w:color w:val="auto"/>
        </w:rPr>
        <w:t>The residential segment consists of walk power mowers, riding mowers and tractors, snowthrowers, homeowner-installed irrigation systems, replacement parts, and electric home solutions products, including trimmers, blowers and blower vacuums. These products are sold to homeowners through a network of distributors and dealers, and through a broad array of hardware retailers, home centers, and mass retailers. Beginning in fiscal 2000, selected residential products were sold over the Internet.</w:t>
      </w:r>
    </w:p>
    <w:p>
      <w:pPr>
        <w:spacing w:after="0" w:line="3" w:lineRule="exact"/>
        <w:rPr>
          <w:sz w:val="20"/>
          <w:szCs w:val="20"/>
          <w:color w:val="auto"/>
        </w:rPr>
      </w:pPr>
    </w:p>
    <w:p>
      <w:pPr>
        <w:ind w:right="4560" w:firstLine="258"/>
        <w:spacing w:after="0" w:line="250" w:lineRule="auto"/>
        <w:rPr>
          <w:sz w:val="20"/>
          <w:szCs w:val="20"/>
          <w:color w:val="auto"/>
        </w:rPr>
      </w:pPr>
      <w:r>
        <w:rPr>
          <w:rFonts w:ascii="Courier New" w:cs="Courier New" w:eastAsia="Courier New" w:hAnsi="Courier New"/>
          <w:sz w:val="14"/>
          <w:szCs w:val="14"/>
          <w:color w:val="auto"/>
        </w:rPr>
        <w:t>The other segment consists of company-owned domestic distributor operations and corporate activities, including corporate financing activities and elimination of intersegment revenues and expenses. Corporate activities include general corporate expenditures (finance, human resources, legal, information services, public relations, and similar activities) and other unallocated corporate assets and liabilities, such as corporate facilities, financing receivables, parts inventory, and deferred tax assets.</w:t>
      </w:r>
    </w:p>
    <w:p>
      <w:pPr>
        <w:spacing w:after="0" w:line="3" w:lineRule="exact"/>
        <w:rPr>
          <w:sz w:val="20"/>
          <w:szCs w:val="20"/>
          <w:color w:val="auto"/>
        </w:rPr>
      </w:pPr>
    </w:p>
    <w:p>
      <w:pPr>
        <w:ind w:right="4560" w:firstLine="258"/>
        <w:spacing w:after="0" w:line="251" w:lineRule="auto"/>
        <w:rPr>
          <w:sz w:val="20"/>
          <w:szCs w:val="20"/>
          <w:color w:val="auto"/>
        </w:rPr>
      </w:pPr>
      <w:r>
        <w:rPr>
          <w:rFonts w:ascii="Courier New" w:cs="Courier New" w:eastAsia="Courier New" w:hAnsi="Courier New"/>
          <w:sz w:val="14"/>
          <w:szCs w:val="14"/>
          <w:color w:val="auto"/>
        </w:rPr>
        <w:t>The accounting policies of the segments are the same as those described in the summary of significant accounting policies in Note 1. The company evaluates the performance of its professional and residential business segment results based on earnings (loss) before income taxes and interest expense. The other segment operating loss includes earnings (loss) from operations, corporate activities, other income, net, and interest expense. The business segment's operating profits or losses include direct costs incurred at the segment's operating level plus allocated expenses including profit sharing and manufacturing expenses. The allocated expenses represent costs which these operations would have incurred otherwise, but do not include general corporate expense, interest expense, and income taxes. The company accounts for intersegment sales at current market prices.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480" w:firstLine="258"/>
        <w:spacing w:after="0" w:line="255" w:lineRule="auto"/>
        <w:rPr>
          <w:sz w:val="20"/>
          <w:szCs w:val="20"/>
          <w:color w:val="auto"/>
        </w:rPr>
      </w:pPr>
      <w:r>
        <w:rPr>
          <w:rFonts w:ascii="Courier New" w:cs="Courier New" w:eastAsia="Courier New" w:hAnsi="Courier New"/>
          <w:sz w:val="14"/>
          <w:szCs w:val="14"/>
          <w:color w:val="auto"/>
        </w:rPr>
        <w:t>The following table shows the summarized financial information concerning the company's reportable segments: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tabs>
          <w:tab w:leader="none" w:pos="5320" w:val="left"/>
          <w:tab w:leader="none" w:pos="6960" w:val="left"/>
          <w:tab w:leader="none" w:pos="8940" w:val="left"/>
          <w:tab w:leader="none" w:pos="10580" w:val="left"/>
        </w:tabs>
        <w:rPr>
          <w:sz w:val="20"/>
          <w:szCs w:val="20"/>
          <w:color w:val="auto"/>
        </w:rPr>
      </w:pPr>
      <w:r>
        <w:rPr>
          <w:rFonts w:ascii="Courier New" w:cs="Courier New" w:eastAsia="Courier New" w:hAnsi="Courier New"/>
          <w:sz w:val="14"/>
          <w:szCs w:val="14"/>
          <w:color w:val="auto"/>
        </w:rPr>
        <w:t>(Dollars in thousands) Years ended October 31</w:t>
      </w:r>
      <w:r>
        <w:rPr>
          <w:sz w:val="20"/>
          <w:szCs w:val="20"/>
          <w:color w:val="auto"/>
        </w:rPr>
        <w:tab/>
      </w:r>
      <w:r>
        <w:rPr>
          <w:rFonts w:ascii="Courier New" w:cs="Courier New" w:eastAsia="Courier New" w:hAnsi="Courier New"/>
          <w:sz w:val="14"/>
          <w:szCs w:val="14"/>
          <w:color w:val="auto"/>
        </w:rPr>
        <w:t>Professional(1)</w:t>
      </w:r>
      <w:r>
        <w:rPr>
          <w:sz w:val="20"/>
          <w:szCs w:val="20"/>
          <w:color w:val="auto"/>
        </w:rPr>
        <w:tab/>
      </w:r>
      <w:r>
        <w:rPr>
          <w:rFonts w:ascii="Courier New" w:cs="Courier New" w:eastAsia="Courier New" w:hAnsi="Courier New"/>
          <w:sz w:val="14"/>
          <w:szCs w:val="14"/>
          <w:color w:val="auto"/>
        </w:rPr>
        <w:t>Residential(2)</w:t>
      </w:r>
      <w:r>
        <w:rPr>
          <w:sz w:val="20"/>
          <w:szCs w:val="20"/>
          <w:color w:val="auto"/>
        </w:rPr>
        <w:tab/>
      </w:r>
      <w:r>
        <w:rPr>
          <w:rFonts w:ascii="Courier New" w:cs="Courier New" w:eastAsia="Courier New" w:hAnsi="Courier New"/>
          <w:sz w:val="14"/>
          <w:szCs w:val="14"/>
          <w:color w:val="auto"/>
        </w:rPr>
        <w:t>Other(3)</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$868,486</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$429,491</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$ 38,947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$1,336,924</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INTERSEGMENT NET SALES</w:t>
            </w:r>
          </w:p>
        </w:tc>
        <w:tc>
          <w:tcPr>
            <w:tcW w:w="2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74,997</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14,198</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(89,195)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EARNINGS (LOSS) BEFORE INCOME TAXES</w:t>
            </w:r>
          </w:p>
        </w:tc>
        <w:tc>
          <w:tcPr>
            <w:tcW w:w="2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99,400</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35,745</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(63,263)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71,882</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407,934</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130,531</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240,925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779,390</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2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23,895</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8,516</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7,523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39,934</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2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22,386</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10,561</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5,204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38,151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$807,382</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$447,866</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$ 19,749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$1,274,997</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Intersegment net sales</w:t>
            </w:r>
          </w:p>
        </w:tc>
        <w:tc>
          <w:tcPr>
            <w:tcW w:w="2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45,968</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11,531</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(57,499)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Earnings (loss) before income taxes</w:t>
            </w:r>
          </w:p>
        </w:tc>
        <w:tc>
          <w:tcPr>
            <w:tcW w:w="2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112,928</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21,215</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(76,670)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57,473</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439,271</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148,070</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199,837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787,178</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2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23,674</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4,244</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1,924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29,842</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2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21,187</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13,923</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3,995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39,105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$706,771</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$397,564</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6,099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$1,110,434</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Intersegment net sales</w:t>
            </w:r>
          </w:p>
        </w:tc>
        <w:tc>
          <w:tcPr>
            <w:tcW w:w="2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20,575</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2,923</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(23,498)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Earnings (loss) before income taxes</w:t>
            </w:r>
          </w:p>
        </w:tc>
        <w:tc>
          <w:tcPr>
            <w:tcW w:w="2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78,262</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(15,077)</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(56,424)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6,761</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387,267</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175,582</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161,142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723,991</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2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16,624</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7,855</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9,414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33,893</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2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23,207</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13,368</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37,040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60" w:right="4660" w:hanging="352"/>
        <w:spacing w:after="0" w:line="250" w:lineRule="auto"/>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restructuring and other unusual expense of $1.2 million in fiscal 1999 and $7.5 million in fiscal 1998.</w:t>
      </w:r>
    </w:p>
    <w:p>
      <w:pPr>
        <w:ind w:left="360" w:right="4660" w:hanging="352"/>
        <w:spacing w:after="0" w:line="250" w:lineRule="auto"/>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restructuring and other unusual expense of $0.5 million in fiscal 1999 and $6.7 million in fiscal 1998.</w:t>
      </w:r>
    </w:p>
    <w:p>
      <w:pPr>
        <w:ind w:left="360" w:right="4660" w:hanging="352"/>
        <w:spacing w:after="0" w:line="255" w:lineRule="auto"/>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restructuring and other unusual expense of $0.8 million in fiscal 1998.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1380"/>
          </w:cols>
          <w:pgMar w:left="220" w:top="285" w:right="299" w:bottom="1440" w:gutter="0" w:footer="0" w:header="0"/>
        </w:sectPr>
      </w:pPr>
    </w:p>
    <w:bookmarkStart w:id="38" w:name="page39"/>
    <w:bookmarkEnd w:id="38"/>
    <w:p>
      <w:pPr>
        <w:spacing w:after="0" w:line="4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34</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following table presents the details of the other segment earnings (loss)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before income taxes:</w:t>
      </w:r>
    </w:p>
    <w:p>
      <w:pPr>
        <w:spacing w:after="0" w:line="200" w:lineRule="exact"/>
        <w:rPr>
          <w:sz w:val="20"/>
          <w:szCs w:val="20"/>
          <w:color w:val="auto"/>
        </w:rPr>
      </w:pPr>
    </w:p>
    <w:p>
      <w:pPr>
        <w:spacing w:after="0" w:line="30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 (Dollars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CORPORATE EXPENSES</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$(61,617)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$(70,090)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(55,657)</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RESTRUCTURING AND OTHER</w:t>
            </w: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UNUSUAL EXPENSE</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(858)</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(26,414)</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(23,913)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(25,428)</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FINANCE CHARGE REVENUE</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5,460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4,082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4,489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ELIMINATION OF CORPORATE</w:t>
            </w: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FINANCING EXPENSE</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17,758</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16,804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17,551</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1,550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(3,553)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$(63,263)</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$(76,670)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(56,424)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GEOGRAPHIC DATA</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following geographic area data includes net sales based on product shipment destination. Net property, plant, and equipment is based on physical location in addition to allocated capital tooling from United States plant facilities.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3600" w:val="left"/>
          <w:tab w:leader="none" w:pos="464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United</w:t>
      </w:r>
      <w:r>
        <w:rPr>
          <w:sz w:val="20"/>
          <w:szCs w:val="20"/>
          <w:color w:val="auto"/>
        </w:rPr>
        <w:tab/>
      </w:r>
      <w:r>
        <w:rPr>
          <w:rFonts w:ascii="Courier New" w:cs="Courier New" w:eastAsia="Courier New" w:hAnsi="Courier New"/>
          <w:sz w:val="14"/>
          <w:szCs w:val="14"/>
          <w:color w:val="auto"/>
        </w:rPr>
        <w:t>Foreign</w:t>
      </w:r>
    </w:p>
    <w:p>
      <w:pPr>
        <w:spacing w:after="0" w:line="7" w:lineRule="exact"/>
        <w:rPr>
          <w:sz w:val="20"/>
          <w:szCs w:val="20"/>
          <w:color w:val="auto"/>
        </w:rPr>
      </w:pPr>
    </w:p>
    <w:p>
      <w:pPr>
        <w:spacing w:after="0"/>
        <w:tabs>
          <w:tab w:leader="none" w:pos="3600" w:val="left"/>
          <w:tab w:leader="none" w:pos="4640" w:val="left"/>
          <w:tab w:leader="none" w:pos="6280" w:val="left"/>
        </w:tabs>
        <w:rPr>
          <w:sz w:val="20"/>
          <w:szCs w:val="20"/>
          <w:color w:val="auto"/>
        </w:rPr>
      </w:pPr>
      <w:r>
        <w:rPr>
          <w:rFonts w:ascii="Courier New" w:cs="Courier New" w:eastAsia="Courier New" w:hAnsi="Courier New"/>
          <w:sz w:val="14"/>
          <w:szCs w:val="14"/>
          <w:color w:val="auto"/>
        </w:rPr>
        <w:t>Years ended October 31</w:t>
      </w:r>
      <w:r>
        <w:rPr>
          <w:sz w:val="20"/>
          <w:szCs w:val="20"/>
          <w:color w:val="auto"/>
        </w:rPr>
        <w:tab/>
      </w:r>
      <w:r>
        <w:rPr>
          <w:rFonts w:ascii="Courier New" w:cs="Courier New" w:eastAsia="Courier New" w:hAnsi="Courier New"/>
          <w:sz w:val="14"/>
          <w:szCs w:val="14"/>
          <w:color w:val="auto"/>
        </w:rPr>
        <w:t>States</w:t>
      </w:r>
      <w:r>
        <w:rPr>
          <w:sz w:val="20"/>
          <w:szCs w:val="20"/>
          <w:color w:val="auto"/>
        </w:rPr>
        <w:tab/>
      </w:r>
      <w:r>
        <w:rPr>
          <w:rFonts w:ascii="Courier New" w:cs="Courier New" w:eastAsia="Courier New" w:hAnsi="Courier New"/>
          <w:sz w:val="14"/>
          <w:szCs w:val="14"/>
          <w:color w:val="auto"/>
        </w:rPr>
        <w:t>Countries</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$1,063,225</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$273,699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$ 1,336,924</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PROPERTY, PLANT,</w:t>
            </w:r>
          </w:p>
        </w:tc>
        <w:tc>
          <w:tcPr>
            <w:tcW w:w="1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AND EQUIPMENT</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126,232</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6,620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132,852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$1,022,499</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$252,498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$ 1,274,997</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property, plant,</w:t>
            </w:r>
          </w:p>
        </w:tc>
        <w:tc>
          <w:tcPr>
            <w:tcW w:w="1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and equipment</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116,361</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7,811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124,172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$ 874,494</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$235,940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$ 1,110,434</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Net property, plant,</w:t>
            </w:r>
          </w:p>
        </w:tc>
        <w:tc>
          <w:tcPr>
            <w:tcW w:w="1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and equipment</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115,729</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11,408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127,137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COMMITMENTS AND CONTINGENT LIABILITIES</w:t>
      </w:r>
    </w:p>
    <w:p>
      <w:pPr>
        <w:spacing w:after="0" w:line="173"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As of October 31, 2000, future minimum lease payments under capital leases totaled $116,000. Total rental expense for operating leases was $14,069,000, $13,297,000, and $11,962,000 for the fiscal years ended 2000, 1999, and 1998, respectively. At October 31, 2000, future minimum lease payments under noncancelable operating leases amounted to $27,503,000 as follows: 2001, $9,536,000; 2002, $7,147,000; 2003, $4,999,000; 2004, $2,890,000; 2005, $1,481,000; and beyond, $1,450,000.</w:t>
      </w:r>
    </w:p>
    <w:p>
      <w:pPr>
        <w:spacing w:after="0" w:line="3" w:lineRule="exact"/>
        <w:rPr>
          <w:sz w:val="20"/>
          <w:szCs w:val="20"/>
          <w:color w:val="auto"/>
        </w:rPr>
      </w:pPr>
    </w:p>
    <w:p>
      <w:pPr>
        <w:jc w:val="both"/>
        <w:ind w:right="3599" w:firstLine="258"/>
        <w:spacing w:after="0" w:line="250" w:lineRule="auto"/>
        <w:rPr>
          <w:sz w:val="20"/>
          <w:szCs w:val="20"/>
          <w:color w:val="auto"/>
        </w:rPr>
      </w:pPr>
      <w:r>
        <w:rPr>
          <w:rFonts w:ascii="Courier New" w:cs="Courier New" w:eastAsia="Courier New" w:hAnsi="Courier New"/>
          <w:sz w:val="14"/>
          <w:szCs w:val="14"/>
          <w:color w:val="auto"/>
        </w:rPr>
        <w:t>Debts incurred by business partners, aggregating $5,886,000 at October 31, 2000 and $3,676,000 at October 31, 1999, have been guaranteed by the company.</w:t>
      </w:r>
    </w:p>
    <w:p>
      <w:pPr>
        <w:spacing w:after="0" w:line="1" w:lineRule="exact"/>
        <w:rPr>
          <w:sz w:val="20"/>
          <w:szCs w:val="20"/>
          <w:color w:val="auto"/>
        </w:rPr>
      </w:pPr>
    </w:p>
    <w:p>
      <w:pPr>
        <w:ind w:right="3419" w:firstLine="258"/>
        <w:spacing w:after="0" w:line="250" w:lineRule="auto"/>
        <w:rPr>
          <w:sz w:val="20"/>
          <w:szCs w:val="20"/>
          <w:color w:val="auto"/>
        </w:rPr>
      </w:pPr>
      <w:r>
        <w:rPr>
          <w:rFonts w:ascii="Courier New" w:cs="Courier New" w:eastAsia="Courier New" w:hAnsi="Courier New"/>
          <w:sz w:val="14"/>
          <w:szCs w:val="14"/>
          <w:color w:val="auto"/>
        </w:rPr>
        <w:t>In the ordinary course of business, the company may become liable with respect to pending and threatened litigation, tax, environmental, and other matters. While the ultimate results of investigations, lawsuits, and claims involving the company cannot be determined, management does not expect that these matters will have a material adverse effect on the consolidated financial position of the company.</w:t>
      </w:r>
    </w:p>
    <w:p>
      <w:pPr>
        <w:spacing w:after="0" w:line="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To prevent possible infringement of its patents by others, the company periodically reviews competitors' products. Furthermore, to avoid potential liability with respect to others' patents, the company regularly reviews patents issued by the U.S. Patent Office and foreign patent offices as needed. This patent program, consisting of both types of activities, helps the company minimize risk. The company is currently involved in commercial disputes and patent litigation cases, both as a plaintiff and as a defendant. While the ultimate results of these cases are unknown at this time, management believes that the outcome of these cases is unlikely to have a materially adverse effect on the consolidated financial results of the company.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FINANCIAL INSTRUMENTS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RISK</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Letters of credit are issued by the company during the ordinary course of business, as required by certain vendor contracts, through major domestic banks. As of October 31, 2000 and 1999, the company had $21,763,000 and $20,165,000, respectively, in outstanding letters of credit.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CONCENTRATIONS OF CREDIT RISK</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Financial instruments, which potentially subject the company to concentrations of credit risk, consist principally of accounts receivable, which are concentrated in two business segments, professional and residential markets for outdoor beautification equipment and systems. The credit risk associated with these segments is limited because of the large number of customers in the</w:t>
      </w:r>
    </w:p>
    <w:p>
      <w:pPr>
        <w:sectPr>
          <w:pgSz w:w="11900" w:h="16885" w:orient="portrait"/>
          <w:cols w:equalWidth="0" w:num="1">
            <w:col w:w="10239"/>
          </w:cols>
          <w:pgMar w:left="220" w:top="285" w:right="1440" w:bottom="0" w:gutter="0" w:footer="0" w:header="0"/>
        </w:sectPr>
      </w:pPr>
    </w:p>
    <w:bookmarkStart w:id="39" w:name="page40"/>
    <w:bookmarkEnd w:id="39"/>
    <w:p>
      <w:pPr>
        <w:spacing w:after="0"/>
        <w:rPr>
          <w:sz w:val="20"/>
          <w:szCs w:val="20"/>
          <w:color w:val="auto"/>
        </w:rPr>
      </w:pPr>
      <w:r>
        <w:rPr>
          <w:rFonts w:ascii="Courier New" w:cs="Courier New" w:eastAsia="Courier New" w:hAnsi="Courier New"/>
          <w:sz w:val="14"/>
          <w:szCs w:val="14"/>
          <w:color w:val="auto"/>
        </w:rPr>
        <w:t>company's customer base and their geographic dispersion.</w:t>
      </w:r>
    </w:p>
    <w:p>
      <w:pPr>
        <w:sectPr>
          <w:pgSz w:w="11900" w:h="16838" w:orient="portrait"/>
          <w:cols w:equalWidth="0" w:num="1">
            <w:col w:w="10239"/>
          </w:cols>
          <w:pgMar w:left="220" w:top="141" w:right="1440" w:bottom="1440" w:gutter="0" w:footer="0" w:header="0"/>
        </w:sectPr>
      </w:pP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141" w:right="1440" w:bottom="1440" w:gutter="0" w:footer="0" w:header="0"/>
          <w:type w:val="continuous"/>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35</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INVESTMENTS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entered into various foreign currency exchange contracts designed to manage its exposure to exchange rate fluctuations on foreign currency transactions. These instruments are managed to reduce the risk associated with the exposure being hedged. Accordingly, changes in market values of hedge instruments must be highly correlated with changes in market values of underlying hedged items both at inception of the hedge and over the life of the hedge contract. Gains and losses on foreign currency contracts are recorded in the Consolidated Statements of Earnings and Comprehensive Income. The company also enters into forward currency exchange contracts on behalf of certain distributors in order to cover a portion of the payments owed by the distributor to the company. Any currency losses incurred by the company are reimbursed by the distributor.</w:t>
      </w:r>
    </w:p>
    <w:p>
      <w:pPr>
        <w:spacing w:after="0" w:line="163"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The following forward exchange contracts held by the company have maturity dates in fiscal year 2001. All items are non-trading and stated in U.S. dollars. The average contracted rate, notional amount, and fair value impact at October 31, 2000 were as follows: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Average</w:t>
            </w:r>
          </w:p>
        </w:tc>
        <w:tc>
          <w:tcPr>
            <w:tcW w:w="10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Fair Value</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Dollars</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in thousands</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Contracted</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Notional</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Impact Gain</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(except</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average contracted rate)</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Rate</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Amount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(Loss)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BUY U.S. $/SELL AUSTRALIAN</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DOLLAR</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.5966</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$10,112.5</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$ 1,316.2</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BUY U.S. $/SELL CANADIAN DOLLAR</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1.4590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9,218.4</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343.8</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BUY U.S. $/SELL EURO</w:t>
            </w:r>
          </w:p>
        </w:tc>
        <w:tc>
          <w:tcPr>
            <w:tcW w:w="94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.8834</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1,766.7</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54.1</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BUY U.S. $/SELL JAPANESE YEN</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108.5000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184.3</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BUY AUSTRALIAN DOLLAR/SELL</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U.S. $</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.5240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3,976.7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(39.6)</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BUY EURO/SELL U.S. $</w:t>
            </w:r>
          </w:p>
        </w:tc>
        <w:tc>
          <w:tcPr>
            <w:tcW w:w="94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.8414</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1,935.3</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BUY JAPANESE YEN/SELL U.S. $</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102.9820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7,695.5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(257.4)</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BUY MEXICAN PESO/SELL U.S. $</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9.9389</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1,207.4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Estimated fair value amounts have been determined using available information and appropriate valuation methodologies. Because considerable judgment is required in developing the estimates of fair value, these estimates are not necessarily indicative of the amounts that could be realized in a current market exchange. For cash and cash equivalents, receivables, and accounts payable, carrying value is a reasonable estimate of fair value.</w:t>
      </w:r>
    </w:p>
    <w:p>
      <w:pPr>
        <w:spacing w:after="0" w:line="3"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At October 31, 2000, the estimated fair value of long-term debt with fixed interest rates was $189,900,000 compared to its carrying value of $194,495,000. The fair value is estimated by discounting the projected cash flows using the rate at which similar amounts of debt could currently be borrowed.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QUARTERLY FINANCIAL DATA (unaudited)</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Summarized quarterly financial data for fiscal 2000 and fiscal 1999 are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ended October 31,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 (Dollars in thousands,</w:t>
      </w:r>
    </w:p>
    <w:p>
      <w:pPr>
        <w:spacing w:after="0" w:line="7" w:lineRule="exact"/>
        <w:rPr>
          <w:sz w:val="20"/>
          <w:szCs w:val="20"/>
          <w:color w:val="auto"/>
        </w:rPr>
      </w:pPr>
    </w:p>
    <w:p>
      <w:pPr>
        <w:spacing w:after="0"/>
        <w:tabs>
          <w:tab w:leader="none" w:pos="3260" w:val="left"/>
          <w:tab w:leader="none" w:pos="4200" w:val="left"/>
          <w:tab w:leader="none" w:pos="5240" w:val="left"/>
          <w:tab w:leader="none" w:pos="6200" w:val="left"/>
        </w:tabs>
        <w:rPr>
          <w:sz w:val="20"/>
          <w:szCs w:val="20"/>
          <w:color w:val="auto"/>
        </w:rPr>
      </w:pPr>
      <w:r>
        <w:rPr>
          <w:rFonts w:ascii="Courier New" w:cs="Courier New" w:eastAsia="Courier New" w:hAnsi="Courier New"/>
          <w:sz w:val="14"/>
          <w:szCs w:val="14"/>
          <w:color w:val="auto"/>
        </w:rPr>
        <w:t>except per share data)</w:t>
      </w:r>
      <w:r>
        <w:rPr>
          <w:sz w:val="20"/>
          <w:szCs w:val="20"/>
          <w:color w:val="auto"/>
        </w:rPr>
        <w:tab/>
      </w: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3"/>
          <w:szCs w:val="13"/>
          <w:color w:val="auto"/>
        </w:rPr>
        <w:t>FOURTH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NET SALES</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$280,239</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$441,799</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$345,166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$269,720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GROSS</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PROFIT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99,939</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161,949</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133,287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96,888</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NET EARNINGS</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913</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26,920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16,442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1,010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NET EARNINGS PER SHARE</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0.07</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2.11</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0.08</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DILUTIVE NET EARNINGS PER SHARE</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0.07</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2.08</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ended October 31,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 (Dollars in thousands,</w:t>
      </w:r>
    </w:p>
    <w:p>
      <w:pPr>
        <w:spacing w:after="0" w:line="7" w:lineRule="exact"/>
        <w:rPr>
          <w:sz w:val="20"/>
          <w:szCs w:val="20"/>
          <w:color w:val="auto"/>
        </w:rPr>
      </w:pPr>
    </w:p>
    <w:p>
      <w:pPr>
        <w:spacing w:after="0"/>
        <w:tabs>
          <w:tab w:leader="none" w:pos="3440" w:val="left"/>
          <w:tab w:leader="none" w:pos="4300" w:val="left"/>
          <w:tab w:leader="none" w:pos="5320" w:val="left"/>
          <w:tab w:leader="none" w:pos="6200" w:val="left"/>
        </w:tabs>
        <w:rPr>
          <w:sz w:val="20"/>
          <w:szCs w:val="20"/>
          <w:color w:val="auto"/>
        </w:rPr>
      </w:pPr>
      <w:r>
        <w:rPr>
          <w:rFonts w:ascii="Courier New" w:cs="Courier New" w:eastAsia="Courier New" w:hAnsi="Courier New"/>
          <w:sz w:val="14"/>
          <w:szCs w:val="14"/>
          <w:color w:val="auto"/>
        </w:rPr>
        <w:t>except per share data)</w:t>
      </w:r>
      <w:r>
        <w:rPr>
          <w:sz w:val="20"/>
          <w:szCs w:val="20"/>
          <w:color w:val="auto"/>
        </w:rPr>
        <w:tab/>
      </w: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3"/>
          <w:szCs w:val="13"/>
          <w:color w:val="auto"/>
        </w:rPr>
        <w:t>Fourth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$250,761</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$433,108</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$325,317</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$265,811</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87,944</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152,853</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125,839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92,953</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Restructuring and other</w:t>
            </w: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800" w:type="dxa"/>
            <w:vAlign w:val="bottom"/>
          </w:tcPr>
          <w:p>
            <w:pPr>
              <w:ind w:left="260"/>
              <w:spacing w:after="0"/>
              <w:rPr>
                <w:sz w:val="20"/>
                <w:szCs w:val="20"/>
                <w:color w:val="auto"/>
              </w:rPr>
            </w:pPr>
            <w:r>
              <w:rPr>
                <w:rFonts w:ascii="Courier New" w:cs="Courier New" w:eastAsia="Courier New" w:hAnsi="Courier New"/>
                <w:sz w:val="14"/>
                <w:szCs w:val="14"/>
                <w:color w:val="auto"/>
              </w:rPr>
              <w:t>unusual expense</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722</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796</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24,090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10,323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(150)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Basic net earnings (loss)</w:t>
            </w: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800" w:type="dxa"/>
            <w:vAlign w:val="bottom"/>
          </w:tcPr>
          <w:p>
            <w:pPr>
              <w:ind w:left="260"/>
              <w:spacing w:after="0"/>
              <w:rPr>
                <w:sz w:val="20"/>
                <w:szCs w:val="20"/>
                <w:color w:val="auto"/>
              </w:rPr>
            </w:pPr>
            <w:r>
              <w:rPr>
                <w:rFonts w:ascii="Courier New" w:cs="Courier New" w:eastAsia="Courier New" w:hAnsi="Courier New"/>
                <w:sz w:val="14"/>
                <w:szCs w:val="14"/>
                <w:color w:val="auto"/>
              </w:rPr>
              <w:t>per share</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0.06</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1.86</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(0.01)</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Dilutive net earnings (loss)</w:t>
            </w: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800" w:type="dxa"/>
            <w:vAlign w:val="bottom"/>
          </w:tcPr>
          <w:p>
            <w:pPr>
              <w:ind w:left="260"/>
              <w:spacing w:after="0"/>
              <w:rPr>
                <w:sz w:val="20"/>
                <w:szCs w:val="20"/>
                <w:color w:val="auto"/>
              </w:rPr>
            </w:pPr>
            <w:r>
              <w:rPr>
                <w:rFonts w:ascii="Courier New" w:cs="Courier New" w:eastAsia="Courier New" w:hAnsi="Courier New"/>
                <w:sz w:val="14"/>
                <w:szCs w:val="14"/>
                <w:color w:val="auto"/>
              </w:rPr>
              <w:t>per share</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0.06</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1.83</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0.78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5" w:right="1440" w:bottom="922" w:gutter="0" w:footer="0" w:header="0"/>
        </w:sectPr>
      </w:pPr>
    </w:p>
    <w:bookmarkStart w:id="41" w:name="page42"/>
    <w:bookmarkEnd w:id="41"/>
    <w:p>
      <w:pPr>
        <w:spacing w:after="0" w:line="3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ELEVEN-YEAR FINANCIAL DATA (UNAUDITED)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(Dollars and shares</w:t>
            </w:r>
          </w:p>
        </w:tc>
        <w:tc>
          <w:tcPr>
            <w:tcW w:w="35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in millions, except per share data)</w:t>
            </w: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Years ended October</w:t>
            </w:r>
          </w:p>
        </w:tc>
        <w:tc>
          <w:tcPr>
            <w:tcW w:w="1600" w:type="dxa"/>
            <w:vAlign w:val="bottom"/>
          </w:tcPr>
          <w:p>
            <w:pPr>
              <w:ind w:left="60"/>
              <w:spacing w:after="0"/>
              <w:rPr>
                <w:sz w:val="20"/>
                <w:szCs w:val="20"/>
                <w:color w:val="auto"/>
              </w:rPr>
            </w:pPr>
            <w:r>
              <w:rPr>
                <w:rFonts w:ascii="Courier New" w:cs="Courier New" w:eastAsia="Courier New" w:hAnsi="Courier New"/>
                <w:sz w:val="14"/>
                <w:szCs w:val="14"/>
                <w:color w:val="auto"/>
              </w:rPr>
              <w:t>31(1)</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1999</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1998(3)</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1997(5)</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1,336.9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1,275.0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1,110.4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1,051.2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930.9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919.4</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SALES GROWTH FROM</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PRIOR YEAR</w:t>
            </w:r>
          </w:p>
        </w:tc>
        <w:tc>
          <w:tcPr>
            <w:tcW w:w="3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w:t>
            </w:r>
          </w:p>
        </w:tc>
        <w:tc>
          <w:tcPr>
            <w:tcW w:w="3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w:t>
            </w:r>
          </w:p>
        </w:tc>
        <w:tc>
          <w:tcPr>
            <w:tcW w:w="3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w:t>
            </w:r>
          </w:p>
        </w:tc>
        <w:tc>
          <w:tcPr>
            <w:tcW w:w="4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w:t>
            </w:r>
          </w:p>
        </w:tc>
        <w:tc>
          <w:tcPr>
            <w:tcW w:w="3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BEFORE EXTRAORDINARY LOSS(2), (4)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32.4</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PERCENTAGE OF NET SALES</w:t>
            </w:r>
          </w:p>
        </w:tc>
        <w:tc>
          <w:tcPr>
            <w:tcW w:w="3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w:t>
            </w:r>
          </w:p>
        </w:tc>
        <w:tc>
          <w:tcPr>
            <w:tcW w:w="3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w:t>
            </w:r>
          </w:p>
        </w:tc>
        <w:tc>
          <w:tcPr>
            <w:tcW w:w="3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w:t>
            </w:r>
          </w:p>
        </w:tc>
        <w:tc>
          <w:tcPr>
            <w:tcW w:w="4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w:t>
            </w:r>
          </w:p>
        </w:tc>
        <w:tc>
          <w:tcPr>
            <w:tcW w:w="3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EARNINGS (LOSS)(2)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32.4</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DILUTIVE NET EARNINGS (LOSS) PER</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SHARE, BEFORE EXTRAORDINARY LOSS(2), (4)</w:t>
            </w:r>
          </w:p>
        </w:tc>
        <w:tc>
          <w:tcPr>
            <w:tcW w:w="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3.47</w:t>
            </w:r>
          </w:p>
        </w:tc>
        <w:tc>
          <w:tcPr>
            <w:tcW w:w="3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2.64</w:t>
            </w:r>
          </w:p>
        </w:tc>
        <w:tc>
          <w:tcPr>
            <w:tcW w:w="34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0.31</w:t>
            </w: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2.93</w:t>
            </w:r>
          </w:p>
        </w:tc>
        <w:tc>
          <w:tcPr>
            <w:tcW w:w="3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2.90</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RETURN ON AVERAGE STOCKHOLDERS'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EQUITY</w:t>
            </w:r>
          </w:p>
        </w:tc>
        <w:tc>
          <w:tcPr>
            <w:tcW w:w="3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15.2%</w:t>
            </w:r>
          </w:p>
        </w:tc>
        <w:tc>
          <w:tcPr>
            <w:tcW w:w="3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w:t>
            </w:r>
          </w:p>
        </w:tc>
        <w:tc>
          <w:tcPr>
            <w:tcW w:w="3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w:t>
            </w:r>
          </w:p>
        </w:tc>
        <w:tc>
          <w:tcPr>
            <w:tcW w:w="4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w:t>
            </w:r>
          </w:p>
        </w:tc>
        <w:tc>
          <w:tcPr>
            <w:tcW w:w="3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18.0%</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17.5%</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SUMMARY OF FINANCIAL POSITION:</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510.2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531.7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479.4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472.0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405.0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386.3</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260.9</w:t>
            </w:r>
          </w:p>
        </w:tc>
        <w:tc>
          <w:tcPr>
            <w:tcW w:w="3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305.8</w:t>
            </w:r>
          </w:p>
        </w:tc>
        <w:tc>
          <w:tcPr>
            <w:tcW w:w="34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258.2</w:t>
            </w: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237.8</w:t>
            </w:r>
          </w:p>
        </w:tc>
        <w:tc>
          <w:tcPr>
            <w:tcW w:w="3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207.9</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221.2</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249.3</w:t>
            </w:r>
          </w:p>
        </w:tc>
        <w:tc>
          <w:tcPr>
            <w:tcW w:w="3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225.9</w:t>
            </w:r>
          </w:p>
        </w:tc>
        <w:tc>
          <w:tcPr>
            <w:tcW w:w="34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221.2</w:t>
            </w: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234.2</w:t>
            </w:r>
          </w:p>
        </w:tc>
        <w:tc>
          <w:tcPr>
            <w:tcW w:w="3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197.1</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165.1</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LONG-TERM DEBT, LESS CURRENT</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PORTION</w:t>
            </w:r>
          </w:p>
        </w:tc>
        <w:tc>
          <w:tcPr>
            <w:tcW w:w="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194.5</w:t>
            </w:r>
          </w:p>
        </w:tc>
        <w:tc>
          <w:tcPr>
            <w:tcW w:w="3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195.6</w:t>
            </w:r>
          </w:p>
        </w:tc>
        <w:tc>
          <w:tcPr>
            <w:tcW w:w="34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196.8</w:t>
            </w: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177.7</w:t>
            </w:r>
          </w:p>
        </w:tc>
        <w:tc>
          <w:tcPr>
            <w:tcW w:w="3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53.0</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53.4</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317.2</w:t>
            </w:r>
          </w:p>
        </w:tc>
        <w:tc>
          <w:tcPr>
            <w:tcW w:w="3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279.7</w:t>
            </w:r>
          </w:p>
        </w:tc>
        <w:tc>
          <w:tcPr>
            <w:tcW w:w="34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263.4</w:t>
            </w: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241.2</w:t>
            </w:r>
          </w:p>
        </w:tc>
        <w:tc>
          <w:tcPr>
            <w:tcW w:w="3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213.6</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190.9</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DEBT TO CAPITALIZATION RATIO</w:t>
            </w:r>
          </w:p>
        </w:tc>
        <w:tc>
          <w:tcPr>
            <w:tcW w:w="3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39.4%</w:t>
            </w:r>
          </w:p>
        </w:tc>
        <w:tc>
          <w:tcPr>
            <w:tcW w:w="3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47.5%</w:t>
            </w:r>
          </w:p>
        </w:tc>
        <w:tc>
          <w:tcPr>
            <w:tcW w:w="3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46.4%</w:t>
            </w:r>
          </w:p>
        </w:tc>
        <w:tc>
          <w:tcPr>
            <w:tcW w:w="4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47.6%</w:t>
            </w:r>
          </w:p>
        </w:tc>
        <w:tc>
          <w:tcPr>
            <w:tcW w:w="3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30.7%</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36.6%</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OTHER STATISTICAL DATA:</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EBITDA (2), (7)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136.4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69.2</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111.1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82.7</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BOOK VALUE PER SHARE OF COMMON</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STOCK</w:t>
            </w:r>
          </w:p>
        </w:tc>
        <w:tc>
          <w:tcPr>
            <w:tcW w:w="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25.24</w:t>
            </w:r>
          </w:p>
        </w:tc>
        <w:tc>
          <w:tcPr>
            <w:tcW w:w="3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22.25</w:t>
            </w:r>
          </w:p>
        </w:tc>
        <w:tc>
          <w:tcPr>
            <w:tcW w:w="34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20.63</w:t>
            </w: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19.79</w:t>
            </w:r>
          </w:p>
        </w:tc>
        <w:tc>
          <w:tcPr>
            <w:tcW w:w="3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17.75</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15.69</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DIVIDENDS PER SHARE OF COMMON</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920" w:type="dxa"/>
            <w:vAlign w:val="bottom"/>
          </w:tcPr>
          <w:p>
            <w:pPr>
              <w:ind w:left="360"/>
              <w:spacing w:after="0"/>
              <w:rPr>
                <w:sz w:val="20"/>
                <w:szCs w:val="20"/>
                <w:color w:val="auto"/>
              </w:rPr>
            </w:pPr>
            <w:r>
              <w:rPr>
                <w:rFonts w:ascii="Courier New" w:cs="Courier New" w:eastAsia="Courier New" w:hAnsi="Courier New"/>
                <w:sz w:val="14"/>
                <w:szCs w:val="14"/>
                <w:color w:val="auto"/>
              </w:rPr>
              <w:t>STOCK</w:t>
            </w:r>
          </w:p>
        </w:tc>
        <w:tc>
          <w:tcPr>
            <w:tcW w:w="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0.48</w:t>
            </w:r>
          </w:p>
        </w:tc>
        <w:tc>
          <w:tcPr>
            <w:tcW w:w="3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0.48</w:t>
            </w:r>
          </w:p>
        </w:tc>
        <w:tc>
          <w:tcPr>
            <w:tcW w:w="34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0.48</w:t>
            </w: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0.48</w:t>
            </w:r>
          </w:p>
        </w:tc>
        <w:tc>
          <w:tcPr>
            <w:tcW w:w="3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0.48</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NUMBER OF SHARES OF COMMON</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STOCK OUTSTANDING</w:t>
            </w:r>
          </w:p>
        </w:tc>
        <w:tc>
          <w:tcPr>
            <w:tcW w:w="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12.6</w:t>
            </w:r>
          </w:p>
        </w:tc>
        <w:tc>
          <w:tcPr>
            <w:tcW w:w="3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w:t>
            </w:r>
          </w:p>
        </w:tc>
        <w:tc>
          <w:tcPr>
            <w:tcW w:w="34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12.8</w:t>
            </w: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w:t>
            </w:r>
          </w:p>
        </w:tc>
        <w:tc>
          <w:tcPr>
            <w:tcW w:w="3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NUMBER OF COMMON STOCKHOLDERS(8)</w:t>
            </w:r>
          </w:p>
        </w:tc>
        <w:tc>
          <w:tcPr>
            <w:tcW w:w="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5,802</w:t>
            </w:r>
          </w:p>
        </w:tc>
        <w:tc>
          <w:tcPr>
            <w:tcW w:w="3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6,162</w:t>
            </w:r>
          </w:p>
        </w:tc>
        <w:tc>
          <w:tcPr>
            <w:tcW w:w="34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6,364</w:t>
            </w: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6,560</w:t>
            </w:r>
          </w:p>
        </w:tc>
        <w:tc>
          <w:tcPr>
            <w:tcW w:w="3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6,841</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7,243</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MARKET PRICE RANGE -</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HIGH PRICE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38.000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39.5000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46.3125</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43.750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36.250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32.250</w:t>
            </w:r>
          </w:p>
        </w:tc>
      </w:tr>
      <w:tr>
        <w:trPr>
          <w:trHeight w:val="166"/>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LOW PRICE</w:t>
            </w:r>
          </w:p>
        </w:tc>
        <w:tc>
          <w:tcPr>
            <w:tcW w:w="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28.125</w:t>
            </w:r>
          </w:p>
        </w:tc>
        <w:tc>
          <w:tcPr>
            <w:tcW w:w="3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22.1875</w:t>
            </w:r>
          </w:p>
        </w:tc>
        <w:tc>
          <w:tcPr>
            <w:tcW w:w="34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16.5000</w:t>
            </w: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31.500</w:t>
            </w:r>
          </w:p>
        </w:tc>
        <w:tc>
          <w:tcPr>
            <w:tcW w:w="3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28.375</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25.625</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AVERAGE NUMBER OF EMPLOYEES</w:t>
            </w:r>
          </w:p>
        </w:tc>
        <w:tc>
          <w:tcPr>
            <w:tcW w:w="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4,976</w:t>
            </w:r>
          </w:p>
        </w:tc>
        <w:tc>
          <w:tcPr>
            <w:tcW w:w="3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4,923</w:t>
            </w:r>
          </w:p>
        </w:tc>
        <w:tc>
          <w:tcPr>
            <w:tcW w:w="34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4,695</w:t>
            </w: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4,309</w:t>
            </w:r>
          </w:p>
        </w:tc>
        <w:tc>
          <w:tcPr>
            <w:tcW w:w="3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3,610</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0"/>
        <w:spacing w:after="0"/>
        <w:tabs>
          <w:tab w:leader="none" w:pos="5760" w:val="left"/>
          <w:tab w:leader="none" w:pos="7060" w:val="left"/>
          <w:tab w:leader="none" w:pos="8420" w:val="left"/>
          <w:tab w:leader="none" w:pos="964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r>
        <w:rPr>
          <w:sz w:val="20"/>
          <w:szCs w:val="20"/>
          <w:color w:val="auto"/>
        </w:rPr>
        <w:tab/>
      </w:r>
      <w:r>
        <w:rPr>
          <w:rFonts w:ascii="Courier New" w:cs="Courier New" w:eastAsia="Courier New" w:hAnsi="Courier New"/>
          <w:sz w:val="14"/>
          <w:szCs w:val="14"/>
          <w:color w:val="auto"/>
        </w:rPr>
        <w:t>1990(6)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864.3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706.6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638.7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706.2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747.3</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NET SALES GROWTH FROM</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PRIOR YEAR</w:t>
            </w:r>
          </w:p>
        </w:tc>
        <w:tc>
          <w:tcPr>
            <w:tcW w:w="38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22.3%</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w:t>
            </w:r>
          </w:p>
        </w:tc>
        <w:tc>
          <w:tcPr>
            <w:tcW w:w="38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w:t>
            </w:r>
          </w:p>
        </w:tc>
        <w:tc>
          <w:tcPr>
            <w:tcW w:w="3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16.9%</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BEFORE EXTRAORDINARY LOSS(2), (4)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32.4</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PERCENTAGE OF NET SALES</w:t>
            </w:r>
          </w:p>
        </w:tc>
        <w:tc>
          <w:tcPr>
            <w:tcW w:w="38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w:t>
            </w:r>
          </w:p>
        </w:tc>
        <w:tc>
          <w:tcPr>
            <w:tcW w:w="38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NET EARNINGS (LOSS)(2)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32.4</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DILUTIVE NET EARNINGS (LOSS) PER</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SHARE, BEFORE EXTRAORDINARY LOSS(2), (4)</w:t>
            </w:r>
          </w:p>
        </w:tc>
        <w:tc>
          <w:tcPr>
            <w:tcW w:w="3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2.49</w:t>
            </w:r>
          </w:p>
        </w:tc>
        <w:tc>
          <w:tcPr>
            <w:tcW w:w="44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w:t>
            </w:r>
          </w:p>
        </w:tc>
        <w:tc>
          <w:tcPr>
            <w:tcW w:w="38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(1.81)</w:t>
            </w:r>
          </w:p>
        </w:tc>
        <w:tc>
          <w:tcPr>
            <w:tcW w:w="38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0.77</w:t>
            </w:r>
          </w:p>
        </w:tc>
        <w:tc>
          <w:tcPr>
            <w:tcW w:w="3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0.84</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RETURN ON AVERAGE STOCKHOLDERS'</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EQUITY</w:t>
            </w:r>
          </w:p>
        </w:tc>
        <w:tc>
          <w:tcPr>
            <w:tcW w:w="38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20.2%</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w:t>
            </w:r>
          </w:p>
        </w:tc>
        <w:tc>
          <w:tcPr>
            <w:tcW w:w="38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SUMMARY OF FINANCIAL POSITION:</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373.4</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326.1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324.2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322.0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306.8</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197.2</w:t>
            </w:r>
          </w:p>
        </w:tc>
        <w:tc>
          <w:tcPr>
            <w:tcW w:w="44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169.2</w:t>
            </w:r>
          </w:p>
        </w:tc>
        <w:tc>
          <w:tcPr>
            <w:tcW w:w="3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132.5</w:t>
            </w:r>
          </w:p>
        </w:tc>
        <w:tc>
          <w:tcPr>
            <w:tcW w:w="38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103.8</w:t>
            </w:r>
          </w:p>
        </w:tc>
        <w:tc>
          <w:tcPr>
            <w:tcW w:w="3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3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176.2</w:t>
            </w:r>
          </w:p>
        </w:tc>
        <w:tc>
          <w:tcPr>
            <w:tcW w:w="44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156.9</w:t>
            </w:r>
          </w:p>
        </w:tc>
        <w:tc>
          <w:tcPr>
            <w:tcW w:w="3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191.7</w:t>
            </w:r>
          </w:p>
        </w:tc>
        <w:tc>
          <w:tcPr>
            <w:tcW w:w="38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218.2</w:t>
            </w:r>
          </w:p>
        </w:tc>
        <w:tc>
          <w:tcPr>
            <w:tcW w:w="3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173.8</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LONG-TERM DEBT, LESS CURRENT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PORTION</w:t>
            </w:r>
          </w:p>
        </w:tc>
        <w:tc>
          <w:tcPr>
            <w:tcW w:w="3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70.4</w:t>
            </w:r>
          </w:p>
        </w:tc>
        <w:tc>
          <w:tcPr>
            <w:tcW w:w="44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87.3</w:t>
            </w:r>
          </w:p>
        </w:tc>
        <w:tc>
          <w:tcPr>
            <w:tcW w:w="3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147.9</w:t>
            </w:r>
          </w:p>
        </w:tc>
        <w:tc>
          <w:tcPr>
            <w:tcW w:w="38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154.1</w:t>
            </w:r>
          </w:p>
        </w:tc>
        <w:tc>
          <w:tcPr>
            <w:tcW w:w="3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125.3</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3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178.7</w:t>
            </w:r>
          </w:p>
        </w:tc>
        <w:tc>
          <w:tcPr>
            <w:tcW w:w="44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141.9</w:t>
            </w:r>
          </w:p>
        </w:tc>
        <w:tc>
          <w:tcPr>
            <w:tcW w:w="3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126.4</w:t>
            </w:r>
          </w:p>
        </w:tc>
        <w:tc>
          <w:tcPr>
            <w:tcW w:w="38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153.4</w:t>
            </w:r>
          </w:p>
        </w:tc>
        <w:tc>
          <w:tcPr>
            <w:tcW w:w="3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146.3</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DEBT TO CAPITALIZATION RATIO</w:t>
            </w:r>
          </w:p>
        </w:tc>
        <w:tc>
          <w:tcPr>
            <w:tcW w:w="38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33.8%</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46.5%</w:t>
            </w:r>
          </w:p>
        </w:tc>
        <w:tc>
          <w:tcPr>
            <w:tcW w:w="38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56.5%</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51.9%</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54.3%</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OTHER STATISTICAL DATA:</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EBITDA (2), (7)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85.4</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54.8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51.1</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BOOK VALUE PER SHARE OF COMMON</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STOCK</w:t>
            </w:r>
          </w:p>
        </w:tc>
        <w:tc>
          <w:tcPr>
            <w:tcW w:w="3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14.05</w:t>
            </w:r>
          </w:p>
        </w:tc>
        <w:tc>
          <w:tcPr>
            <w:tcW w:w="44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11.47</w:t>
            </w:r>
          </w:p>
        </w:tc>
        <w:tc>
          <w:tcPr>
            <w:tcW w:w="3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10.50</w:t>
            </w:r>
          </w:p>
        </w:tc>
        <w:tc>
          <w:tcPr>
            <w:tcW w:w="38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12.84</w:t>
            </w:r>
          </w:p>
        </w:tc>
        <w:tc>
          <w:tcPr>
            <w:tcW w:w="3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12.34</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DIVIDENDS PER SHARE OF COMMON</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980" w:type="dxa"/>
            <w:vAlign w:val="bottom"/>
          </w:tcPr>
          <w:p>
            <w:pPr>
              <w:ind w:left="360"/>
              <w:spacing w:after="0"/>
              <w:rPr>
                <w:sz w:val="20"/>
                <w:szCs w:val="20"/>
                <w:color w:val="auto"/>
              </w:rPr>
            </w:pPr>
            <w:r>
              <w:rPr>
                <w:rFonts w:ascii="Courier New" w:cs="Courier New" w:eastAsia="Courier New" w:hAnsi="Courier New"/>
                <w:sz w:val="14"/>
                <w:szCs w:val="14"/>
                <w:color w:val="auto"/>
              </w:rPr>
              <w:t>STOCK</w:t>
            </w:r>
          </w:p>
        </w:tc>
        <w:tc>
          <w:tcPr>
            <w:tcW w:w="3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0.48</w:t>
            </w:r>
          </w:p>
        </w:tc>
        <w:tc>
          <w:tcPr>
            <w:tcW w:w="44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0.48</w:t>
            </w:r>
          </w:p>
        </w:tc>
        <w:tc>
          <w:tcPr>
            <w:tcW w:w="3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0.48</w:t>
            </w:r>
          </w:p>
        </w:tc>
        <w:tc>
          <w:tcPr>
            <w:tcW w:w="38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0.48</w:t>
            </w:r>
          </w:p>
        </w:tc>
        <w:tc>
          <w:tcPr>
            <w:tcW w:w="3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NUMBER OF SHARES OF COMMON</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STOCK OUTSTANDING</w:t>
            </w:r>
          </w:p>
        </w:tc>
        <w:tc>
          <w:tcPr>
            <w:tcW w:w="3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12.7</w:t>
            </w:r>
          </w:p>
        </w:tc>
        <w:tc>
          <w:tcPr>
            <w:tcW w:w="44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12.4</w:t>
            </w:r>
          </w:p>
        </w:tc>
        <w:tc>
          <w:tcPr>
            <w:tcW w:w="3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12.0</w:t>
            </w:r>
          </w:p>
        </w:tc>
        <w:tc>
          <w:tcPr>
            <w:tcW w:w="38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12.0</w:t>
            </w:r>
          </w:p>
        </w:tc>
        <w:tc>
          <w:tcPr>
            <w:tcW w:w="3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NUMBER OF COMMON STOCKHOLDERS(8)</w:t>
            </w:r>
          </w:p>
        </w:tc>
        <w:tc>
          <w:tcPr>
            <w:tcW w:w="3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7,541</w:t>
            </w:r>
          </w:p>
        </w:tc>
        <w:tc>
          <w:tcPr>
            <w:tcW w:w="44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7,968</w:t>
            </w:r>
          </w:p>
        </w:tc>
        <w:tc>
          <w:tcPr>
            <w:tcW w:w="3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8,386</w:t>
            </w:r>
          </w:p>
        </w:tc>
        <w:tc>
          <w:tcPr>
            <w:tcW w:w="38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8,503</w:t>
            </w:r>
          </w:p>
        </w:tc>
        <w:tc>
          <w:tcPr>
            <w:tcW w:w="3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7,706</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MARKET PRICE RANGE -</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HIGH PRICE</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30.500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26.750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20.500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30.000</w:t>
            </w:r>
          </w:p>
        </w:tc>
      </w:tr>
      <w:tr>
        <w:trPr>
          <w:trHeight w:val="166"/>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LOW PRICE</w:t>
            </w:r>
          </w:p>
        </w:tc>
        <w:tc>
          <w:tcPr>
            <w:tcW w:w="3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20.875</w:t>
            </w:r>
          </w:p>
        </w:tc>
        <w:tc>
          <w:tcPr>
            <w:tcW w:w="44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14.125</w:t>
            </w:r>
          </w:p>
        </w:tc>
        <w:tc>
          <w:tcPr>
            <w:tcW w:w="3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11.375</w:t>
            </w:r>
          </w:p>
        </w:tc>
        <w:tc>
          <w:tcPr>
            <w:tcW w:w="38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11.000</w:t>
            </w:r>
          </w:p>
        </w:tc>
        <w:tc>
          <w:tcPr>
            <w:tcW w:w="3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12.000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AVERAGE NUMBER OF EMPLOYEES</w:t>
            </w:r>
          </w:p>
        </w:tc>
        <w:tc>
          <w:tcPr>
            <w:tcW w:w="3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3,434</w:t>
            </w:r>
          </w:p>
        </w:tc>
        <w:tc>
          <w:tcPr>
            <w:tcW w:w="44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3,117</w:t>
            </w:r>
          </w:p>
        </w:tc>
        <w:tc>
          <w:tcPr>
            <w:tcW w:w="3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3,084</w:t>
            </w:r>
          </w:p>
        </w:tc>
        <w:tc>
          <w:tcPr>
            <w:tcW w:w="38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3,580</w:t>
            </w:r>
          </w:p>
        </w:tc>
        <w:tc>
          <w:tcPr>
            <w:tcW w:w="3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77" w:orient="portrait"/>
          <w:cols w:equalWidth="0" w:num="1">
            <w:col w:w="11300"/>
          </w:cols>
          <w:pgMar w:left="220" w:top="285" w:right="379" w:bottom="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In 1995, the company changed its fiscal year end from July 31 to October 31.</w:t>
      </w:r>
    </w:p>
    <w:p>
      <w:pPr>
        <w:sectPr>
          <w:pgSz w:w="11900" w:h="16877" w:orient="portrait"/>
          <w:cols w:equalWidth="0" w:num="1">
            <w:col w:w="11300"/>
          </w:cols>
          <w:pgMar w:left="220" w:top="285" w:right="379" w:bottom="0" w:gutter="0" w:footer="0" w:header="0"/>
          <w:type w:val="continuous"/>
        </w:sectPr>
      </w:pPr>
    </w:p>
    <w:bookmarkStart w:id="42" w:name="page43"/>
    <w:bookmarkEnd w:id="42"/>
    <w:p>
      <w:pPr>
        <w:jc w:val="both"/>
        <w:ind w:right="3859"/>
        <w:spacing w:after="0" w:line="250" w:lineRule="auto"/>
        <w:rPr>
          <w:sz w:val="20"/>
          <w:szCs w:val="20"/>
          <w:color w:val="auto"/>
        </w:rPr>
      </w:pPr>
      <w:r>
        <w:rPr>
          <w:rFonts w:ascii="Courier New" w:cs="Courier New" w:eastAsia="Courier New" w:hAnsi="Courier New"/>
          <w:sz w:val="14"/>
          <w:szCs w:val="14"/>
          <w:color w:val="auto"/>
        </w:rPr>
        <w:t>Therefore, the year-end's prior to 1996 are unaudited and were restated to include twelve months of data through the Friday closest to October 31 for comparative purposes.</w:t>
      </w:r>
    </w:p>
    <w:p>
      <w:pPr>
        <w:spacing w:after="0" w:line="1" w:lineRule="exact"/>
        <w:rPr>
          <w:sz w:val="20"/>
          <w:szCs w:val="20"/>
          <w:color w:val="auto"/>
        </w:rPr>
      </w:pPr>
    </w:p>
    <w:p>
      <w:pPr>
        <w:ind w:right="3779" w:firstLine="8"/>
        <w:spacing w:after="0" w:line="250" w:lineRule="auto"/>
        <w:tabs>
          <w:tab w:leader="none" w:pos="344"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1999, 1998, 1997, and 1992 includes net restructuring and other unusual expense of $1.7 million, $15.0 million, $2.6 million, and $24.9 million, respectively.</w:t>
      </w:r>
    </w:p>
    <w:p>
      <w:pPr>
        <w:spacing w:after="0" w:line="1" w:lineRule="exact"/>
        <w:rPr>
          <w:rFonts w:ascii="Courier New" w:cs="Courier New" w:eastAsia="Courier New" w:hAnsi="Courier New"/>
          <w:sz w:val="14"/>
          <w:szCs w:val="14"/>
          <w:color w:val="auto"/>
        </w:rPr>
      </w:pPr>
    </w:p>
    <w:p>
      <w:pPr>
        <w:ind w:right="3599" w:firstLine="8"/>
        <w:spacing w:after="0" w:line="250" w:lineRule="auto"/>
        <w:tabs>
          <w:tab w:leader="none" w:pos="344"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consolidated financial statements include results of operations of Exmark from November 1, 1997 and Drip In from February 1, 1998, dates of acquisition.</w:t>
      </w:r>
    </w:p>
    <w:p>
      <w:pPr>
        <w:spacing w:after="0" w:line="1" w:lineRule="exact"/>
        <w:rPr>
          <w:rFonts w:ascii="Courier New" w:cs="Courier New" w:eastAsia="Courier New" w:hAnsi="Courier New"/>
          <w:sz w:val="14"/>
          <w:szCs w:val="14"/>
          <w:color w:val="auto"/>
        </w:rPr>
      </w:pPr>
    </w:p>
    <w:p>
      <w:pPr>
        <w:ind w:right="3599" w:firstLine="8"/>
        <w:spacing w:after="0" w:line="250" w:lineRule="auto"/>
        <w:tabs>
          <w:tab w:leader="none" w:pos="344"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1997 net earnings and dilutive net earnings per share after extraordinary loss on early retirement of debt of $1,663,000, or $0.13 per dilutive share, were $34,845,000 and $2.80, respectively.</w:t>
      </w:r>
    </w:p>
    <w:p>
      <w:pPr>
        <w:spacing w:after="0" w:line="1" w:lineRule="exact"/>
        <w:rPr>
          <w:rFonts w:ascii="Courier New" w:cs="Courier New" w:eastAsia="Courier New" w:hAnsi="Courier New"/>
          <w:sz w:val="14"/>
          <w:szCs w:val="14"/>
          <w:color w:val="auto"/>
        </w:rPr>
      </w:pPr>
    </w:p>
    <w:p>
      <w:pPr>
        <w:ind w:right="3419" w:firstLine="8"/>
        <w:spacing w:after="0" w:line="250" w:lineRule="auto"/>
        <w:tabs>
          <w:tab w:leader="none" w:pos="344"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consolidated financial statements include results of operations of the James Hardie Irrigation Group from December 1, 1996, the date of acquisition.</w:t>
      </w:r>
    </w:p>
    <w:p>
      <w:pPr>
        <w:spacing w:after="0" w:line="1" w:lineRule="exact"/>
        <w:rPr>
          <w:rFonts w:ascii="Courier New" w:cs="Courier New" w:eastAsia="Courier New" w:hAnsi="Courier New"/>
          <w:sz w:val="14"/>
          <w:szCs w:val="14"/>
          <w:color w:val="auto"/>
        </w:rPr>
      </w:pPr>
    </w:p>
    <w:p>
      <w:pPr>
        <w:ind w:right="3779" w:firstLine="8"/>
        <w:spacing w:after="0" w:line="250" w:lineRule="auto"/>
        <w:tabs>
          <w:tab w:leader="none" w:pos="344"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consolidated financial statements include results of operations of Lawn-Boy Inc. from November 7, 1989, the date of acquisition.</w:t>
      </w:r>
    </w:p>
    <w:p>
      <w:pPr>
        <w:ind w:right="4379" w:firstLine="8"/>
        <w:spacing w:after="0" w:line="250" w:lineRule="auto"/>
        <w:tabs>
          <w:tab w:leader="none" w:pos="344"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before interest, taxes, depreciation, amortization, and extraordinary loss.</w:t>
      </w:r>
    </w:p>
    <w:p>
      <w:pPr>
        <w:ind w:right="3519" w:firstLine="8"/>
        <w:spacing w:after="0" w:line="255" w:lineRule="auto"/>
        <w:tabs>
          <w:tab w:leader="none" w:pos="344"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number of stockholders at July 31 for the years starting in 1989 and ending in 1994.</w:t>
      </w:r>
    </w:p>
    <w:p>
      <w:pPr>
        <w:spacing w:after="0" w:line="326" w:lineRule="exact"/>
        <w:rPr>
          <w:sz w:val="20"/>
          <w:szCs w:val="20"/>
          <w:color w:val="auto"/>
        </w:rPr>
      </w:pPr>
    </w:p>
    <w:p>
      <w:pPr>
        <w:ind w:right="5059"/>
        <w:spacing w:after="0" w:line="255" w:lineRule="auto"/>
        <w:rPr>
          <w:sz w:val="20"/>
          <w:szCs w:val="20"/>
          <w:color w:val="auto"/>
        </w:rPr>
      </w:pPr>
      <w:r>
        <w:rPr>
          <w:rFonts w:ascii="Courier New" w:cs="Courier New" w:eastAsia="Courier New" w:hAnsi="Courier New"/>
          <w:sz w:val="14"/>
          <w:szCs w:val="14"/>
          <w:color w:val="auto"/>
        </w:rPr>
        <w:t>ITEM 9. DISAGREEMENTS ON ACCOUNTING AND FINANCIAL DISCLOSURE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141"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37</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See "Executive Officers of the Registrant" in Part I of this report for information regarding the executive officers of the company, which information is herein incorporated by reference.</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Information regarding the directors of the company and additional information regarding certain executive officers is incorporated herein by reference to information to be contained in the company's Proxy Statement to be filed with the Securities and Exchange Commission with respect to the next annual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Information concerning executive compensation is incorporated herein by reference to information to be contained in the company's Proxy Statement to be filed with the Securities and Exchange Commission with respect to the next annual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Information regarding the security ownership of certain beneficial owners and management of the company is incorporated herein by reference to information to be contained in the company's Proxy Statement to be filed with the Securities and Exchange Commission with respect to the next annual meeting of stockholders, which involves the election of directors or, if such Proxy Statement is not filed within 120 days after the end of the fiscal year covered by this Form</w:t>
      </w:r>
    </w:p>
    <w:p>
      <w:pPr>
        <w:spacing w:after="0" w:line="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10-K, such information will be filed as part of an amendment to this Form 10-K not later than the end of the 120-day period.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Information regarding certain relationships and related transactions between the company and its executive officers is incorporated herein by reference to information to be contained in the company's Proxy Statement to be filed with the Securities and Exchange Commission with respect to the next annual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285"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38</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EXHIBITS, REPORTS ON FORM 8-K, AND FINANCIAL STATEMENT SCHEDULES</w:t>
      </w:r>
    </w:p>
    <w:p>
      <w:pPr>
        <w:spacing w:after="0" w:line="173" w:lineRule="exact"/>
        <w:rPr>
          <w:sz w:val="20"/>
          <w:szCs w:val="20"/>
          <w:color w:val="auto"/>
        </w:rPr>
      </w:pPr>
    </w:p>
    <w:p>
      <w:pPr>
        <w:ind w:left="440" w:hanging="432"/>
        <w:spacing w:after="0"/>
        <w:tabs>
          <w:tab w:leader="none" w:pos="4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LIST OF FINANCIAL STATEMENTS</w:t>
      </w:r>
    </w:p>
    <w:p>
      <w:pPr>
        <w:spacing w:after="0" w:line="7"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following consolidated financial statements of The Toro Company and its subsidiaries are included in Item 8 of Part II:</w:t>
      </w:r>
    </w:p>
    <w:p>
      <w:pPr>
        <w:spacing w:after="0" w:line="160"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Independent Auditors' Report</w:t>
      </w:r>
    </w:p>
    <w:p>
      <w:pPr>
        <w:spacing w:after="0" w:line="172" w:lineRule="exact"/>
        <w:rPr>
          <w:rFonts w:ascii="Courier New" w:cs="Courier New" w:eastAsia="Courier New" w:hAnsi="Courier New"/>
          <w:sz w:val="14"/>
          <w:szCs w:val="14"/>
          <w:color w:val="auto"/>
        </w:rPr>
      </w:pPr>
    </w:p>
    <w:p>
      <w:pPr>
        <w:ind w:left="260" w:right="3419" w:hanging="252"/>
        <w:spacing w:after="0" w:line="255" w:lineRule="auto"/>
        <w:tabs>
          <w:tab w:leader="none" w:pos="174"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Consolidated Statements of Earnings and Comprehensive Income for the years ended October 31, 2000, 1999, and 1998</w:t>
      </w:r>
    </w:p>
    <w:p>
      <w:pPr>
        <w:spacing w:after="0" w:line="159"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Consolidated Balance Sheets as of October 31, 2000 and 1999</w:t>
      </w:r>
    </w:p>
    <w:p>
      <w:pPr>
        <w:spacing w:after="0" w:line="172" w:lineRule="exact"/>
        <w:rPr>
          <w:rFonts w:ascii="Courier New" w:cs="Courier New" w:eastAsia="Courier New" w:hAnsi="Courier New"/>
          <w:sz w:val="14"/>
          <w:szCs w:val="14"/>
          <w:color w:val="auto"/>
        </w:rPr>
      </w:pPr>
    </w:p>
    <w:p>
      <w:pPr>
        <w:ind w:left="260" w:right="3339" w:hanging="252"/>
        <w:spacing w:after="0" w:line="255" w:lineRule="auto"/>
        <w:tabs>
          <w:tab w:leader="none" w:pos="174"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Consolidated Statements of Cash Flows for the years ended October 31, 2000, 1999, and 1998</w:t>
      </w:r>
    </w:p>
    <w:p>
      <w:pPr>
        <w:spacing w:after="0" w:line="159"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Notes to Consolidated Financial Statements</w:t>
      </w:r>
    </w:p>
    <w:p>
      <w:pPr>
        <w:spacing w:after="0" w:line="173" w:lineRule="exact"/>
        <w:rPr>
          <w:sz w:val="20"/>
          <w:szCs w:val="20"/>
          <w:color w:val="auto"/>
        </w:rPr>
      </w:pPr>
    </w:p>
    <w:p>
      <w:pPr>
        <w:ind w:left="440" w:hanging="432"/>
        <w:spacing w:after="0"/>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2. LIST OF FINANCIAL STATEMENT SCHEDULES</w:t>
      </w:r>
    </w:p>
    <w:p>
      <w:pPr>
        <w:spacing w:after="0" w:line="7"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The following financial statement schedules of The Toro Company and its subsidiaries are included herein:</w:t>
      </w:r>
    </w:p>
    <w:p>
      <w:pPr>
        <w:spacing w:after="0" w:line="16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Schedule II - Valuation and Qualifying Accounts</w:t>
      </w:r>
    </w:p>
    <w:p>
      <w:pPr>
        <w:spacing w:after="0" w:line="173" w:lineRule="exact"/>
        <w:rPr>
          <w:sz w:val="20"/>
          <w:szCs w:val="20"/>
          <w:color w:val="auto"/>
        </w:rPr>
      </w:pPr>
    </w:p>
    <w:p>
      <w:pPr>
        <w:ind w:right="3859" w:firstLine="258"/>
        <w:spacing w:after="0" w:line="252" w:lineRule="auto"/>
        <w:rPr>
          <w:sz w:val="20"/>
          <w:szCs w:val="20"/>
          <w:color w:val="auto"/>
        </w:rPr>
      </w:pPr>
      <w:r>
        <w:rPr>
          <w:rFonts w:ascii="Courier New" w:cs="Courier New" w:eastAsia="Courier New" w:hAnsi="Courier New"/>
          <w:sz w:val="14"/>
          <w:szCs w:val="14"/>
          <w:color w:val="auto"/>
        </w:rPr>
        <w:t>All other schedules are omitted because the required information is inapplicable or the information is presented in the consolidated financial statements or related notes.</w:t>
      </w:r>
    </w:p>
    <w:p>
      <w:pPr>
        <w:spacing w:after="0" w:line="329" w:lineRule="exact"/>
        <w:rPr>
          <w:sz w:val="20"/>
          <w:szCs w:val="20"/>
          <w:color w:val="auto"/>
        </w:rPr>
      </w:pPr>
    </w:p>
    <w:p>
      <w:pPr>
        <w:ind w:left="440" w:hanging="432"/>
        <w:spacing w:after="0"/>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3. LIST OF EXHIBITS</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following exhibits are incorporated herein by reference or are filed with this report as indicated below:</w:t>
      </w:r>
    </w:p>
    <w:p>
      <w:pPr>
        <w:spacing w:after="0" w:line="160"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EXHIBIT NUMBER</w:t>
      </w:r>
      <w:r>
        <w:rPr>
          <w:sz w:val="20"/>
          <w:szCs w:val="20"/>
          <w:color w:val="auto"/>
        </w:rPr>
        <w:tab/>
      </w:r>
      <w:r>
        <w:rPr>
          <w:rFonts w:ascii="Courier New" w:cs="Courier New" w:eastAsia="Courier New" w:hAnsi="Courier New"/>
          <w:sz w:val="14"/>
          <w:szCs w:val="14"/>
          <w:color w:val="auto"/>
        </w:rPr>
        <w:t>DESCRIPTION</w:t>
      </w:r>
    </w:p>
    <w:p>
      <w:pPr>
        <w:spacing w:after="0" w:line="7"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3(I)(A) AND 4(A) Certificate of Incorporation of Registrant (incorporated by reference to Exhibit 4.2 to Registrant's Registration Statement on Form S-3, Registration No. 33-16125).</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3(I)(B) AND 4(B) Certificate of Amendment to Certificate of Incorporation of Registrant dated December 9, 1986 (incorporated by reference to Exhibit 3 to Registrant's Quarterly Report on Form 10-Q for the quarter ended January 30, 1987, Commission File No. 1-8649).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3(I)(C) AND 4(C)</w:t>
            </w:r>
          </w:p>
        </w:tc>
        <w:tc>
          <w:tcPr>
            <w:tcW w:w="2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Certificate of Designation to</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Certificate of Incorporation</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of Registrant dated</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May 28,</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1998 (incorporated by</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reference to Exhibit (1)(A) to</w:t>
            </w:r>
          </w:p>
        </w:tc>
      </w:tr>
      <w:tr>
        <w:trPr>
          <w:trHeight w:val="166"/>
        </w:trPr>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Registrant's Current Report</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on Form 8-K dated May</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27, 1998).</w:t>
            </w:r>
          </w:p>
        </w:tc>
      </w:tr>
    </w:tbl>
    <w:p>
      <w:pPr>
        <w:spacing w:after="0" w:line="17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3(II) AND 4(D) Bylaws of Registrant (incorporated by reference to Exhibit 3(II) and 4(D) to Registrant's Quarterly Report on Form 10-Q for the quarter ended April 30, 1999).</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4(E) Specimen form of Common Stock certificate (incorporated by reference to Exhibit 4(C) to Registrant's Registration Statement on Form S-8, Registration No. 2-94417).</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4(F) Rights Agreement dated as of May 20, 1998, between Registrant and Wells Fargo Bank Minnesota, National Association relating to rights to purchase Series B Junior Participating Voting Preferred Stock, as amended (incorporated by reference to Registrant's Current Report on Form 8-K dated May 27, 1998, Commission File No. 1-8649).</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4(G) Indenture dated as of January 31, 1997, between Registrant and First National Trust Association, as Trustee, relating to the Registrant's 7.125% Notes due June 15, 2007 and its 7.80% Debentures due June 15, 2027 (incorporated by reference to Exhibit 4(a) to Registrant's Current Report on Form 8-K for June 24, 1997, Commission File No. 1-8649).</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10(A) Form of Employment Agreement in effect for executive officers of Registrant (incorporated by reference to Exhibit 10(a) to Registrant's Quarterly Report on Form 10-Q for the quarter ended July 30, 1999).*</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5" w:right="1440" w:bottom="1440" w:gutter="0" w:footer="0" w:header="0"/>
          <w:type w:val="continuous"/>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39</w:t>
      </w:r>
    </w:p>
    <w:p>
      <w:pPr>
        <w:spacing w:after="0" w:line="338"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10(B) The Toro Company Directors Stock Plan (incorporated by reference to Exhibit 10(b) to Registrant's Quarterly Report on Form 10-Q for the quarter ended April 28, 2000).*</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10(C) The Toro Company Annual Management Incentive Plan II for officers of Registrant (incorporated by reference to Exhibit 10(c) to Registrant's Quarterly Report on Form 10-Q for the quarter ended April 28, 2000).*</w:t>
      </w:r>
    </w:p>
    <w:p>
      <w:pPr>
        <w:spacing w:after="0" w:line="163" w:lineRule="exact"/>
        <w:rPr>
          <w:sz w:val="20"/>
          <w:szCs w:val="20"/>
          <w:color w:val="auto"/>
        </w:rPr>
      </w:pPr>
    </w:p>
    <w:p>
      <w:pPr>
        <w:jc w:val="both"/>
        <w:ind w:right="3779"/>
        <w:spacing w:after="0" w:line="252" w:lineRule="auto"/>
        <w:rPr>
          <w:sz w:val="20"/>
          <w:szCs w:val="20"/>
          <w:color w:val="auto"/>
        </w:rPr>
      </w:pPr>
      <w:r>
        <w:rPr>
          <w:rFonts w:ascii="Courier New" w:cs="Courier New" w:eastAsia="Courier New" w:hAnsi="Courier New"/>
          <w:sz w:val="14"/>
          <w:szCs w:val="14"/>
          <w:color w:val="auto"/>
        </w:rPr>
        <w:t>10(D) The Toro Company 1989 Stock Option Plan (incorporated by reference to Exhibit 10(e) to Registrant's Quarterly Report on Form 10-Q for the quarter ended July 30, 1999).*</w:t>
      </w:r>
    </w:p>
    <w:p>
      <w:pPr>
        <w:spacing w:after="0" w:line="163" w:lineRule="exact"/>
        <w:rPr>
          <w:sz w:val="20"/>
          <w:szCs w:val="20"/>
          <w:color w:val="auto"/>
        </w:rPr>
      </w:pPr>
    </w:p>
    <w:p>
      <w:pPr>
        <w:jc w:val="both"/>
        <w:ind w:right="3779"/>
        <w:spacing w:after="0" w:line="252" w:lineRule="auto"/>
        <w:rPr>
          <w:sz w:val="20"/>
          <w:szCs w:val="20"/>
          <w:color w:val="auto"/>
        </w:rPr>
      </w:pPr>
      <w:r>
        <w:rPr>
          <w:rFonts w:ascii="Courier New" w:cs="Courier New" w:eastAsia="Courier New" w:hAnsi="Courier New"/>
          <w:sz w:val="14"/>
          <w:szCs w:val="14"/>
          <w:color w:val="auto"/>
        </w:rPr>
        <w:t>10(E) The Toro Company 1993 Stock Option Plan (incorporated by reference to Exhibit 10(f) to Registrant's Quarterly Report on Form 10-Q for the quarter ended July 30, 1999).*</w:t>
      </w:r>
    </w:p>
    <w:p>
      <w:pPr>
        <w:spacing w:after="0" w:line="163" w:lineRule="exact"/>
        <w:rPr>
          <w:sz w:val="20"/>
          <w:szCs w:val="20"/>
          <w:color w:val="auto"/>
        </w:rPr>
      </w:pPr>
    </w:p>
    <w:p>
      <w:pPr>
        <w:jc w:val="both"/>
        <w:ind w:right="3779"/>
        <w:spacing w:after="0" w:line="252" w:lineRule="auto"/>
        <w:rPr>
          <w:sz w:val="20"/>
          <w:szCs w:val="20"/>
          <w:color w:val="auto"/>
        </w:rPr>
      </w:pPr>
      <w:r>
        <w:rPr>
          <w:rFonts w:ascii="Courier New" w:cs="Courier New" w:eastAsia="Courier New" w:hAnsi="Courier New"/>
          <w:sz w:val="14"/>
          <w:szCs w:val="14"/>
          <w:color w:val="auto"/>
        </w:rPr>
        <w:t>10(F) The Toro Company 2000 Stock Option Plan (incorporated by reference to Exhibit 10(g) to Registrant's Quarterly Report on Form 10-Q for the quarter ended April 28, 2000).*</w:t>
      </w:r>
    </w:p>
    <w:p>
      <w:pPr>
        <w:spacing w:after="0" w:line="163" w:lineRule="exact"/>
        <w:rPr>
          <w:sz w:val="20"/>
          <w:szCs w:val="20"/>
          <w:color w:val="auto"/>
        </w:rPr>
      </w:pPr>
    </w:p>
    <w:p>
      <w:pPr>
        <w:jc w:val="both"/>
        <w:ind w:right="3779"/>
        <w:spacing w:after="0" w:line="252" w:lineRule="auto"/>
        <w:rPr>
          <w:sz w:val="20"/>
          <w:szCs w:val="20"/>
          <w:color w:val="auto"/>
        </w:rPr>
      </w:pPr>
      <w:r>
        <w:rPr>
          <w:rFonts w:ascii="Courier New" w:cs="Courier New" w:eastAsia="Courier New" w:hAnsi="Courier New"/>
          <w:sz w:val="14"/>
          <w:szCs w:val="14"/>
          <w:color w:val="auto"/>
        </w:rPr>
        <w:t>10(G) The Toro Company Performance Share Plan (incorporated by reference to Exhibit 10(h) to Registrant's Quarterly Report on Form 10-Q for the quarter ended April 28, 2000).*</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10(H) The Toro Company Supplemental Management Retirement Plan (incorporated by reference to Exhibit 10(h) to Registrant's Quarterly Report on Form 10-Q for the quarter ended July 30, 1999).*</w:t>
      </w:r>
    </w:p>
    <w:p>
      <w:pPr>
        <w:spacing w:after="0" w:line="163"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10(I) The Toro Company Supplemental Retirement Plan (incorporated by reference to Exhibit 10(i) to Registrant's Quarterly Report on Form 10-Q for the quarter ended July 30, 1999).*</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10(J) Chief Executive Officer Incentive Award Agreement (incorporated by reference to Exhibit 10(k) to Registrant's Quarterly Report on Form 10-Q for the quarter ended April 28, 2000).*</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10(K) The Toro Company Deferred Compensation Plan for Officers (incorporated by reference to Exhibit 10(k) to Registrant's Quarterly Report on Form 10-Q for the quarter ended July 28, 2000).*</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10(L) The Toro Company Deferred Compensation Plan for Non-Employee Directors (incorporated by reference to Exhibit 10(l) to Registrant's Quarterly Report on Form 10-Q for the quarter ended July 28, 2000).*</w:t>
      </w:r>
    </w:p>
    <w:p>
      <w:pPr>
        <w:spacing w:after="0" w:line="163" w:lineRule="exact"/>
        <w:rPr>
          <w:sz w:val="20"/>
          <w:szCs w:val="20"/>
          <w:color w:val="auto"/>
        </w:rPr>
      </w:pPr>
    </w:p>
    <w:p>
      <w:pPr>
        <w:ind w:left="700" w:hanging="692"/>
        <w:spacing w:after="0"/>
        <w:tabs>
          <w:tab w:leader="none" w:pos="7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of Ratio of Earnings to Fixed Charges</w:t>
      </w:r>
    </w:p>
    <w:p>
      <w:pPr>
        <w:spacing w:after="0" w:line="172" w:lineRule="exact"/>
        <w:rPr>
          <w:rFonts w:ascii="Courier New" w:cs="Courier New" w:eastAsia="Courier New" w:hAnsi="Courier New"/>
          <w:sz w:val="14"/>
          <w:szCs w:val="14"/>
          <w:color w:val="auto"/>
        </w:rPr>
      </w:pPr>
    </w:p>
    <w:p>
      <w:pPr>
        <w:ind w:left="700" w:hanging="692"/>
        <w:spacing w:after="0"/>
        <w:tabs>
          <w:tab w:leader="none" w:pos="70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Registrant</w:t>
      </w:r>
    </w:p>
    <w:p>
      <w:pPr>
        <w:spacing w:after="0" w:line="172" w:lineRule="exact"/>
        <w:rPr>
          <w:rFonts w:ascii="Courier New" w:cs="Courier New" w:eastAsia="Courier New" w:hAnsi="Courier New"/>
          <w:sz w:val="14"/>
          <w:szCs w:val="14"/>
          <w:color w:val="auto"/>
        </w:rPr>
      </w:pPr>
    </w:p>
    <w:p>
      <w:pPr>
        <w:ind w:left="700" w:hanging="692"/>
        <w:spacing w:after="0"/>
        <w:tabs>
          <w:tab w:leader="none" w:pos="70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Independent Auditors' Consent</w:t>
      </w:r>
    </w:p>
    <w:p>
      <w:pPr>
        <w:spacing w:after="0" w:line="172" w:lineRule="exact"/>
        <w:rPr>
          <w:rFonts w:ascii="Courier New" w:cs="Courier New" w:eastAsia="Courier New" w:hAnsi="Courier New"/>
          <w:sz w:val="14"/>
          <w:szCs w:val="14"/>
          <w:color w:val="auto"/>
        </w:rPr>
      </w:pPr>
    </w:p>
    <w:p>
      <w:pPr>
        <w:ind w:left="700" w:hanging="692"/>
        <w:spacing w:after="0"/>
        <w:tabs>
          <w:tab w:leader="none" w:pos="70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Data Schedule; electronic filing only.</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*Management contract or compensatory plan or arrangement required to be filed as an exhibit to this Annual Report on Form 10-K pursuant to Item 14(c).</w:t>
      </w:r>
    </w:p>
    <w:p>
      <w:pPr>
        <w:spacing w:after="0" w:line="160" w:lineRule="exact"/>
        <w:rPr>
          <w:sz w:val="20"/>
          <w:szCs w:val="20"/>
          <w:color w:val="auto"/>
        </w:rPr>
      </w:pPr>
    </w:p>
    <w:p>
      <w:pPr>
        <w:ind w:left="440" w:hanging="432"/>
        <w:spacing w:after="0"/>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reports on Form 8-K were filed during the last quarter of fiscal 2000.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85"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40</w:t>
      </w:r>
    </w:p>
    <w:p>
      <w:pPr>
        <w:spacing w:after="0" w:line="338"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4"/>
          <w:szCs w:val="14"/>
          <w:color w:val="auto"/>
        </w:rPr>
        <w:t>SCHEDULE II</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tabs>
          <w:tab w:leader="none" w:pos="5840" w:val="left"/>
        </w:tabs>
        <w:rPr>
          <w:sz w:val="20"/>
          <w:szCs w:val="20"/>
          <w:color w:val="auto"/>
        </w:rPr>
      </w:pPr>
      <w:r>
        <w:rPr>
          <w:rFonts w:ascii="Courier New" w:cs="Courier New" w:eastAsia="Courier New" w:hAnsi="Courier New"/>
          <w:sz w:val="14"/>
          <w:szCs w:val="14"/>
          <w:color w:val="auto"/>
        </w:rPr>
        <w:t>Balance</w:t>
      </w:r>
      <w:r>
        <w:rPr>
          <w:sz w:val="20"/>
          <w:szCs w:val="20"/>
          <w:color w:val="auto"/>
        </w:rPr>
        <w:tab/>
      </w:r>
      <w:r>
        <w:rPr>
          <w:rFonts w:ascii="Courier New" w:cs="Courier New" w:eastAsia="Courier New" w:hAnsi="Courier New"/>
          <w:sz w:val="14"/>
          <w:szCs w:val="14"/>
          <w:color w:val="auto"/>
        </w:rPr>
        <w:t>Charged to</w:t>
      </w:r>
    </w:p>
    <w:p>
      <w:pPr>
        <w:spacing w:after="0" w:line="7" w:lineRule="exact"/>
        <w:rPr>
          <w:sz w:val="20"/>
          <w:szCs w:val="20"/>
          <w:color w:val="auto"/>
        </w:rPr>
      </w:pPr>
    </w:p>
    <w:p>
      <w:pPr>
        <w:ind w:left="4140"/>
        <w:spacing w:after="0"/>
        <w:tabs>
          <w:tab w:leader="none" w:pos="5940" w:val="left"/>
          <w:tab w:leader="none" w:pos="9980" w:val="left"/>
        </w:tabs>
        <w:rPr>
          <w:sz w:val="20"/>
          <w:szCs w:val="20"/>
          <w:color w:val="auto"/>
        </w:rPr>
      </w:pPr>
      <w:r>
        <w:rPr>
          <w:rFonts w:ascii="Courier New" w:cs="Courier New" w:eastAsia="Courier New" w:hAnsi="Courier New"/>
          <w:sz w:val="14"/>
          <w:szCs w:val="14"/>
          <w:color w:val="auto"/>
        </w:rPr>
        <w:t>at beginning</w:t>
      </w:r>
      <w:r>
        <w:rPr>
          <w:sz w:val="20"/>
          <w:szCs w:val="20"/>
          <w:color w:val="auto"/>
        </w:rPr>
        <w:tab/>
      </w:r>
      <w:r>
        <w:rPr>
          <w:rFonts w:ascii="Courier New" w:cs="Courier New" w:eastAsia="Courier New" w:hAnsi="Courier New"/>
          <w:sz w:val="14"/>
          <w:szCs w:val="14"/>
          <w:color w:val="auto"/>
        </w:rPr>
        <w:t>costs and</w:t>
      </w:r>
      <w:r>
        <w:rPr>
          <w:sz w:val="20"/>
          <w:szCs w:val="20"/>
          <w:color w:val="auto"/>
        </w:rPr>
        <w:tab/>
      </w:r>
      <w:r>
        <w:rPr>
          <w:rFonts w:ascii="Courier New" w:cs="Courier New" w:eastAsia="Courier New" w:hAnsi="Courier New"/>
          <w:sz w:val="14"/>
          <w:szCs w:val="14"/>
          <w:color w:val="auto"/>
        </w:rPr>
        <w:t>Balance at</w:t>
      </w:r>
    </w:p>
    <w:p>
      <w:pPr>
        <w:spacing w:after="0" w:line="7" w:lineRule="exact"/>
        <w:rPr>
          <w:sz w:val="20"/>
          <w:szCs w:val="20"/>
          <w:color w:val="auto"/>
        </w:rPr>
      </w:pPr>
    </w:p>
    <w:p>
      <w:pPr>
        <w:spacing w:after="0"/>
        <w:tabs>
          <w:tab w:leader="none" w:pos="4560" w:val="left"/>
          <w:tab w:leader="none" w:pos="5840" w:val="left"/>
          <w:tab w:leader="none" w:pos="7400" w:val="left"/>
          <w:tab w:leader="none" w:pos="8340" w:val="left"/>
          <w:tab w:leader="none" w:pos="9900" w:val="left"/>
        </w:tabs>
        <w:rPr>
          <w:sz w:val="20"/>
          <w:szCs w:val="20"/>
          <w:color w:val="auto"/>
        </w:rPr>
      </w:pPr>
      <w:r>
        <w:rPr>
          <w:rFonts w:ascii="Courier New" w:cs="Courier New" w:eastAsia="Courier New" w:hAnsi="Courier New"/>
          <w:sz w:val="14"/>
          <w:szCs w:val="14"/>
          <w:color w:val="auto"/>
        </w:rPr>
        <w:t>Description</w:t>
      </w:r>
      <w:r>
        <w:rPr>
          <w:sz w:val="20"/>
          <w:szCs w:val="20"/>
          <w:color w:val="auto"/>
        </w:rPr>
        <w:tab/>
      </w:r>
      <w:r>
        <w:rPr>
          <w:rFonts w:ascii="Courier New" w:cs="Courier New" w:eastAsia="Courier New" w:hAnsi="Courier New"/>
          <w:sz w:val="14"/>
          <w:szCs w:val="14"/>
          <w:color w:val="auto"/>
        </w:rPr>
        <w:t>of year</w:t>
      </w:r>
      <w:r>
        <w:rPr>
          <w:sz w:val="20"/>
          <w:szCs w:val="20"/>
          <w:color w:val="auto"/>
        </w:rPr>
        <w:tab/>
      </w:r>
      <w:r>
        <w:rPr>
          <w:rFonts w:ascii="Courier New" w:cs="Courier New" w:eastAsia="Courier New" w:hAnsi="Courier New"/>
          <w:sz w:val="14"/>
          <w:szCs w:val="14"/>
          <w:color w:val="auto"/>
        </w:rPr>
        <w:t>expenses(A)</w:t>
      </w:r>
      <w:r>
        <w:rPr>
          <w:sz w:val="20"/>
          <w:szCs w:val="20"/>
          <w:color w:val="auto"/>
        </w:rPr>
        <w:tab/>
      </w:r>
      <w:r>
        <w:rPr>
          <w:rFonts w:ascii="Courier New" w:cs="Courier New" w:eastAsia="Courier New" w:hAnsi="Courier New"/>
          <w:sz w:val="14"/>
          <w:szCs w:val="14"/>
          <w:color w:val="auto"/>
        </w:rPr>
        <w:t>Other(B)</w:t>
      </w:r>
      <w:r>
        <w:rPr>
          <w:sz w:val="20"/>
          <w:szCs w:val="20"/>
          <w:color w:val="auto"/>
        </w:rPr>
        <w:tab/>
      </w:r>
      <w:r>
        <w:rPr>
          <w:rFonts w:ascii="Courier New" w:cs="Courier New" w:eastAsia="Courier New" w:hAnsi="Courier New"/>
          <w:sz w:val="14"/>
          <w:szCs w:val="14"/>
          <w:color w:val="auto"/>
        </w:rPr>
        <w:t>Deductions(C)</w:t>
      </w:r>
      <w:r>
        <w:rPr>
          <w:sz w:val="20"/>
          <w:szCs w:val="20"/>
          <w:color w:val="auto"/>
        </w:rPr>
        <w:tab/>
      </w:r>
      <w:r>
        <w:rPr>
          <w:rFonts w:ascii="Courier New" w:cs="Courier New" w:eastAsia="Courier New" w:hAnsi="Courier New"/>
          <w:sz w:val="14"/>
          <w:szCs w:val="14"/>
          <w:color w:val="auto"/>
        </w:rPr>
        <w:t>end of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YEAR ENDED OCTOBER 31,</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2000</w:t>
            </w:r>
          </w:p>
        </w:tc>
        <w:tc>
          <w:tcPr>
            <w:tcW w:w="1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ALLOWANCE FOR DOUBTFUL</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ACCOUNTS AND</w:t>
            </w:r>
          </w:p>
        </w:tc>
        <w:tc>
          <w:tcPr>
            <w:tcW w:w="1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3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NOTES RECEIVABLE RESERVES</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$11,956,000</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$(1,290,000)</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$ 367,000</w:t>
            </w:r>
          </w:p>
        </w:tc>
        <w:tc>
          <w:tcPr>
            <w:tcW w:w="13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$4,125,000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$ 6,908,000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Year ended October 31,</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1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Allowance for doubtful</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accounts and</w:t>
            </w:r>
          </w:p>
        </w:tc>
        <w:tc>
          <w:tcPr>
            <w:tcW w:w="1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0"/>
        </w:trPr>
        <w:tc>
          <w:tcPr>
            <w:tcW w:w="3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notes receivable reserves</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$12,501,000</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$ 1,113,000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90,000</w:t>
            </w:r>
          </w:p>
        </w:tc>
        <w:tc>
          <w:tcPr>
            <w:tcW w:w="13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$1,748,000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$11,956,000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October 31,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doubtful accounts and</w:t>
      </w:r>
    </w:p>
    <w:p>
      <w:pPr>
        <w:spacing w:after="0" w:line="7" w:lineRule="exact"/>
        <w:rPr>
          <w:sz w:val="20"/>
          <w:szCs w:val="20"/>
          <w:color w:val="auto"/>
        </w:rPr>
      </w:pPr>
    </w:p>
    <w:p>
      <w:pPr>
        <w:ind w:left="260"/>
        <w:spacing w:after="0"/>
        <w:tabs>
          <w:tab w:leader="none" w:pos="4200" w:val="left"/>
          <w:tab w:leader="none" w:pos="5760" w:val="left"/>
          <w:tab w:leader="none" w:pos="6100" w:val="left"/>
          <w:tab w:leader="none" w:pos="7220" w:val="left"/>
          <w:tab w:leader="none" w:pos="8420" w:val="left"/>
          <w:tab w:leader="none" w:pos="9800" w:val="left"/>
        </w:tabs>
        <w:rPr>
          <w:sz w:val="20"/>
          <w:szCs w:val="20"/>
          <w:color w:val="auto"/>
        </w:rPr>
      </w:pPr>
      <w:r>
        <w:rPr>
          <w:rFonts w:ascii="Courier New" w:cs="Courier New" w:eastAsia="Courier New" w:hAnsi="Courier New"/>
          <w:sz w:val="14"/>
          <w:szCs w:val="14"/>
          <w:color w:val="auto"/>
        </w:rPr>
        <w:t>notes receivable reserves</w:t>
      </w:r>
      <w:r>
        <w:rPr>
          <w:sz w:val="20"/>
          <w:szCs w:val="20"/>
          <w:color w:val="auto"/>
        </w:rPr>
        <w:tab/>
      </w:r>
      <w:r>
        <w:rPr>
          <w:rFonts w:ascii="Courier New" w:cs="Courier New" w:eastAsia="Courier New" w:hAnsi="Courier New"/>
          <w:sz w:val="14"/>
          <w:szCs w:val="14"/>
          <w:color w:val="auto"/>
        </w:rPr>
        <w:t>$14,416,000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804,000</w:t>
      </w:r>
      <w:r>
        <w:rPr>
          <w:sz w:val="20"/>
          <w:szCs w:val="20"/>
          <w:color w:val="auto"/>
        </w:rPr>
        <w:tab/>
      </w:r>
      <w:r>
        <w:rPr>
          <w:rFonts w:ascii="Courier New" w:cs="Courier New" w:eastAsia="Courier New" w:hAnsi="Courier New"/>
          <w:sz w:val="14"/>
          <w:szCs w:val="14"/>
          <w:color w:val="auto"/>
        </w:rPr>
        <w:t>$ 250,000</w:t>
      </w:r>
      <w:r>
        <w:rPr>
          <w:sz w:val="20"/>
          <w:szCs w:val="20"/>
          <w:color w:val="auto"/>
        </w:rPr>
        <w:tab/>
      </w:r>
      <w:r>
        <w:rPr>
          <w:rFonts w:ascii="Courier New" w:cs="Courier New" w:eastAsia="Courier New" w:hAnsi="Courier New"/>
          <w:sz w:val="14"/>
          <w:szCs w:val="14"/>
          <w:color w:val="auto"/>
        </w:rPr>
        <w:t>$2,969,000</w:t>
      </w:r>
      <w:r>
        <w:rPr>
          <w:sz w:val="20"/>
          <w:szCs w:val="20"/>
          <w:color w:val="auto"/>
        </w:rPr>
        <w:tab/>
      </w:r>
      <w:r>
        <w:rPr>
          <w:rFonts w:ascii="Courier New" w:cs="Courier New" w:eastAsia="Courier New" w:hAnsi="Courier New"/>
          <w:sz w:val="14"/>
          <w:szCs w:val="14"/>
          <w:color w:val="auto"/>
        </w:rPr>
        <w:t>$12,501,000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360" w:hanging="352"/>
        <w:spacing w:after="0"/>
        <w:tabs>
          <w:tab w:leader="none" w:pos="3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 net of recoveries.</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Additions to allowance for doubtful accounts due to acquisitions.</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Uncollectible accounts charged 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tabs>
          <w:tab w:leader="none" w:pos="5840" w:val="left"/>
        </w:tabs>
        <w:rPr>
          <w:sz w:val="20"/>
          <w:szCs w:val="20"/>
          <w:color w:val="auto"/>
        </w:rPr>
      </w:pPr>
      <w:r>
        <w:rPr>
          <w:rFonts w:ascii="Courier New" w:cs="Courier New" w:eastAsia="Courier New" w:hAnsi="Courier New"/>
          <w:sz w:val="14"/>
          <w:szCs w:val="14"/>
          <w:color w:val="auto"/>
        </w:rPr>
        <w:t>Balance</w:t>
      </w:r>
      <w:r>
        <w:rPr>
          <w:sz w:val="20"/>
          <w:szCs w:val="20"/>
          <w:color w:val="auto"/>
        </w:rPr>
        <w:tab/>
      </w:r>
      <w:r>
        <w:rPr>
          <w:rFonts w:ascii="Courier New" w:cs="Courier New" w:eastAsia="Courier New" w:hAnsi="Courier New"/>
          <w:sz w:val="14"/>
          <w:szCs w:val="14"/>
          <w:color w:val="auto"/>
        </w:rPr>
        <w:t>Charged to</w:t>
      </w:r>
    </w:p>
    <w:p>
      <w:pPr>
        <w:spacing w:after="0" w:line="7" w:lineRule="exact"/>
        <w:rPr>
          <w:sz w:val="20"/>
          <w:szCs w:val="20"/>
          <w:color w:val="auto"/>
        </w:rPr>
      </w:pPr>
    </w:p>
    <w:p>
      <w:pPr>
        <w:ind w:left="4140"/>
        <w:spacing w:after="0"/>
        <w:tabs>
          <w:tab w:leader="none" w:pos="5940" w:val="left"/>
          <w:tab w:leader="none" w:pos="9980" w:val="left"/>
        </w:tabs>
        <w:rPr>
          <w:sz w:val="20"/>
          <w:szCs w:val="20"/>
          <w:color w:val="auto"/>
        </w:rPr>
      </w:pPr>
      <w:r>
        <w:rPr>
          <w:rFonts w:ascii="Courier New" w:cs="Courier New" w:eastAsia="Courier New" w:hAnsi="Courier New"/>
          <w:sz w:val="14"/>
          <w:szCs w:val="14"/>
          <w:color w:val="auto"/>
        </w:rPr>
        <w:t>at beginning</w:t>
      </w:r>
      <w:r>
        <w:rPr>
          <w:sz w:val="20"/>
          <w:szCs w:val="20"/>
          <w:color w:val="auto"/>
        </w:rPr>
        <w:tab/>
      </w:r>
      <w:r>
        <w:rPr>
          <w:rFonts w:ascii="Courier New" w:cs="Courier New" w:eastAsia="Courier New" w:hAnsi="Courier New"/>
          <w:sz w:val="14"/>
          <w:szCs w:val="14"/>
          <w:color w:val="auto"/>
        </w:rPr>
        <w:t>costs and</w:t>
      </w:r>
      <w:r>
        <w:rPr>
          <w:sz w:val="20"/>
          <w:szCs w:val="20"/>
          <w:color w:val="auto"/>
        </w:rPr>
        <w:tab/>
      </w:r>
      <w:r>
        <w:rPr>
          <w:rFonts w:ascii="Courier New" w:cs="Courier New" w:eastAsia="Courier New" w:hAnsi="Courier New"/>
          <w:sz w:val="14"/>
          <w:szCs w:val="14"/>
          <w:color w:val="auto"/>
        </w:rPr>
        <w:t>Balance at</w:t>
      </w:r>
    </w:p>
    <w:p>
      <w:pPr>
        <w:spacing w:after="0" w:line="7" w:lineRule="exact"/>
        <w:rPr>
          <w:sz w:val="20"/>
          <w:szCs w:val="20"/>
          <w:color w:val="auto"/>
        </w:rPr>
      </w:pPr>
    </w:p>
    <w:p>
      <w:pPr>
        <w:spacing w:after="0"/>
        <w:tabs>
          <w:tab w:leader="none" w:pos="4560" w:val="left"/>
          <w:tab w:leader="none" w:pos="5840" w:val="left"/>
          <w:tab w:leader="none" w:pos="7400" w:val="left"/>
          <w:tab w:leader="none" w:pos="8340" w:val="left"/>
          <w:tab w:leader="none" w:pos="9900" w:val="left"/>
        </w:tabs>
        <w:rPr>
          <w:sz w:val="20"/>
          <w:szCs w:val="20"/>
          <w:color w:val="auto"/>
        </w:rPr>
      </w:pPr>
      <w:r>
        <w:rPr>
          <w:rFonts w:ascii="Courier New" w:cs="Courier New" w:eastAsia="Courier New" w:hAnsi="Courier New"/>
          <w:sz w:val="14"/>
          <w:szCs w:val="14"/>
          <w:color w:val="auto"/>
        </w:rPr>
        <w:t>Description</w:t>
      </w:r>
      <w:r>
        <w:rPr>
          <w:sz w:val="20"/>
          <w:szCs w:val="20"/>
          <w:color w:val="auto"/>
        </w:rPr>
        <w:tab/>
      </w:r>
      <w:r>
        <w:rPr>
          <w:rFonts w:ascii="Courier New" w:cs="Courier New" w:eastAsia="Courier New" w:hAnsi="Courier New"/>
          <w:sz w:val="14"/>
          <w:szCs w:val="14"/>
          <w:color w:val="auto"/>
        </w:rPr>
        <w:t>of year</w:t>
      </w:r>
      <w:r>
        <w:rPr>
          <w:sz w:val="20"/>
          <w:szCs w:val="20"/>
          <w:color w:val="auto"/>
        </w:rPr>
        <w:tab/>
      </w:r>
      <w:r>
        <w:rPr>
          <w:rFonts w:ascii="Courier New" w:cs="Courier New" w:eastAsia="Courier New" w:hAnsi="Courier New"/>
          <w:sz w:val="14"/>
          <w:szCs w:val="14"/>
          <w:color w:val="auto"/>
        </w:rPr>
        <w:t>expenses(A)</w:t>
      </w:r>
      <w:r>
        <w:rPr>
          <w:sz w:val="20"/>
          <w:szCs w:val="20"/>
          <w:color w:val="auto"/>
        </w:rPr>
        <w:tab/>
      </w:r>
      <w:r>
        <w:rPr>
          <w:rFonts w:ascii="Courier New" w:cs="Courier New" w:eastAsia="Courier New" w:hAnsi="Courier New"/>
          <w:sz w:val="14"/>
          <w:szCs w:val="14"/>
          <w:color w:val="auto"/>
        </w:rPr>
        <w:t>Other(B)</w:t>
      </w:r>
      <w:r>
        <w:rPr>
          <w:sz w:val="20"/>
          <w:szCs w:val="20"/>
          <w:color w:val="auto"/>
        </w:rPr>
        <w:tab/>
      </w:r>
      <w:r>
        <w:rPr>
          <w:rFonts w:ascii="Courier New" w:cs="Courier New" w:eastAsia="Courier New" w:hAnsi="Courier New"/>
          <w:sz w:val="14"/>
          <w:szCs w:val="14"/>
          <w:color w:val="auto"/>
        </w:rPr>
        <w:t>Deductions(C)</w:t>
      </w:r>
      <w:r>
        <w:rPr>
          <w:sz w:val="20"/>
          <w:szCs w:val="20"/>
          <w:color w:val="auto"/>
        </w:rPr>
        <w:tab/>
      </w:r>
      <w:r>
        <w:rPr>
          <w:rFonts w:ascii="Courier New" w:cs="Courier New" w:eastAsia="Courier New" w:hAnsi="Courier New"/>
          <w:sz w:val="14"/>
          <w:szCs w:val="14"/>
          <w:color w:val="auto"/>
        </w:rPr>
        <w:t>end of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spacing w:after="0"/>
              <w:rPr>
                <w:sz w:val="20"/>
                <w:szCs w:val="20"/>
                <w:color w:val="auto"/>
              </w:rPr>
            </w:pPr>
            <w:r>
              <w:rPr>
                <w:rFonts w:ascii="Courier New" w:cs="Courier New" w:eastAsia="Courier New" w:hAnsi="Courier New"/>
                <w:sz w:val="14"/>
                <w:szCs w:val="14"/>
                <w:color w:val="auto"/>
              </w:rPr>
              <w:t>YEAR ENDED OCTOBER</w:t>
            </w:r>
          </w:p>
        </w:tc>
        <w:tc>
          <w:tcPr>
            <w:tcW w:w="3880" w:type="dxa"/>
            <w:vAlign w:val="bottom"/>
          </w:tcPr>
          <w:p>
            <w:pPr>
              <w:jc w:val="right"/>
              <w:ind w:right="3068"/>
              <w:spacing w:after="0"/>
              <w:rPr>
                <w:sz w:val="20"/>
                <w:szCs w:val="20"/>
                <w:color w:val="auto"/>
              </w:rPr>
            </w:pPr>
            <w:r>
              <w:rPr>
                <w:rFonts w:ascii="Courier New" w:cs="Courier New" w:eastAsia="Courier New" w:hAnsi="Courier New"/>
                <w:sz w:val="14"/>
                <w:szCs w:val="14"/>
                <w:color w:val="auto"/>
              </w:rPr>
              <w:t>31, 2000</w:t>
            </w: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ACCRUED WARRANTIES</w:t>
            </w:r>
          </w:p>
        </w:tc>
        <w:tc>
          <w:tcPr>
            <w:tcW w:w="3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$51,866,000</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$47,620,000</w:t>
            </w:r>
          </w:p>
        </w:tc>
        <w:tc>
          <w:tcPr>
            <w:tcW w:w="6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$43,501,000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$55,985,000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spacing w:after="0"/>
              <w:rPr>
                <w:sz w:val="20"/>
                <w:szCs w:val="20"/>
                <w:color w:val="auto"/>
              </w:rPr>
            </w:pPr>
            <w:r>
              <w:rPr>
                <w:rFonts w:ascii="Courier New" w:cs="Courier New" w:eastAsia="Courier New" w:hAnsi="Courier New"/>
                <w:sz w:val="14"/>
                <w:szCs w:val="14"/>
                <w:color w:val="auto"/>
              </w:rPr>
              <w:t>Year ended October</w:t>
            </w:r>
          </w:p>
        </w:tc>
        <w:tc>
          <w:tcPr>
            <w:tcW w:w="3880" w:type="dxa"/>
            <w:vAlign w:val="bottom"/>
          </w:tcPr>
          <w:p>
            <w:pPr>
              <w:jc w:val="right"/>
              <w:ind w:right="3068"/>
              <w:spacing w:after="0"/>
              <w:rPr>
                <w:sz w:val="20"/>
                <w:szCs w:val="20"/>
                <w:color w:val="auto"/>
              </w:rPr>
            </w:pPr>
            <w:r>
              <w:rPr>
                <w:rFonts w:ascii="Courier New" w:cs="Courier New" w:eastAsia="Courier New" w:hAnsi="Courier New"/>
                <w:sz w:val="14"/>
                <w:szCs w:val="14"/>
                <w:color w:val="auto"/>
              </w:rPr>
              <w:t>31, 1999</w:t>
            </w: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0"/>
        </w:trPr>
        <w:tc>
          <w:tcPr>
            <w:tcW w:w="1600" w:type="dxa"/>
            <w:vAlign w:val="bottom"/>
          </w:tcPr>
          <w:p>
            <w:pPr>
              <w:spacing w:after="0"/>
              <w:rPr>
                <w:sz w:val="20"/>
                <w:szCs w:val="20"/>
                <w:color w:val="auto"/>
              </w:rPr>
            </w:pPr>
            <w:r>
              <w:rPr>
                <w:rFonts w:ascii="Courier New" w:cs="Courier New" w:eastAsia="Courier New" w:hAnsi="Courier New"/>
                <w:sz w:val="14"/>
                <w:szCs w:val="14"/>
                <w:color w:val="auto"/>
              </w:rPr>
              <w:t>Accrued warranties</w:t>
            </w:r>
          </w:p>
        </w:tc>
        <w:tc>
          <w:tcPr>
            <w:tcW w:w="3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$46,344,000</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$42,057,000</w:t>
            </w:r>
          </w:p>
        </w:tc>
        <w:tc>
          <w:tcPr>
            <w:tcW w:w="6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$36,535,000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$51,866,000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October 31, 1998</w:t>
      </w:r>
    </w:p>
    <w:p>
      <w:pPr>
        <w:spacing w:after="0" w:line="7" w:lineRule="exact"/>
        <w:rPr>
          <w:sz w:val="20"/>
          <w:szCs w:val="20"/>
          <w:color w:val="auto"/>
        </w:rPr>
      </w:pPr>
    </w:p>
    <w:p>
      <w:pPr>
        <w:spacing w:after="0"/>
        <w:tabs>
          <w:tab w:leader="none" w:pos="4200" w:val="left"/>
          <w:tab w:leader="none" w:pos="5760" w:val="left"/>
          <w:tab w:leader="none" w:pos="7220" w:val="left"/>
          <w:tab w:leader="none" w:pos="8420" w:val="left"/>
          <w:tab w:leader="none" w:pos="9800" w:val="left"/>
        </w:tabs>
        <w:rPr>
          <w:sz w:val="20"/>
          <w:szCs w:val="20"/>
          <w:color w:val="auto"/>
        </w:rPr>
      </w:pPr>
      <w:r>
        <w:rPr>
          <w:rFonts w:ascii="Courier New" w:cs="Courier New" w:eastAsia="Courier New" w:hAnsi="Courier New"/>
          <w:sz w:val="14"/>
          <w:szCs w:val="14"/>
          <w:color w:val="auto"/>
        </w:rPr>
        <w:t>Accrued warranties</w:t>
      </w:r>
      <w:r>
        <w:rPr>
          <w:sz w:val="20"/>
          <w:szCs w:val="20"/>
          <w:color w:val="auto"/>
        </w:rPr>
        <w:tab/>
      </w:r>
      <w:r>
        <w:rPr>
          <w:rFonts w:ascii="Courier New" w:cs="Courier New" w:eastAsia="Courier New" w:hAnsi="Courier New"/>
          <w:sz w:val="14"/>
          <w:szCs w:val="14"/>
          <w:color w:val="auto"/>
        </w:rPr>
        <w:t>$40,792,000</w:t>
      </w:r>
      <w:r>
        <w:rPr>
          <w:sz w:val="20"/>
          <w:szCs w:val="20"/>
          <w:color w:val="auto"/>
        </w:rPr>
        <w:tab/>
      </w:r>
      <w:r>
        <w:rPr>
          <w:rFonts w:ascii="Courier New" w:cs="Courier New" w:eastAsia="Courier New" w:hAnsi="Courier New"/>
          <w:sz w:val="14"/>
          <w:szCs w:val="14"/>
          <w:color w:val="auto"/>
        </w:rPr>
        <w:t>$39,877,000</w:t>
      </w:r>
      <w:r>
        <w:rPr>
          <w:sz w:val="20"/>
          <w:szCs w:val="20"/>
          <w:color w:val="auto"/>
        </w:rPr>
        <w:tab/>
      </w:r>
      <w:r>
        <w:rPr>
          <w:rFonts w:ascii="Courier New" w:cs="Courier New" w:eastAsia="Courier New" w:hAnsi="Courier New"/>
          <w:sz w:val="14"/>
          <w:szCs w:val="14"/>
          <w:color w:val="auto"/>
        </w:rPr>
        <w:t>$ 951,000</w:t>
      </w:r>
      <w:r>
        <w:rPr>
          <w:sz w:val="20"/>
          <w:szCs w:val="20"/>
          <w:color w:val="auto"/>
        </w:rPr>
        <w:tab/>
      </w:r>
      <w:r>
        <w:rPr>
          <w:rFonts w:ascii="Courier New" w:cs="Courier New" w:eastAsia="Courier New" w:hAnsi="Courier New"/>
          <w:sz w:val="14"/>
          <w:szCs w:val="14"/>
          <w:color w:val="auto"/>
        </w:rPr>
        <w:t>$35,276,000</w:t>
      </w:r>
      <w:r>
        <w:rPr>
          <w:sz w:val="20"/>
          <w:szCs w:val="20"/>
          <w:color w:val="auto"/>
        </w:rPr>
        <w:tab/>
      </w:r>
      <w:r>
        <w:rPr>
          <w:rFonts w:ascii="Courier New" w:cs="Courier New" w:eastAsia="Courier New" w:hAnsi="Courier New"/>
          <w:sz w:val="14"/>
          <w:szCs w:val="14"/>
          <w:color w:val="auto"/>
        </w:rPr>
        <w:t>$46,344,000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360" w:hanging="352"/>
        <w:spacing w:after="0"/>
        <w:tabs>
          <w:tab w:leader="none" w:pos="3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 net of recoveries.</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Additions to accrued warranties due to acquisitions.</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Warranty claims processed.</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1200"/>
          </w:cols>
          <w:pgMar w:left="220" w:top="285" w:right="479"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41</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(Registrant)</w:t>
      </w:r>
    </w:p>
    <w:p>
      <w:pPr>
        <w:spacing w:after="0" w:line="173" w:lineRule="exact"/>
        <w:rPr>
          <w:sz w:val="20"/>
          <w:szCs w:val="20"/>
          <w:color w:val="auto"/>
        </w:rPr>
      </w:pPr>
    </w:p>
    <w:p>
      <w:pPr>
        <w:spacing w:after="0"/>
        <w:tabs>
          <w:tab w:leader="none" w:pos="4900" w:val="left"/>
        </w:tabs>
        <w:rPr>
          <w:sz w:val="20"/>
          <w:szCs w:val="20"/>
          <w:color w:val="auto"/>
        </w:rPr>
      </w:pPr>
      <w:r>
        <w:rPr>
          <w:rFonts w:ascii="Courier New" w:cs="Courier New" w:eastAsia="Courier New" w:hAnsi="Courier New"/>
          <w:sz w:val="14"/>
          <w:szCs w:val="14"/>
          <w:color w:val="auto"/>
        </w:rPr>
        <w:t>By /s/ Stephen P. Wolfe</w:t>
      </w:r>
      <w:r>
        <w:rPr>
          <w:sz w:val="20"/>
          <w:szCs w:val="20"/>
          <w:color w:val="auto"/>
        </w:rPr>
        <w:tab/>
      </w:r>
      <w:r>
        <w:rPr>
          <w:rFonts w:ascii="Courier New" w:cs="Courier New" w:eastAsia="Courier New" w:hAnsi="Courier New"/>
          <w:sz w:val="14"/>
          <w:szCs w:val="14"/>
          <w:color w:val="auto"/>
        </w:rPr>
        <w:t>Dated: January 24, 2001</w:t>
      </w:r>
    </w:p>
    <w:p>
      <w:pPr>
        <w:spacing w:after="0" w:line="7" w:lineRule="exact"/>
        <w:rPr>
          <w:sz w:val="20"/>
          <w:szCs w:val="20"/>
          <w:color w:val="auto"/>
        </w:rPr>
      </w:pPr>
    </w:p>
    <w:p>
      <w:pPr>
        <w:ind w:left="180" w:hanging="172"/>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Stephen P. Wolfe</w:t>
      </w:r>
    </w:p>
    <w:p>
      <w:pPr>
        <w:spacing w:after="0" w:line="7"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Vice President - Finance</w:t>
      </w:r>
    </w:p>
    <w:p>
      <w:pPr>
        <w:spacing w:after="0" w:line="7"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Treasurer and Chief Financial Officer</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780" w:val="left"/>
          <w:tab w:leader="none" w:pos="7660" w:val="left"/>
        </w:tabs>
        <w:rPr>
          <w:sz w:val="20"/>
          <w:szCs w:val="20"/>
          <w:color w:val="auto"/>
        </w:rPr>
      </w:pPr>
      <w:r>
        <w:rPr>
          <w:rFonts w:ascii="Courier New" w:cs="Courier New" w:eastAsia="Courier New" w:hAnsi="Courier New"/>
          <w:sz w:val="14"/>
          <w:szCs w:val="14"/>
          <w:color w:val="auto"/>
        </w:rPr>
        <w:t>SIGNATURE</w:t>
      </w:r>
      <w:r>
        <w:rPr>
          <w:sz w:val="20"/>
          <w:szCs w:val="20"/>
          <w:color w:val="auto"/>
        </w:rPr>
        <w:tab/>
      </w: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/s/ Kendrick B. Melrose</w:t>
            </w:r>
          </w:p>
        </w:tc>
        <w:tc>
          <w:tcPr>
            <w:tcW w:w="4100" w:type="dxa"/>
            <w:vAlign w:val="bottom"/>
          </w:tcPr>
          <w:p>
            <w:pPr>
              <w:ind w:left="480"/>
              <w:spacing w:after="0"/>
              <w:rPr>
                <w:sz w:val="20"/>
                <w:szCs w:val="20"/>
                <w:color w:val="auto"/>
              </w:rPr>
            </w:pPr>
            <w:r>
              <w:rPr>
                <w:rFonts w:ascii="Courier New" w:cs="Courier New" w:eastAsia="Courier New" w:hAnsi="Courier New"/>
                <w:sz w:val="14"/>
                <w:szCs w:val="14"/>
                <w:color w:val="auto"/>
              </w:rPr>
              <w:t>Chairman, Chief Executive</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January 24, 2001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100" w:type="dxa"/>
            <w:vAlign w:val="bottom"/>
          </w:tcPr>
          <w:p>
            <w:pPr>
              <w:ind w:left="660"/>
              <w:spacing w:after="0"/>
              <w:rPr>
                <w:sz w:val="20"/>
                <w:szCs w:val="20"/>
                <w:color w:val="auto"/>
              </w:rPr>
            </w:pPr>
            <w:r>
              <w:rPr>
                <w:rFonts w:ascii="Courier New" w:cs="Courier New" w:eastAsia="Courier New" w:hAnsi="Courier New"/>
                <w:sz w:val="14"/>
                <w:szCs w:val="14"/>
                <w:color w:val="auto"/>
              </w:rPr>
              <w:t>Officer, and Director</w:t>
            </w:r>
          </w:p>
        </w:tc>
        <w:tc>
          <w:tcPr>
            <w:tcW w:w="1640" w:type="dxa"/>
            <w:vAlign w:val="bottom"/>
          </w:tcPr>
          <w:p>
            <w:pPr>
              <w:spacing w:after="0"/>
              <w:rPr>
                <w:sz w:val="14"/>
                <w:szCs w:val="14"/>
                <w:color w:val="auto"/>
              </w:rPr>
            </w:pPr>
          </w:p>
        </w:tc>
      </w:tr>
      <w:tr>
        <w:trPr>
          <w:trHeight w:val="166"/>
        </w:trPr>
        <w:tc>
          <w:tcPr>
            <w:tcW w:w="3320" w:type="dxa"/>
            <w:vAlign w:val="bottom"/>
          </w:tcPr>
          <w:p>
            <w:pPr>
              <w:ind w:left="360"/>
              <w:spacing w:after="0"/>
              <w:rPr>
                <w:sz w:val="20"/>
                <w:szCs w:val="20"/>
                <w:color w:val="auto"/>
              </w:rPr>
            </w:pPr>
            <w:r>
              <w:rPr>
                <w:rFonts w:ascii="Courier New" w:cs="Courier New" w:eastAsia="Courier New" w:hAnsi="Courier New"/>
                <w:sz w:val="14"/>
                <w:szCs w:val="14"/>
                <w:color w:val="auto"/>
              </w:rPr>
              <w:t>Kendrick B. Melrose</w:t>
            </w:r>
          </w:p>
        </w:tc>
        <w:tc>
          <w:tcPr>
            <w:tcW w:w="4100" w:type="dxa"/>
            <w:vAlign w:val="bottom"/>
          </w:tcPr>
          <w:p>
            <w:pPr>
              <w:ind w:left="480"/>
              <w:spacing w:after="0"/>
              <w:rPr>
                <w:sz w:val="20"/>
                <w:szCs w:val="20"/>
                <w:color w:val="auto"/>
              </w:rPr>
            </w:pPr>
            <w:r>
              <w:rPr>
                <w:rFonts w:ascii="Courier New" w:cs="Courier New" w:eastAsia="Courier New" w:hAnsi="Courier New"/>
                <w:sz w:val="14"/>
                <w:szCs w:val="14"/>
                <w:color w:val="auto"/>
              </w:rPr>
              <w:t>(principal executive officer)</w:t>
            </w:r>
          </w:p>
        </w:tc>
        <w:tc>
          <w:tcPr>
            <w:tcW w:w="1640" w:type="dxa"/>
            <w:vAlign w:val="bottom"/>
          </w:tcPr>
          <w:p>
            <w:pPr>
              <w:spacing w:after="0"/>
              <w:rPr>
                <w:sz w:val="14"/>
                <w:szCs w:val="14"/>
                <w:color w:val="auto"/>
              </w:rPr>
            </w:pPr>
          </w:p>
        </w:tc>
      </w:tr>
      <w:tr>
        <w:trPr>
          <w:trHeight w:val="497"/>
        </w:trPr>
        <w:tc>
          <w:tcPr>
            <w:tcW w:w="3320" w:type="dxa"/>
            <w:vAlign w:val="bottom"/>
          </w:tcPr>
          <w:p>
            <w:pPr>
              <w:spacing w:after="0"/>
              <w:rPr>
                <w:sz w:val="20"/>
                <w:szCs w:val="20"/>
                <w:color w:val="auto"/>
              </w:rPr>
            </w:pPr>
            <w:r>
              <w:rPr>
                <w:rFonts w:ascii="Courier New" w:cs="Courier New" w:eastAsia="Courier New" w:hAnsi="Courier New"/>
                <w:sz w:val="14"/>
                <w:szCs w:val="14"/>
                <w:color w:val="auto"/>
              </w:rPr>
              <w:t>/s/ Stephen P. Wolfe</w:t>
            </w:r>
          </w:p>
        </w:tc>
        <w:tc>
          <w:tcPr>
            <w:tcW w:w="4100" w:type="dxa"/>
            <w:vAlign w:val="bottom"/>
          </w:tcPr>
          <w:p>
            <w:pPr>
              <w:ind w:left="480"/>
              <w:spacing w:after="0"/>
              <w:rPr>
                <w:sz w:val="20"/>
                <w:szCs w:val="20"/>
                <w:color w:val="auto"/>
              </w:rPr>
            </w:pPr>
            <w:r>
              <w:rPr>
                <w:rFonts w:ascii="Courier New" w:cs="Courier New" w:eastAsia="Courier New" w:hAnsi="Courier New"/>
                <w:sz w:val="14"/>
                <w:szCs w:val="14"/>
                <w:color w:val="auto"/>
              </w:rPr>
              <w:t>Vice President - Finance,</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January 24, 2001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100" w:type="dxa"/>
            <w:vAlign w:val="bottom"/>
          </w:tcPr>
          <w:p>
            <w:pPr>
              <w:ind w:left="660"/>
              <w:spacing w:after="0"/>
              <w:rPr>
                <w:sz w:val="20"/>
                <w:szCs w:val="20"/>
                <w:color w:val="auto"/>
              </w:rPr>
            </w:pPr>
            <w:r>
              <w:rPr>
                <w:rFonts w:ascii="Courier New" w:cs="Courier New" w:eastAsia="Courier New" w:hAnsi="Courier New"/>
                <w:sz w:val="14"/>
                <w:szCs w:val="14"/>
                <w:color w:val="auto"/>
              </w:rPr>
              <w:t>Treasurer and Chief Financial Officer</w:t>
            </w:r>
          </w:p>
        </w:tc>
        <w:tc>
          <w:tcPr>
            <w:tcW w:w="1640" w:type="dxa"/>
            <w:vAlign w:val="bottom"/>
          </w:tcPr>
          <w:p>
            <w:pPr>
              <w:spacing w:after="0"/>
              <w:rPr>
                <w:sz w:val="14"/>
                <w:szCs w:val="14"/>
                <w:color w:val="auto"/>
              </w:rPr>
            </w:pPr>
          </w:p>
        </w:tc>
      </w:tr>
      <w:tr>
        <w:trPr>
          <w:trHeight w:val="166"/>
        </w:trPr>
        <w:tc>
          <w:tcPr>
            <w:tcW w:w="3320" w:type="dxa"/>
            <w:vAlign w:val="bottom"/>
          </w:tcPr>
          <w:p>
            <w:pPr>
              <w:ind w:left="360"/>
              <w:spacing w:after="0"/>
              <w:rPr>
                <w:sz w:val="20"/>
                <w:szCs w:val="20"/>
                <w:color w:val="auto"/>
              </w:rPr>
            </w:pPr>
            <w:r>
              <w:rPr>
                <w:rFonts w:ascii="Courier New" w:cs="Courier New" w:eastAsia="Courier New" w:hAnsi="Courier New"/>
                <w:sz w:val="14"/>
                <w:szCs w:val="14"/>
                <w:color w:val="auto"/>
              </w:rPr>
              <w:t>Stephen P. Wolfe</w:t>
            </w:r>
          </w:p>
        </w:tc>
        <w:tc>
          <w:tcPr>
            <w:tcW w:w="4100" w:type="dxa"/>
            <w:vAlign w:val="bottom"/>
          </w:tcPr>
          <w:p>
            <w:pPr>
              <w:ind w:left="480"/>
              <w:spacing w:after="0"/>
              <w:rPr>
                <w:sz w:val="20"/>
                <w:szCs w:val="20"/>
                <w:color w:val="auto"/>
              </w:rPr>
            </w:pPr>
            <w:r>
              <w:rPr>
                <w:rFonts w:ascii="Courier New" w:cs="Courier New" w:eastAsia="Courier New" w:hAnsi="Courier New"/>
                <w:sz w:val="14"/>
                <w:szCs w:val="14"/>
                <w:color w:val="auto"/>
              </w:rPr>
              <w:t>(principal financial officer)</w:t>
            </w:r>
          </w:p>
        </w:tc>
        <w:tc>
          <w:tcPr>
            <w:tcW w:w="1640" w:type="dxa"/>
            <w:vAlign w:val="bottom"/>
          </w:tcPr>
          <w:p>
            <w:pPr>
              <w:spacing w:after="0"/>
              <w:rPr>
                <w:sz w:val="14"/>
                <w:szCs w:val="1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/s/ Randy B. James</w:t>
            </w:r>
          </w:p>
        </w:tc>
        <w:tc>
          <w:tcPr>
            <w:tcW w:w="4100" w:type="dxa"/>
            <w:vAlign w:val="bottom"/>
          </w:tcPr>
          <w:p>
            <w:pPr>
              <w:ind w:left="480"/>
              <w:spacing w:after="0"/>
              <w:rPr>
                <w:sz w:val="20"/>
                <w:szCs w:val="20"/>
                <w:color w:val="auto"/>
              </w:rPr>
            </w:pPr>
            <w:r>
              <w:rPr>
                <w:rFonts w:ascii="Courier New" w:cs="Courier New" w:eastAsia="Courier New" w:hAnsi="Courier New"/>
                <w:sz w:val="14"/>
                <w:szCs w:val="14"/>
                <w:color w:val="auto"/>
              </w:rPr>
              <w:t>Vice President, Controller</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January 24, 2001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100" w:type="dxa"/>
            <w:vAlign w:val="bottom"/>
          </w:tcPr>
          <w:p>
            <w:pPr>
              <w:ind w:left="660"/>
              <w:spacing w:after="0"/>
              <w:rPr>
                <w:sz w:val="20"/>
                <w:szCs w:val="20"/>
                <w:color w:val="auto"/>
              </w:rPr>
            </w:pPr>
            <w:r>
              <w:rPr>
                <w:rFonts w:ascii="Courier New" w:cs="Courier New" w:eastAsia="Courier New" w:hAnsi="Courier New"/>
                <w:sz w:val="14"/>
                <w:szCs w:val="14"/>
                <w:color w:val="auto"/>
              </w:rPr>
              <w:t>(principal accounting officer)</w:t>
            </w:r>
          </w:p>
        </w:tc>
        <w:tc>
          <w:tcPr>
            <w:tcW w:w="1640" w:type="dxa"/>
            <w:vAlign w:val="bottom"/>
          </w:tcPr>
          <w:p>
            <w:pPr>
              <w:spacing w:after="0"/>
              <w:rPr>
                <w:sz w:val="14"/>
                <w:szCs w:val="14"/>
                <w:color w:val="auto"/>
              </w:rPr>
            </w:pPr>
          </w:p>
        </w:tc>
      </w:tr>
      <w:tr>
        <w:trPr>
          <w:trHeight w:val="166"/>
        </w:trPr>
        <w:tc>
          <w:tcPr>
            <w:tcW w:w="3320" w:type="dxa"/>
            <w:vAlign w:val="bottom"/>
          </w:tcPr>
          <w:p>
            <w:pPr>
              <w:ind w:left="360"/>
              <w:spacing w:after="0"/>
              <w:rPr>
                <w:sz w:val="20"/>
                <w:szCs w:val="20"/>
                <w:color w:val="auto"/>
              </w:rPr>
            </w:pPr>
            <w:r>
              <w:rPr>
                <w:rFonts w:ascii="Courier New" w:cs="Courier New" w:eastAsia="Courier New" w:hAnsi="Courier New"/>
                <w:sz w:val="14"/>
                <w:szCs w:val="14"/>
                <w:color w:val="auto"/>
              </w:rPr>
              <w:t>Randy B. James</w:t>
            </w:r>
          </w:p>
        </w:tc>
        <w:tc>
          <w:tcPr>
            <w:tcW w:w="4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/s/ Ronald O. Baukol</w:t>
            </w:r>
          </w:p>
        </w:tc>
        <w:tc>
          <w:tcPr>
            <w:tcW w:w="410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January 24, 2001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320" w:type="dxa"/>
            <w:vAlign w:val="bottom"/>
          </w:tcPr>
          <w:p>
            <w:pPr>
              <w:ind w:left="360"/>
              <w:spacing w:after="0"/>
              <w:rPr>
                <w:sz w:val="20"/>
                <w:szCs w:val="20"/>
                <w:color w:val="auto"/>
              </w:rPr>
            </w:pPr>
            <w:r>
              <w:rPr>
                <w:rFonts w:ascii="Courier New" w:cs="Courier New" w:eastAsia="Courier New" w:hAnsi="Courier New"/>
                <w:sz w:val="14"/>
                <w:szCs w:val="14"/>
                <w:color w:val="auto"/>
              </w:rPr>
              <w:t>Ronald O. Baukol</w:t>
            </w:r>
          </w:p>
        </w:tc>
        <w:tc>
          <w:tcPr>
            <w:tcW w:w="4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/s/ Robert C. Buhrmaster</w:t>
            </w:r>
          </w:p>
        </w:tc>
        <w:tc>
          <w:tcPr>
            <w:tcW w:w="410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January 24, 2001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320" w:type="dxa"/>
            <w:vAlign w:val="bottom"/>
          </w:tcPr>
          <w:p>
            <w:pPr>
              <w:ind w:left="360"/>
              <w:spacing w:after="0"/>
              <w:rPr>
                <w:sz w:val="20"/>
                <w:szCs w:val="20"/>
                <w:color w:val="auto"/>
              </w:rPr>
            </w:pPr>
            <w:r>
              <w:rPr>
                <w:rFonts w:ascii="Courier New" w:cs="Courier New" w:eastAsia="Courier New" w:hAnsi="Courier New"/>
                <w:sz w:val="14"/>
                <w:szCs w:val="14"/>
                <w:color w:val="auto"/>
              </w:rPr>
              <w:t>Robert C. Buhrmaster</w:t>
            </w:r>
          </w:p>
        </w:tc>
        <w:tc>
          <w:tcPr>
            <w:tcW w:w="4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/s/ Winslow H. Buxton</w:t>
            </w:r>
          </w:p>
        </w:tc>
        <w:tc>
          <w:tcPr>
            <w:tcW w:w="410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January 24, 2001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320" w:type="dxa"/>
            <w:vAlign w:val="bottom"/>
          </w:tcPr>
          <w:p>
            <w:pPr>
              <w:ind w:left="360"/>
              <w:spacing w:after="0"/>
              <w:rPr>
                <w:sz w:val="20"/>
                <w:szCs w:val="20"/>
                <w:color w:val="auto"/>
              </w:rPr>
            </w:pPr>
            <w:r>
              <w:rPr>
                <w:rFonts w:ascii="Courier New" w:cs="Courier New" w:eastAsia="Courier New" w:hAnsi="Courier New"/>
                <w:sz w:val="14"/>
                <w:szCs w:val="14"/>
                <w:color w:val="auto"/>
              </w:rPr>
              <w:t>Winslow H. Buxton</w:t>
            </w:r>
          </w:p>
        </w:tc>
        <w:tc>
          <w:tcPr>
            <w:tcW w:w="4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/s/ Janet K. Cooper</w:t>
            </w:r>
          </w:p>
        </w:tc>
        <w:tc>
          <w:tcPr>
            <w:tcW w:w="410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January 24, 2001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320" w:type="dxa"/>
            <w:vAlign w:val="bottom"/>
          </w:tcPr>
          <w:p>
            <w:pPr>
              <w:ind w:left="360"/>
              <w:spacing w:after="0"/>
              <w:rPr>
                <w:sz w:val="20"/>
                <w:szCs w:val="20"/>
                <w:color w:val="auto"/>
              </w:rPr>
            </w:pPr>
            <w:r>
              <w:rPr>
                <w:rFonts w:ascii="Courier New" w:cs="Courier New" w:eastAsia="Courier New" w:hAnsi="Courier New"/>
                <w:sz w:val="14"/>
                <w:szCs w:val="14"/>
                <w:color w:val="auto"/>
              </w:rPr>
              <w:t>Janet K. Cooper</w:t>
            </w:r>
          </w:p>
        </w:tc>
        <w:tc>
          <w:tcPr>
            <w:tcW w:w="4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/s/ Katherine J. Harless</w:t>
            </w:r>
          </w:p>
        </w:tc>
        <w:tc>
          <w:tcPr>
            <w:tcW w:w="410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January 24, 2001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320" w:type="dxa"/>
            <w:vAlign w:val="bottom"/>
          </w:tcPr>
          <w:p>
            <w:pPr>
              <w:ind w:left="360"/>
              <w:spacing w:after="0"/>
              <w:rPr>
                <w:sz w:val="20"/>
                <w:szCs w:val="20"/>
                <w:color w:val="auto"/>
              </w:rPr>
            </w:pPr>
            <w:r>
              <w:rPr>
                <w:rFonts w:ascii="Courier New" w:cs="Courier New" w:eastAsia="Courier New" w:hAnsi="Courier New"/>
                <w:sz w:val="14"/>
                <w:szCs w:val="14"/>
                <w:color w:val="auto"/>
              </w:rPr>
              <w:t>Katherine J. Harless</w:t>
            </w:r>
          </w:p>
        </w:tc>
        <w:tc>
          <w:tcPr>
            <w:tcW w:w="4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/s/ Robert H. Nassau</w:t>
            </w:r>
          </w:p>
        </w:tc>
        <w:tc>
          <w:tcPr>
            <w:tcW w:w="410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January 24, 2001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320" w:type="dxa"/>
            <w:vAlign w:val="bottom"/>
          </w:tcPr>
          <w:p>
            <w:pPr>
              <w:ind w:left="360"/>
              <w:spacing w:after="0"/>
              <w:rPr>
                <w:sz w:val="20"/>
                <w:szCs w:val="20"/>
                <w:color w:val="auto"/>
              </w:rPr>
            </w:pPr>
            <w:r>
              <w:rPr>
                <w:rFonts w:ascii="Courier New" w:cs="Courier New" w:eastAsia="Courier New" w:hAnsi="Courier New"/>
                <w:sz w:val="14"/>
                <w:szCs w:val="14"/>
                <w:color w:val="auto"/>
              </w:rPr>
              <w:t>Robert H. Nassau</w:t>
            </w:r>
          </w:p>
        </w:tc>
        <w:tc>
          <w:tcPr>
            <w:tcW w:w="4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/s/ Dale R. Olseth</w:t>
            </w:r>
          </w:p>
        </w:tc>
        <w:tc>
          <w:tcPr>
            <w:tcW w:w="410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January 24, 2001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320" w:type="dxa"/>
            <w:vAlign w:val="bottom"/>
          </w:tcPr>
          <w:p>
            <w:pPr>
              <w:ind w:left="360"/>
              <w:spacing w:after="0"/>
              <w:rPr>
                <w:sz w:val="20"/>
                <w:szCs w:val="20"/>
                <w:color w:val="auto"/>
              </w:rPr>
            </w:pPr>
            <w:r>
              <w:rPr>
                <w:rFonts w:ascii="Courier New" w:cs="Courier New" w:eastAsia="Courier New" w:hAnsi="Courier New"/>
                <w:sz w:val="14"/>
                <w:szCs w:val="14"/>
                <w:color w:val="auto"/>
              </w:rPr>
              <w:t>Dale R. Olseth</w:t>
            </w:r>
          </w:p>
        </w:tc>
        <w:tc>
          <w:tcPr>
            <w:tcW w:w="4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/s/ Gregg W. Steinhafel</w:t>
            </w:r>
          </w:p>
        </w:tc>
        <w:tc>
          <w:tcPr>
            <w:tcW w:w="410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January 24, 2001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320" w:type="dxa"/>
            <w:vAlign w:val="bottom"/>
          </w:tcPr>
          <w:p>
            <w:pPr>
              <w:ind w:left="360"/>
              <w:spacing w:after="0"/>
              <w:rPr>
                <w:sz w:val="20"/>
                <w:szCs w:val="20"/>
                <w:color w:val="auto"/>
              </w:rPr>
            </w:pPr>
            <w:r>
              <w:rPr>
                <w:rFonts w:ascii="Courier New" w:cs="Courier New" w:eastAsia="Courier New" w:hAnsi="Courier New"/>
                <w:sz w:val="14"/>
                <w:szCs w:val="14"/>
                <w:color w:val="auto"/>
              </w:rPr>
              <w:t>Gregg W. Steinhafel</w:t>
            </w:r>
          </w:p>
        </w:tc>
        <w:tc>
          <w:tcPr>
            <w:tcW w:w="4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/s/ Christopher A. Twomey</w:t>
            </w:r>
          </w:p>
        </w:tc>
        <w:tc>
          <w:tcPr>
            <w:tcW w:w="410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January 24, 2001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320" w:type="dxa"/>
            <w:vAlign w:val="bottom"/>
          </w:tcPr>
          <w:p>
            <w:pPr>
              <w:ind w:left="360"/>
              <w:spacing w:after="0"/>
              <w:rPr>
                <w:sz w:val="20"/>
                <w:szCs w:val="20"/>
                <w:color w:val="auto"/>
              </w:rPr>
            </w:pPr>
            <w:r>
              <w:rPr>
                <w:rFonts w:ascii="Courier New" w:cs="Courier New" w:eastAsia="Courier New" w:hAnsi="Courier New"/>
                <w:sz w:val="14"/>
                <w:szCs w:val="14"/>
                <w:color w:val="auto"/>
              </w:rPr>
              <w:t>Christopher A. Twomey</w:t>
            </w:r>
          </w:p>
        </w:tc>
        <w:tc>
          <w:tcPr>
            <w:tcW w:w="4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/s/ Edwin H. Wingate</w:t>
            </w:r>
          </w:p>
        </w:tc>
        <w:tc>
          <w:tcPr>
            <w:tcW w:w="410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January 24, 2001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320" w:type="dxa"/>
            <w:vAlign w:val="bottom"/>
          </w:tcPr>
          <w:p>
            <w:pPr>
              <w:ind w:left="360"/>
              <w:spacing w:after="0"/>
              <w:rPr>
                <w:sz w:val="20"/>
                <w:szCs w:val="20"/>
                <w:color w:val="auto"/>
              </w:rPr>
            </w:pPr>
            <w:r>
              <w:rPr>
                <w:rFonts w:ascii="Courier New" w:cs="Courier New" w:eastAsia="Courier New" w:hAnsi="Courier New"/>
                <w:sz w:val="14"/>
                <w:szCs w:val="14"/>
                <w:color w:val="auto"/>
              </w:rPr>
              <w:t>Edwin H. Wingate</w:t>
            </w:r>
          </w:p>
        </w:tc>
        <w:tc>
          <w:tcPr>
            <w:tcW w:w="4100" w:type="dxa"/>
            <w:vAlign w:val="bottom"/>
          </w:tcPr>
          <w:p>
            <w:pPr>
              <w:spacing w:after="0"/>
              <w:rPr>
                <w:sz w:val="14"/>
                <w:szCs w:val="14"/>
                <w:color w:val="auto"/>
              </w:rPr>
            </w:pPr>
          </w:p>
        </w:tc>
        <w:tc>
          <w:tcPr>
            <w:tcW w:w="164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5" w:right="1440" w:bottom="1440" w:gutter="0" w:footer="0" w:header="0"/>
          <w:type w:val="continuous"/>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EXHIBIT 12</w:t>
      </w:r>
    </w:p>
    <w:p>
      <w:pPr>
        <w:spacing w:after="0" w:line="173"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4"/>
          <w:szCs w:val="14"/>
          <w:color w:val="auto"/>
        </w:rPr>
        <w:t>COMPUTATION OF RATIO OF EARNINGS TO FIXED CHARGES</w:t>
      </w:r>
    </w:p>
    <w:p>
      <w:pPr>
        <w:spacing w:after="0" w:line="7"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4"/>
          <w:szCs w:val="14"/>
          <w:color w:val="auto"/>
        </w:rPr>
        <w:t>(NOT COVERED BY INDEPENDENT AUDITORS' REPORT)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10/31/00</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10/31/99</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10/31/98</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10/31/97</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10/31/96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EARNINGS BEFORE INCOME TAXES</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$71,882,000</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$57,473,000</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$6,761,000</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$60,344,000</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$60,180,000</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PLUS: FIXED CHARGES</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$31,103,000</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$28,345,000</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29,415,000</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23,186,000</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16,728,000</w:t>
            </w:r>
          </w:p>
        </w:tc>
      </w:tr>
    </w:tbl>
    <w:p>
      <w:pPr>
        <w:spacing w:after="0" w:line="4" w:lineRule="exact"/>
        <w:rPr>
          <w:sz w:val="20"/>
          <w:szCs w:val="20"/>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AVAILABLE TO COVER</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280" w:type="dxa"/>
            <w:vAlign w:val="bottom"/>
          </w:tcPr>
          <w:p>
            <w:pPr>
              <w:spacing w:after="0"/>
              <w:rPr>
                <w:sz w:val="20"/>
                <w:szCs w:val="20"/>
                <w:color w:val="auto"/>
              </w:rPr>
            </w:pPr>
            <w:r>
              <w:rPr>
                <w:rFonts w:ascii="Courier New" w:cs="Courier New" w:eastAsia="Courier New" w:hAnsi="Courier New"/>
                <w:sz w:val="14"/>
                <w:szCs w:val="14"/>
                <w:color w:val="auto"/>
              </w:rPr>
              <w:t>FIXED CHARGES</w:t>
            </w:r>
          </w:p>
        </w:tc>
        <w:tc>
          <w:tcPr>
            <w:tcW w:w="2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$102,985,000</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$85,818,000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$36,176,000</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$83,530,000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$76,908,000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3.31</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3.03</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1.23</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3.60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4.60</w:t>
            </w:r>
          </w:p>
        </w:tc>
      </w:tr>
    </w:tbl>
    <w:p>
      <w:pPr>
        <w:spacing w:after="0" w:line="4" w:lineRule="exact"/>
        <w:rPr>
          <w:sz w:val="20"/>
          <w:szCs w:val="20"/>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INTEREST</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$26,414,000</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$23,913,000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$25,428,000</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$19,900,000</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$13,590,000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RENTALS (INTEREST EXPENSE)</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4,689,000</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4,432,000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3,987,000</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3,286,000</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3,138,000</w:t>
            </w:r>
          </w:p>
        </w:tc>
      </w:tr>
      <w:tr>
        <w:trPr>
          <w:trHeight w:val="166"/>
        </w:trPr>
        <w:tc>
          <w:tcPr>
            <w:tcW w:w="14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Courier New" w:cs="Courier New" w:eastAsia="Courier New" w:hAnsi="Courier New"/>
                <w:sz w:val="14"/>
                <w:szCs w:val="14"/>
                <w:color w:val="auto"/>
              </w:rPr>
              <w:t>TOTAL</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FIXED CHARGES</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$31,103,000</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$28,345,000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$29,415,000</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$23,186,000</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$16,728,000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600"/>
          </w:cols>
          <w:pgMar w:left="220" w:top="141" w:right="1079"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EXHIBIT 21</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SUBSIDIARIES OF REGISTRANT</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following are significant subsidiaries of The Toro Company as of January 10, 2001.</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right"/>
        <w:ind w:left="180" w:right="839"/>
        <w:spacing w:after="0" w:line="250" w:lineRule="auto"/>
        <w:rPr>
          <w:sz w:val="20"/>
          <w:szCs w:val="20"/>
          <w:color w:val="auto"/>
        </w:rPr>
      </w:pPr>
      <w:r>
        <w:rPr>
          <w:rFonts w:ascii="Courier New" w:cs="Courier New" w:eastAsia="Courier New" w:hAnsi="Courier New"/>
          <w:sz w:val="14"/>
          <w:szCs w:val="14"/>
          <w:color w:val="auto"/>
        </w:rPr>
        <w:t>STATE OR OTHER JURISDICTION         PERCENTAGE OF VOTING NAME                                                          OF INCORPORATION             SECURITIES OWNED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260" w:type="dxa"/>
            <w:vAlign w:val="bottom"/>
          </w:tcPr>
          <w:p>
            <w:pPr>
              <w:spacing w:after="0"/>
              <w:rPr>
                <w:sz w:val="20"/>
                <w:szCs w:val="20"/>
                <w:color w:val="auto"/>
              </w:rPr>
            </w:pPr>
            <w:r>
              <w:rPr>
                <w:rFonts w:ascii="Courier New" w:cs="Courier New" w:eastAsia="Courier New" w:hAnsi="Courier New"/>
                <w:sz w:val="14"/>
                <w:szCs w:val="14"/>
                <w:color w:val="auto"/>
              </w:rPr>
              <w:t>Exmark Manufacturing Company Incorporated</w:t>
            </w:r>
          </w:p>
        </w:tc>
        <w:tc>
          <w:tcPr>
            <w:tcW w:w="35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Nebraska</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260" w:type="dxa"/>
            <w:vAlign w:val="bottom"/>
          </w:tcPr>
          <w:p>
            <w:pPr>
              <w:spacing w:after="0"/>
              <w:rPr>
                <w:sz w:val="20"/>
                <w:szCs w:val="20"/>
                <w:color w:val="auto"/>
              </w:rPr>
            </w:pPr>
            <w:r>
              <w:rPr>
                <w:rFonts w:ascii="Courier New" w:cs="Courier New" w:eastAsia="Courier New" w:hAnsi="Courier New"/>
                <w:sz w:val="14"/>
                <w:szCs w:val="14"/>
                <w:color w:val="auto"/>
              </w:rPr>
              <w:t>Hahn Equipment Co.</w:t>
            </w:r>
          </w:p>
        </w:tc>
        <w:tc>
          <w:tcPr>
            <w:tcW w:w="35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Minnesota</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260" w:type="dxa"/>
            <w:vAlign w:val="bottom"/>
          </w:tcPr>
          <w:p>
            <w:pPr>
              <w:spacing w:after="0"/>
              <w:rPr>
                <w:sz w:val="20"/>
                <w:szCs w:val="20"/>
                <w:color w:val="auto"/>
              </w:rPr>
            </w:pPr>
            <w:r>
              <w:rPr>
                <w:rFonts w:ascii="Courier New" w:cs="Courier New" w:eastAsia="Courier New" w:hAnsi="Courier New"/>
                <w:sz w:val="14"/>
                <w:szCs w:val="14"/>
                <w:color w:val="auto"/>
              </w:rPr>
              <w:t>Irritrol Systems Europe, S.r.L.</w:t>
            </w:r>
          </w:p>
        </w:tc>
        <w:tc>
          <w:tcPr>
            <w:tcW w:w="35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Italy</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260" w:type="dxa"/>
            <w:vAlign w:val="bottom"/>
          </w:tcPr>
          <w:p>
            <w:pPr>
              <w:spacing w:after="0"/>
              <w:rPr>
                <w:sz w:val="20"/>
                <w:szCs w:val="20"/>
                <w:color w:val="auto"/>
              </w:rPr>
            </w:pPr>
            <w:r>
              <w:rPr>
                <w:rFonts w:ascii="Courier New" w:cs="Courier New" w:eastAsia="Courier New" w:hAnsi="Courier New"/>
                <w:sz w:val="14"/>
                <w:szCs w:val="14"/>
                <w:color w:val="auto"/>
              </w:rPr>
              <w:t>MTI Distributing, Inc.</w:t>
            </w:r>
          </w:p>
        </w:tc>
        <w:tc>
          <w:tcPr>
            <w:tcW w:w="35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Minnesota</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260" w:type="dxa"/>
            <w:vAlign w:val="bottom"/>
          </w:tcPr>
          <w:p>
            <w:pPr>
              <w:spacing w:after="0"/>
              <w:rPr>
                <w:sz w:val="20"/>
                <w:szCs w:val="20"/>
                <w:color w:val="auto"/>
              </w:rPr>
            </w:pPr>
            <w:r>
              <w:rPr>
                <w:rFonts w:ascii="Courier New" w:cs="Courier New" w:eastAsia="Courier New" w:hAnsi="Courier New"/>
                <w:sz w:val="14"/>
                <w:szCs w:val="14"/>
                <w:color w:val="auto"/>
              </w:rPr>
              <w:t>Professional Turf Products, Inc.</w:t>
            </w:r>
          </w:p>
        </w:tc>
        <w:tc>
          <w:tcPr>
            <w:tcW w:w="35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Texas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260" w:type="dxa"/>
            <w:vAlign w:val="bottom"/>
          </w:tcPr>
          <w:p>
            <w:pPr>
              <w:spacing w:after="0"/>
              <w:rPr>
                <w:sz w:val="20"/>
                <w:szCs w:val="20"/>
                <w:color w:val="auto"/>
              </w:rPr>
            </w:pPr>
            <w:r>
              <w:rPr>
                <w:rFonts w:ascii="Courier New" w:cs="Courier New" w:eastAsia="Courier New" w:hAnsi="Courier New"/>
                <w:sz w:val="14"/>
                <w:szCs w:val="14"/>
                <w:color w:val="auto"/>
              </w:rPr>
              <w:t>Toro Australia Pty. Limited</w:t>
            </w:r>
          </w:p>
        </w:tc>
        <w:tc>
          <w:tcPr>
            <w:tcW w:w="35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Australia</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260" w:type="dxa"/>
            <w:vAlign w:val="bottom"/>
          </w:tcPr>
          <w:p>
            <w:pPr>
              <w:spacing w:after="0"/>
              <w:rPr>
                <w:sz w:val="20"/>
                <w:szCs w:val="20"/>
                <w:color w:val="auto"/>
              </w:rPr>
            </w:pPr>
            <w:r>
              <w:rPr>
                <w:rFonts w:ascii="Courier New" w:cs="Courier New" w:eastAsia="Courier New" w:hAnsi="Courier New"/>
                <w:sz w:val="14"/>
                <w:szCs w:val="14"/>
                <w:color w:val="auto"/>
              </w:rPr>
              <w:t>Toro Credit Company</w:t>
            </w:r>
          </w:p>
        </w:tc>
        <w:tc>
          <w:tcPr>
            <w:tcW w:w="35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Minnesota</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260" w:type="dxa"/>
            <w:vAlign w:val="bottom"/>
          </w:tcPr>
          <w:p>
            <w:pPr>
              <w:spacing w:after="0"/>
              <w:rPr>
                <w:sz w:val="20"/>
                <w:szCs w:val="20"/>
                <w:color w:val="auto"/>
              </w:rPr>
            </w:pPr>
            <w:r>
              <w:rPr>
                <w:rFonts w:ascii="Courier New" w:cs="Courier New" w:eastAsia="Courier New" w:hAnsi="Courier New"/>
                <w:sz w:val="14"/>
                <w:szCs w:val="14"/>
                <w:color w:val="auto"/>
              </w:rPr>
              <w:t>Toro Distributing Company</w:t>
            </w:r>
          </w:p>
        </w:tc>
        <w:tc>
          <w:tcPr>
            <w:tcW w:w="35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Minnesota</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260" w:type="dxa"/>
            <w:vAlign w:val="bottom"/>
          </w:tcPr>
          <w:p>
            <w:pPr>
              <w:spacing w:after="0"/>
              <w:rPr>
                <w:sz w:val="20"/>
                <w:szCs w:val="20"/>
                <w:color w:val="auto"/>
              </w:rPr>
            </w:pPr>
            <w:r>
              <w:rPr>
                <w:rFonts w:ascii="Courier New" w:cs="Courier New" w:eastAsia="Courier New" w:hAnsi="Courier New"/>
                <w:sz w:val="14"/>
                <w:szCs w:val="14"/>
                <w:color w:val="auto"/>
              </w:rPr>
              <w:t>Toro Europe</w:t>
            </w:r>
          </w:p>
        </w:tc>
        <w:tc>
          <w:tcPr>
            <w:tcW w:w="35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Belgium</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260" w:type="dxa"/>
            <w:vAlign w:val="bottom"/>
          </w:tcPr>
          <w:p>
            <w:pPr>
              <w:spacing w:after="0"/>
              <w:rPr>
                <w:sz w:val="20"/>
                <w:szCs w:val="20"/>
                <w:color w:val="auto"/>
              </w:rPr>
            </w:pPr>
            <w:r>
              <w:rPr>
                <w:rFonts w:ascii="Courier New" w:cs="Courier New" w:eastAsia="Courier New" w:hAnsi="Courier New"/>
                <w:sz w:val="14"/>
                <w:szCs w:val="14"/>
                <w:color w:val="auto"/>
              </w:rPr>
              <w:t>Toro Factoring Company N.V.</w:t>
            </w:r>
          </w:p>
        </w:tc>
        <w:tc>
          <w:tcPr>
            <w:tcW w:w="35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Netherlands Antilles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260" w:type="dxa"/>
            <w:vAlign w:val="bottom"/>
          </w:tcPr>
          <w:p>
            <w:pPr>
              <w:spacing w:after="0"/>
              <w:rPr>
                <w:sz w:val="20"/>
                <w:szCs w:val="20"/>
                <w:color w:val="auto"/>
              </w:rPr>
            </w:pPr>
            <w:r>
              <w:rPr>
                <w:rFonts w:ascii="Courier New" w:cs="Courier New" w:eastAsia="Courier New" w:hAnsi="Courier New"/>
                <w:sz w:val="14"/>
                <w:szCs w:val="14"/>
                <w:color w:val="auto"/>
              </w:rPr>
              <w:t>Toro Foreign Sales Corporation</w:t>
            </w:r>
          </w:p>
        </w:tc>
        <w:tc>
          <w:tcPr>
            <w:tcW w:w="35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Barbados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260" w:type="dxa"/>
            <w:vAlign w:val="bottom"/>
          </w:tcPr>
          <w:p>
            <w:pPr>
              <w:spacing w:after="0"/>
              <w:rPr>
                <w:sz w:val="20"/>
                <w:szCs w:val="20"/>
                <w:color w:val="auto"/>
              </w:rPr>
            </w:pPr>
            <w:r>
              <w:rPr>
                <w:rFonts w:ascii="Courier New" w:cs="Courier New" w:eastAsia="Courier New" w:hAnsi="Courier New"/>
                <w:sz w:val="14"/>
                <w:szCs w:val="14"/>
                <w:color w:val="auto"/>
              </w:rPr>
              <w:t>Toro Mexico Holdings, LLC</w:t>
            </w:r>
          </w:p>
        </w:tc>
        <w:tc>
          <w:tcPr>
            <w:tcW w:w="35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Minnesota</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260" w:type="dxa"/>
            <w:vAlign w:val="bottom"/>
          </w:tcPr>
          <w:p>
            <w:pPr>
              <w:spacing w:after="0"/>
              <w:rPr>
                <w:sz w:val="20"/>
                <w:szCs w:val="20"/>
                <w:color w:val="auto"/>
              </w:rPr>
            </w:pPr>
            <w:r>
              <w:rPr>
                <w:rFonts w:ascii="Courier New" w:cs="Courier New" w:eastAsia="Courier New" w:hAnsi="Courier New"/>
                <w:sz w:val="14"/>
                <w:szCs w:val="14"/>
                <w:color w:val="auto"/>
              </w:rPr>
              <w:t>Toro Sales Company</w:t>
            </w:r>
          </w:p>
        </w:tc>
        <w:tc>
          <w:tcPr>
            <w:tcW w:w="35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Minnesota</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260" w:type="dxa"/>
            <w:vAlign w:val="bottom"/>
          </w:tcPr>
          <w:p>
            <w:pPr>
              <w:spacing w:after="0"/>
              <w:rPr>
                <w:sz w:val="20"/>
                <w:szCs w:val="20"/>
                <w:color w:val="auto"/>
              </w:rPr>
            </w:pPr>
            <w:r>
              <w:rPr>
                <w:rFonts w:ascii="Courier New" w:cs="Courier New" w:eastAsia="Courier New" w:hAnsi="Courier New"/>
                <w:sz w:val="14"/>
                <w:szCs w:val="14"/>
                <w:color w:val="auto"/>
              </w:rPr>
              <w:t>Toro Warranty Company</w:t>
            </w:r>
          </w:p>
        </w:tc>
        <w:tc>
          <w:tcPr>
            <w:tcW w:w="35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Minnesota</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260" w:type="dxa"/>
            <w:vAlign w:val="bottom"/>
          </w:tcPr>
          <w:p>
            <w:pPr>
              <w:spacing w:after="0"/>
              <w:rPr>
                <w:sz w:val="20"/>
                <w:szCs w:val="20"/>
                <w:color w:val="auto"/>
              </w:rPr>
            </w:pPr>
            <w:r>
              <w:rPr>
                <w:rFonts w:ascii="Courier New" w:cs="Courier New" w:eastAsia="Courier New" w:hAnsi="Courier New"/>
                <w:sz w:val="14"/>
                <w:szCs w:val="14"/>
                <w:color w:val="auto"/>
              </w:rPr>
              <w:t>Turf Professionals Equipment Company</w:t>
            </w:r>
          </w:p>
        </w:tc>
        <w:tc>
          <w:tcPr>
            <w:tcW w:w="35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Minnesota</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141"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23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CONSENT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consent to incorporation by reference in the Registration Statements (Nos.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33-38308, 33-44668, 33-51563, 33-55550, 33-59563, 333-44879, 333-87461,</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333-36166, 333-39052, 333-47260, 333-20901, and 333-51186) on Forms S-3 and S-8 of The Toro Company of our report dated December 4, 2000, relating to the consolidated balance sheets of The Toro Company and subsidiaries as of October 31, 2000 and 1999, and the related consolidated statements of earnings and comprehensive income, and cash flows and related financial statement schedule for each of the years in the three year period ended October 31, 2000, which report is included in the annual report on Form 10-K of The Toro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KPMG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29, 2001</w:t>
      </w:r>
    </w:p>
    <w:p>
      <w:pPr>
        <w:sectPr>
          <w:pgSz w:w="11900" w:h="16838" w:orient="portrait"/>
          <w:cols w:equalWidth="0" w:num="1">
            <w:col w:w="10239"/>
          </w:cols>
          <w:pgMar w:left="220" w:top="141" w:right="1440" w:bottom="1440" w:gutter="0" w:footer="0" w:header="0"/>
        </w:sectPr>
      </w:pPr>
    </w:p>
    <w:bookmarkStart w:id="51" w:name="page52"/>
    <w:bookmarkEnd w:id="51"/>
    <w:p>
      <w:pPr>
        <w:ind w:left="10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left="40" w:right="3319"/>
        <w:spacing w:after="0" w:line="252" w:lineRule="auto"/>
        <w:rPr>
          <w:sz w:val="20"/>
          <w:szCs w:val="20"/>
          <w:color w:val="auto"/>
        </w:rPr>
      </w:pPr>
      <w:r>
        <w:rPr>
          <w:rFonts w:ascii="Courier New" w:cs="Courier New" w:eastAsia="Courier New" w:hAnsi="Courier New"/>
          <w:sz w:val="14"/>
          <w:szCs w:val="14"/>
          <w:color w:val="auto"/>
        </w:rPr>
        <w:t>THIS SCHEDULE CONTAINS SUMMARY FINANCIAL INFORMATION EXTRACTED FROM CONSOLIDATED STATEMENTS OF EARNINGS AND COMPREHENSIVE INCOME, CONSOLIDATED BALANCE SHEETS, AND 10-K SCHEDULE II, AND IS QUALIFIED IN ITS ENTIRETY BY REFERENCE TO SUCH FINANCIAL STATEMENTS.</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OCT-31-2000</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NOV-01-1999</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OCT-31-2000</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978</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267,055</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4,571</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194,926</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510,167</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383,497</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250,645</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779,390</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260,892</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194,495</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12,569</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304,649</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779,390</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1,336,924</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1,336,924</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844,861</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394,858</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(1,091)</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(1,290)</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26,414</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71,882</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26,597</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45,285</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45,285</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3.55</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3.47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long-term debt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Does not include additional paid-in-capital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Recovery</w:t>
      </w:r>
    </w:p>
    <w:sectPr>
      <w:pgSz w:w="11900" w:h="16838" w:orient="portrait"/>
      <w:cols w:equalWidth="0" w:num="1">
        <w:col w:w="10239"/>
      </w:cols>
      <w:pgMar w:left="220" w:top="4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upperLetter"/>
      <w:start w:val="24"/>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2"/>
      <w:numFmt w:val="bullet"/>
      <w:start w:val="1"/>
    </w:lvl>
  </w:abstractNum>
  <w:abstractNum w:abstractNumId="14">
    <w:nsid w:val="2CA88611"/>
    <w:multiLevelType w:val="hybridMultilevel"/>
    <w:lvl w:ilvl="0">
      <w:lvlJc w:val="left"/>
      <w:lvlText w:val="3"/>
      <w:numFmt w:val="bullet"/>
      <w:start w:val="1"/>
    </w:lvl>
  </w:abstractNum>
  <w:abstractNum w:abstractNumId="15">
    <w:nsid w:val="836C40E"/>
    <w:multiLevelType w:val="hybridMultilevel"/>
    <w:lvl w:ilvl="0">
      <w:lvlJc w:val="left"/>
      <w:lvlText w:val="4"/>
      <w:numFmt w:val="bullet"/>
      <w:start w:val="1"/>
    </w:lvl>
  </w:abstractNum>
  <w:abstractNum w:abstractNumId="16">
    <w:nsid w:val="2901D82"/>
    <w:multiLevelType w:val="hybridMultilevel"/>
    <w:lvl w:ilvl="0">
      <w:lvlJc w:val="left"/>
      <w:lvlText w:val="5"/>
      <w:numFmt w:val="bullet"/>
      <w:start w:val="1"/>
    </w:lvl>
  </w:abstractNum>
  <w:abstractNum w:abstractNumId="17">
    <w:nsid w:val="3A95F874"/>
    <w:multiLevelType w:val="hybridMultilevel"/>
    <w:lvl w:ilvl="0">
      <w:lvlJc w:val="left"/>
      <w:lvlText w:val="6"/>
      <w:numFmt w:val="bullet"/>
      <w:start w:val="1"/>
    </w:lvl>
  </w:abstractNum>
  <w:abstractNum w:abstractNumId="18">
    <w:nsid w:val="8138641"/>
    <w:multiLevelType w:val="hybridMultilevel"/>
    <w:lvl w:ilvl="0">
      <w:lvlJc w:val="left"/>
      <w:lvlText w:val="7"/>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8"/>
      <w:numFmt w:val="bullet"/>
      <w:start w:val="1"/>
    </w:lvl>
  </w:abstractNum>
  <w:abstractNum w:abstractNumId="21">
    <w:nsid w:val="737B8DDC"/>
    <w:multiLevelType w:val="hybridMultilevel"/>
    <w:lvl w:ilvl="0">
      <w:lvlJc w:val="left"/>
      <w:lvlText w:val="9"/>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2"/>
    </w:lvl>
  </w:abstractNum>
  <w:abstractNum w:abstractNumId="25">
    <w:nsid w:val="3006C83E"/>
    <w:multiLevelType w:val="hybridMultilevel"/>
    <w:lvl w:ilvl="0">
      <w:lvlJc w:val="left"/>
      <w:lvlText w:val="(%1)"/>
      <w:numFmt w:val="upperLetter"/>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upperLetter"/>
      <w:start w:val="1"/>
    </w:lvl>
  </w:abstractNum>
  <w:abstractNum w:abstractNumId="28">
    <w:nsid w:val="5577F8E1"/>
    <w:multiLevelType w:val="hybridMultilevel"/>
    <w:lvl w:ilvl="0">
      <w:lvlJc w:val="left"/>
      <w:lvlText w:val="(%1)"/>
      <w:numFmt w:val="upperLetter"/>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1"/>
      <w:numFmt w:val="decimal"/>
      <w:start w:val="12"/>
    </w:lvl>
  </w:abstractNum>
  <w:abstractNum w:abstractNumId="31">
    <w:nsid w:val="3804823E"/>
    <w:multiLevelType w:val="hybridMultilevel"/>
    <w:lvl w:ilvl="0">
      <w:lvlJc w:val="left"/>
      <w:lvlText w:val="%1"/>
      <w:numFmt w:val="decimal"/>
      <w:start w:val="21"/>
    </w:lvl>
  </w:abstractNum>
  <w:abstractNum w:abstractNumId="32">
    <w:nsid w:val="77465F01"/>
    <w:multiLevelType w:val="hybridMultilevel"/>
    <w:lvl w:ilvl="0">
      <w:lvlJc w:val="left"/>
      <w:lvlText w:val="%1"/>
      <w:numFmt w:val="decimal"/>
      <w:start w:val="23"/>
    </w:lvl>
  </w:abstractNum>
  <w:abstractNum w:abstractNumId="33">
    <w:nsid w:val="7724C67E"/>
    <w:multiLevelType w:val="hybridMultilevel"/>
    <w:lvl w:ilvl="0">
      <w:lvlJc w:val="left"/>
      <w:lvlText w:val="%1"/>
      <w:numFmt w:val="decimal"/>
      <w:start w:val="27"/>
    </w:lvl>
  </w:abstractNum>
  <w:abstractNum w:abstractNumId="34">
    <w:nsid w:val="5C482A97"/>
    <w:multiLevelType w:val="hybridMultilevel"/>
    <w:lvl w:ilvl="0">
      <w:lvlJc w:val="left"/>
      <w:lvlText w:val="(%1)"/>
      <w:numFmt w:val="upperLetter"/>
      <w:start w:val="2"/>
    </w:lvl>
  </w:abstractNum>
  <w:abstractNum w:abstractNumId="35">
    <w:nsid w:val="2463B9EA"/>
    <w:multiLevelType w:val="hybridMultilevel"/>
    <w:lvl w:ilvl="0">
      <w:lvlJc w:val="left"/>
      <w:lvlText w:val="(%1)"/>
      <w:numFmt w:val="upperLetter"/>
      <w:start w:val="1"/>
    </w:lvl>
  </w:abstractNum>
  <w:abstractNum w:abstractNumId="36">
    <w:nsid w:val="5E884ADC"/>
    <w:multiLevelType w:val="hybridMultilevel"/>
    <w:lvl w:ilvl="0">
      <w:lvlJc w:val="left"/>
      <w:lvlText w:val="(%1)"/>
      <w:numFmt w:val="upperLetter"/>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2019-12-13T13:57:14Z</dcterms:created>
  <dcterms:modified xsi:type="dcterms:W3CDTF">2019-12-13T13:57:14Z</dcterms:modified>
</cp:coreProperties>
</file>