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85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07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HARLESS KATHERINE J</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center"/>
              <w:ind w:right="142"/>
              <w:spacing w:after="0"/>
              <w:rPr>
                <w:sz w:val="20"/>
                <w:szCs w:val="20"/>
                <w:color w:val="auto"/>
              </w:rPr>
            </w:pPr>
            <w:r>
              <w:rPr>
                <w:rFonts w:ascii="Times New Roman" w:cs="Times New Roman" w:eastAsia="Times New Roman" w:hAnsi="Times New Roman"/>
                <w:sz w:val="17"/>
                <w:szCs w:val="17"/>
                <w:color w:val="0000FF"/>
              </w:rPr>
              <w:t>4,478.792</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color w:val="0000FF"/>
              </w:rPr>
              <w:t>53,364.042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11.006 common stock units acquired by the reporting person since the date of her last report under the dividend reinvestment feature of the Deferred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Katherine J. Harless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Katherine J. Harless</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2022-11-03T13:36:31Z</dcterms:created>
  <dcterms:modified xsi:type="dcterms:W3CDTF">2022-11-03T13:36:31Z</dcterms:modified>
</cp:coreProperties>
</file>