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September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4, 2025, The Toro Company announced its financial results for the three and nine month periods ended August 1, 2025.</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76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September 4, 2025 (furnished herewith).</w:t>
            </w:r>
          </w:p>
        </w:tc>
      </w:tr>
      <w:tr>
        <w:trPr>
          <w:trHeight w:val="20"/>
        </w:trPr>
        <w:tc>
          <w:tcPr>
            <w:tcW w:w="2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September 4, 2025</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Affairs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Fiscal 2025 Third Quarter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Operating Performance Driven By Strength in Professional Segment</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Underground construction and golf and grounds were primary drivers of net sales and profitability for the quarter.</w:t>
      </w:r>
    </w:p>
    <w:p>
      <w:pPr>
        <w:spacing w:after="0" w:line="17"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net sales were $1.13 billion, down 2 percent from the same period in fiscal 2024, with approximately half of this difference due to prior year divestitures of non-core assets.</w:t>
      </w:r>
    </w:p>
    <w:p>
      <w:pPr>
        <w:jc w:val="both"/>
        <w:ind w:left="660" w:hanging="328"/>
        <w:spacing w:after="0" w:line="234"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reported diluted earnings per share were $0.54, including a non-cash impairment charge of ($0.62) per diluted share, or ($81) million pretax. The impairment reflects the impact of weak homeowner demand and a slower-than-expected market recovery for the Spartan business.</w:t>
      </w:r>
    </w:p>
    <w:p>
      <w:pPr>
        <w:spacing w:after="0" w:line="2"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 quarter *adjusted diluted earnings per share up 5 percent year-over-year to $1.24, as improved professional segment profits more than offset lower residential segment earnings.</w:t>
      </w:r>
    </w:p>
    <w:p>
      <w:pPr>
        <w:ind w:left="66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Deliberate actions to improve efficiency are delivering meaningful cost reductions, with the AMP program on track to deliver run rate savings of at least $100 million by 2027.</w:t>
      </w:r>
    </w:p>
    <w:p>
      <w:pPr>
        <w:ind w:left="660" w:hanging="328"/>
        <w:spacing w:after="0" w:line="23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continued to drive improvement in free cash flow through the third quarter due to net favorable working capital.</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fiscal 2025 net sales and earnings per share guidance remain within previously communicated ranges.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BLOOMINGTON, Minn.—(BUSINESS WIRE) — September 4, 2025—</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provider of solutions for the outdoor environment, </w:t>
      </w:r>
      <w:r>
        <w:rPr>
          <w:rFonts w:ascii="Arial" w:cs="Arial" w:eastAsia="Arial" w:hAnsi="Arial"/>
          <w:sz w:val="20"/>
          <w:szCs w:val="20"/>
          <w:color w:val="000000"/>
        </w:rPr>
        <w:t>today reported results for its fiscal third quarter ended August 1, 2025.</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0A0A0A"/>
        </w:rPr>
        <w:t>“</w:t>
      </w:r>
      <w:r>
        <w:rPr>
          <w:rFonts w:ascii="Arial" w:cs="Arial" w:eastAsia="Arial" w:hAnsi="Arial"/>
          <w:sz w:val="20"/>
          <w:szCs w:val="20"/>
          <w:color w:val="000000"/>
        </w:rPr>
        <w:t>We delivered third quarter adjusted earnings that exceeded our expectations, with our Professional segment achieving 6</w:t>
      </w:r>
      <w:r>
        <w:rPr>
          <w:rFonts w:ascii="Arial" w:cs="Arial" w:eastAsia="Arial" w:hAnsi="Arial"/>
          <w:sz w:val="20"/>
          <w:szCs w:val="20"/>
          <w:color w:val="0A0A0A"/>
        </w:rPr>
        <w:t xml:space="preserve"> </w:t>
      </w:r>
      <w:r>
        <w:rPr>
          <w:rFonts w:ascii="Arial" w:cs="Arial" w:eastAsia="Arial" w:hAnsi="Arial"/>
          <w:sz w:val="20"/>
          <w:szCs w:val="20"/>
          <w:color w:val="000000"/>
        </w:rPr>
        <w:t>percent growth and 250 basis points of margin expansion,” said Richard M. Olson, chairman and chief executive officer. “Strong momentum in underground construction and golf and grounds, coupled with savings from our AMP productivity program, enabled us to exceed adjusted earnings expectations despite headwinds in our Residential segment. Looking ahead, while we are taking a prudent approach, given challenges in Residential, our continued innovation leadership and focus on productivity, position us to further improve profitability and shareholder returns as markets recover.</w:t>
      </w:r>
      <w:r>
        <w:rPr>
          <w:rFonts w:ascii="Arial" w:cs="Arial" w:eastAsia="Arial" w:hAnsi="Arial"/>
          <w:sz w:val="20"/>
          <w:szCs w:val="20"/>
          <w:color w:val="0A0A0A"/>
        </w:rPr>
        <w: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0A0A0A"/>
        </w:rPr>
        <w:t>"</w:t>
      </w:r>
      <w:r>
        <w:rPr>
          <w:rFonts w:ascii="Arial" w:cs="Arial" w:eastAsia="Arial" w:hAnsi="Arial"/>
          <w:sz w:val="20"/>
          <w:szCs w:val="20"/>
          <w:color w:val="000000"/>
        </w:rPr>
        <w:t>We are taking decisive actions to strengthen our resilience and accelerate performance. Our AMP program, delivering $75</w:t>
      </w:r>
      <w:r>
        <w:rPr>
          <w:rFonts w:ascii="Arial" w:cs="Arial" w:eastAsia="Arial" w:hAnsi="Arial"/>
          <w:sz w:val="20"/>
          <w:szCs w:val="20"/>
          <w:color w:val="0A0A0A"/>
        </w:rPr>
        <w:t xml:space="preserve"> </w:t>
      </w:r>
      <w:r>
        <w:rPr>
          <w:rFonts w:ascii="Arial" w:cs="Arial" w:eastAsia="Arial" w:hAnsi="Arial"/>
          <w:sz w:val="20"/>
          <w:szCs w:val="20"/>
          <w:color w:val="000000"/>
        </w:rPr>
        <w:t>million in annualized savings today and targeting at least $100 million by 2027, combined with proactive tariff mitigation and strategic capacity alignment, positions us to deliver earnings growth independent of revenue expansion," concluded Olson</w:t>
      </w:r>
      <w:r>
        <w:rPr>
          <w:rFonts w:ascii="Arial" w:cs="Arial" w:eastAsia="Arial" w:hAnsi="Arial"/>
          <w:sz w:val="20"/>
          <w:szCs w:val="20"/>
          <w:color w:val="0A0A0A"/>
        </w:rPr>
        <w:t>.</w:t>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For fiscal 2025, management expects total company net sales and adjusted diluted earnings per share to both be at the lower end of prior guidance ranges: net sales flat to down 3% and *adjusted diluted earnings per share of about $4.15.</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This guidance is based on current visibility, inclusive of anticipated tariff impacts, and reflects:</w:t>
      </w:r>
    </w:p>
    <w:p>
      <w:pPr>
        <w:spacing w:after="0" w:line="17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reduction in volume from macro factors that have driven increased homeowner and channel caution,</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our underground construction and golf and grounds businesses, and</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 patterns aligned with historical averages for the remainder of the year.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2025 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Reported</w:t>
            </w: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F25 Q3</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Q3</w:t>
            </w: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 Change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F25 Q3</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F24 Q3</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09"/>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1,156.9</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4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119.3</w:t>
            </w:r>
          </w:p>
        </w:tc>
        <w:tc>
          <w:tcPr>
            <w:tcW w:w="1360" w:type="dxa"/>
            <w:vAlign w:val="bottom"/>
          </w:tcPr>
          <w:p>
            <w:pPr>
              <w:jc w:val="right"/>
              <w:spacing w:after="0"/>
              <w:rPr>
                <w:sz w:val="20"/>
                <w:szCs w:val="20"/>
                <w:color w:val="auto"/>
              </w:rPr>
            </w:pPr>
            <w:r>
              <w:rPr>
                <w:rFonts w:ascii="Arial" w:cs="Arial" w:eastAsia="Arial" w:hAnsi="Arial"/>
                <w:sz w:val="17"/>
                <w:szCs w:val="17"/>
                <w:color w:val="auto"/>
              </w:rPr>
              <w:t>(55)%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122.5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123.7</w:t>
            </w: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THIRD-QUARTER FISCAL 2025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$930.8 million, up 5.7% from $880.9 million in the same period last year. The increase was primarily driven by higher shipments of underground construction and golf and grounds products, as well as net price realization, partially offset by prior year divestitures.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$198.5 million, up from $165.7 million in the same period last year, and when expressed as a percentage of net sales, 21.3%, up from 18.8% in the prior-year period. The increase in profitability was primarily due to productivity improvements, net price realization, net sales leverage, cost savings measures, and lower marketing costs, partially offset by higher material and manufacturing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$192.8 million, down 27.9% from $267.5 million in the same period last year. The decrease was primarily driven by lower shipments across the segment due to lower demand from homeowners.</w:t>
      </w:r>
    </w:p>
    <w:p>
      <w:pPr>
        <w:spacing w:after="0" w:line="130"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Residential segment earnings for the third quarter were $3.7 million, down from $32.6 million in the same period last year, and when expressed as a percentage of net sales, 1.9%, down from 12.2% in the prior-year period. The decrease was largely driven by lower net sales volume, higher material and manufacturing costs, inventory valuation adjustments, and higher sales promotions and incentives, partially offset by productivity improvements and cost savings measures.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Gross margin and *adjusted gross margin for the third quarter were 33.7% and 34.4%, respectively, down from 34.8% and 35.4%, respectively, in the same prior-year period. The change in gross margin was primarily due to lower net sales volume, higher material and manufacturing costs and inventory valuation adjustments, partially offset by productivity improvements, net price realization, and product mix.</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SG&amp;A expense as a percentage of net sales for the third quarter was 20.8%, compared with 22.0% in the prior-year period, primarily driven by cost savings measures and lower marketing costs, partially offset by lower net sales volume.</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5.7% for the third quarter, compared with 12.8% in the same prior-year period. *Adjusted operating earnings as a percentage of net sales for the third quarter were 13.6%, compared with 13.7% in the same prior-year period.</w:t>
      </w:r>
    </w:p>
    <w:p>
      <w:pPr>
        <w:spacing w:after="0" w:line="131"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Interest expense was $15.1 million for the third quarter, up $0.6 million from the same prior-year period. This increase was primarily due to higher average outstanding borrowings, partially offset by lower average interest rates.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The reported effective tax rate for the third quarter was 7.4%, compared with 17.3% in the same prior-year period, primarily due to the impact of the non-cash impairment charge and a more favorable geographic mix of earnings, partially offset by lower tax benefits recorded as excess tax deductions for stock-based compensation. The *adjusted effective tax rate for the third quarter was 17.3% compared with 18.0% in the same prior-year period, primarily due to a more favorable geographic mix of earnings.</w:t>
      </w:r>
    </w:p>
    <w:p>
      <w:pPr>
        <w:spacing w:after="0" w:line="200" w:lineRule="exact"/>
        <w:rPr>
          <w:sz w:val="20"/>
          <w:szCs w:val="20"/>
          <w:color w:val="auto"/>
        </w:rPr>
      </w:pPr>
    </w:p>
    <w:p>
      <w:pPr>
        <w:spacing w:after="0" w:line="37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September 4, 2025 at 10:00a.m. CT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CT on September 4, 2025.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press release and the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the company’s operating performance consist of gross profit, gross margin, operating earnings, earnings before income taxes, net earnings, diluted EPS, and the effective tax rate, each as adjusted. The non-GAAP financial measures included within this press release and the related earnings call that are utilized as measures of the company’s liquidity consist of free cash flow and free cash flow conversion percentage.</w:t>
      </w:r>
    </w:p>
    <w:p>
      <w:pPr>
        <w:spacing w:after="0" w:line="13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2025 to diluted EPS, which is the most directly comparable GAAP measure, in reliance on the unreasonable efforts exception provided under Item 10(e)(1)(i)(B) of Regulation S-K. The company’s adjusted diluted EPS guidance for fiscal 2025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2025 to diluted EPS reconciliation without unreasonable efforts. A quantitative reconciliation of adjusted diluted EPS for fiscal 2025 to diluted EPS would imply a degree of precision and certainty as to these future items that does not exist and could be confusing to investors. From a qualitative perspective, it is anticipated that the differences between adjusted diluted EPS for fiscal 2025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2025 financial guidance, expectations regarding anticipated tariff impacts, reduction in volume from macro factors that have driven increased homeowner and channel caution, and continued strong demand and stable supply for underground construction and golf and grounds businesses,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weather; customer, government and municipal revenue, budget spending levels and cash conservation efforts, including whether the company is taking the right strategic and operational actions to create long-term value for all stakeholders; loss of any substantial customer; inventory adjustments or changes in purchasing patterns by customers; fluctuations in the cost and availability of commodities, components, parts, and accessories, including steel, engines, hydraulics, and resins; the company’s ability to manufacture products to meet demand; disruption at or in proximity to its facilities or in its manufacturing or other operations, or those in its distribution channel customers, mass retailers or home centers where its products are sold, or suppliers; risks associated with acquisitions and dispositions, including a potential future impairment charge associated with the indefinite-lived Spartan trade name intangible assets acquired in the company's Intimidator acquisition; impacts of the company’s AMP initiative and any future restructuring activities or productivity or cost savings initiatives; geopolitical factors and government policies and actions with respect to global trade, tariffs, U.S. trade policy and trade agreements;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sustainability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millions, except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5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August 1, 2025</w:t>
            </w:r>
          </w:p>
        </w:tc>
        <w:tc>
          <w:tcPr>
            <w:tcW w:w="140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2, 2024</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August 1, 2025</w:t>
            </w:r>
          </w:p>
        </w:tc>
        <w:tc>
          <w:tcPr>
            <w:tcW w:w="14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2, 2024</w:t>
            </w: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5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1,131.3</w:t>
            </w:r>
          </w:p>
        </w:tc>
        <w:tc>
          <w:tcPr>
            <w:tcW w:w="3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1,156.9</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3,444.2</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3,507.8</w:t>
            </w:r>
          </w:p>
        </w:tc>
      </w:tr>
      <w:tr>
        <w:trPr>
          <w:trHeight w:val="21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749.5</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754.1</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2,290.1</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2,307.5</w:t>
            </w: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381.8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1,154.1</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1,200.3</w:t>
            </w:r>
          </w:p>
        </w:tc>
      </w:tr>
      <w:tr>
        <w:trPr>
          <w:trHeight w:val="216"/>
        </w:trPr>
        <w:tc>
          <w:tcPr>
            <w:tcW w:w="534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33.7 %</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34.8 %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33.5 %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34.2 %</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235.9</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254.7</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755.6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776.0</w:t>
            </w: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Non-cash impairment charge</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81.1</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81.1</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r>
      <w:tr>
        <w:trPr>
          <w:trHeight w:val="210"/>
        </w:trPr>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earnings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64.8</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317.4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424.3</w:t>
            </w:r>
          </w:p>
        </w:tc>
      </w:tr>
      <w:tr>
        <w:trPr>
          <w:trHeight w:val="216"/>
        </w:trPr>
        <w:tc>
          <w:tcPr>
            <w:tcW w:w="53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520" w:type="dxa"/>
            <w:vAlign w:val="bottom"/>
          </w:tcPr>
          <w:p>
            <w:pPr>
              <w:spacing w:after="0"/>
              <w:rPr>
                <w:sz w:val="18"/>
                <w:szCs w:val="18"/>
                <w:color w:val="auto"/>
              </w:rPr>
            </w:pPr>
          </w:p>
        </w:tc>
        <w:tc>
          <w:tcPr>
            <w:tcW w:w="1060" w:type="dxa"/>
            <w:vAlign w:val="bottom"/>
          </w:tcPr>
          <w:p>
            <w:pPr>
              <w:jc w:val="right"/>
              <w:ind w:right="137"/>
              <w:spacing w:after="0"/>
              <w:rPr>
                <w:sz w:val="20"/>
                <w:szCs w:val="20"/>
                <w:color w:val="auto"/>
              </w:rPr>
            </w:pPr>
            <w:r>
              <w:rPr>
                <w:rFonts w:ascii="Arial" w:cs="Arial" w:eastAsia="Arial" w:hAnsi="Arial"/>
                <w:sz w:val="17"/>
                <w:szCs w:val="17"/>
                <w:color w:val="auto"/>
              </w:rPr>
              <w:t>(15.1)</w:t>
            </w:r>
          </w:p>
        </w:tc>
        <w:tc>
          <w:tcPr>
            <w:tcW w:w="380" w:type="dxa"/>
            <w:vAlign w:val="bottom"/>
          </w:tcPr>
          <w:p>
            <w:pPr>
              <w:spacing w:after="0"/>
              <w:rPr>
                <w:sz w:val="18"/>
                <w:szCs w:val="18"/>
                <w:color w:val="auto"/>
              </w:rPr>
            </w:pP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137"/>
              <w:spacing w:after="0"/>
              <w:rPr>
                <w:sz w:val="20"/>
                <w:szCs w:val="20"/>
                <w:color w:val="auto"/>
              </w:rPr>
            </w:pPr>
            <w:r>
              <w:rPr>
                <w:rFonts w:ascii="Arial" w:cs="Arial" w:eastAsia="Arial" w:hAnsi="Arial"/>
                <w:sz w:val="17"/>
                <w:szCs w:val="17"/>
                <w:color w:val="auto"/>
              </w:rPr>
              <w:t>(45.9)</w:t>
            </w:r>
          </w:p>
        </w:tc>
        <w:tc>
          <w:tcPr>
            <w:tcW w:w="400" w:type="dxa"/>
            <w:vAlign w:val="bottom"/>
          </w:tcPr>
          <w:p>
            <w:pPr>
              <w:spacing w:after="0"/>
              <w:rPr>
                <w:sz w:val="18"/>
                <w:szCs w:val="18"/>
                <w:color w:val="auto"/>
              </w:rPr>
            </w:pP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(47.4)</w:t>
            </w:r>
          </w:p>
        </w:tc>
      </w:tr>
      <w:tr>
        <w:trPr>
          <w:trHeight w:val="21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10.6</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21.1</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26.6</w:t>
            </w:r>
          </w:p>
        </w:tc>
      </w:tr>
      <w:tr>
        <w:trPr>
          <w:trHeight w:val="209"/>
        </w:trPr>
        <w:tc>
          <w:tcPr>
            <w:tcW w:w="5340" w:type="dxa"/>
            <w:vAlign w:val="bottom"/>
          </w:tcPr>
          <w:p>
            <w:pPr>
              <w:ind w:left="140"/>
              <w:spacing w:after="0"/>
              <w:rPr>
                <w:sz w:val="20"/>
                <w:szCs w:val="20"/>
                <w:color w:val="auto"/>
              </w:rPr>
            </w:pPr>
            <w:r>
              <w:rPr>
                <w:rFonts w:ascii="Arial" w:cs="Arial" w:eastAsia="Arial" w:hAnsi="Arial"/>
                <w:sz w:val="17"/>
                <w:szCs w:val="17"/>
                <w:color w:val="auto"/>
              </w:rPr>
              <w:t>Earnings before income taxes</w:t>
            </w:r>
          </w:p>
        </w:tc>
        <w:tc>
          <w:tcPr>
            <w:tcW w:w="52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57.8</w:t>
            </w:r>
          </w:p>
        </w:tc>
        <w:tc>
          <w:tcPr>
            <w:tcW w:w="38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144.2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292.6</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403.5</w:t>
            </w:r>
          </w:p>
        </w:tc>
      </w:tr>
      <w:tr>
        <w:trPr>
          <w:trHeight w:val="21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4.3</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24.9</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49.5</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74.5</w:t>
            </w:r>
          </w:p>
        </w:tc>
      </w:tr>
      <w:tr>
        <w:trPr>
          <w:trHeight w:val="209"/>
        </w:trPr>
        <w:tc>
          <w:tcPr>
            <w:tcW w:w="53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53.5</w:t>
            </w:r>
          </w:p>
        </w:tc>
        <w:tc>
          <w:tcPr>
            <w:tcW w:w="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119.3</w:t>
            </w:r>
          </w:p>
        </w:tc>
        <w:tc>
          <w:tcPr>
            <w:tcW w:w="4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243.1</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329.0</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2"/>
        </w:trPr>
        <w:tc>
          <w:tcPr>
            <w:tcW w:w="53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r>
      <w:tr>
        <w:trPr>
          <w:trHeight w:val="20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0.54</w:t>
            </w:r>
          </w:p>
        </w:tc>
        <w:tc>
          <w:tcPr>
            <w:tcW w:w="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1.15</w:t>
            </w:r>
          </w:p>
        </w:tc>
        <w:tc>
          <w:tcPr>
            <w:tcW w:w="4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2.43</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3.16</w:t>
            </w:r>
          </w:p>
        </w:tc>
      </w:tr>
      <w:tr>
        <w:trPr>
          <w:trHeight w:val="74"/>
        </w:trPr>
        <w:tc>
          <w:tcPr>
            <w:tcW w:w="53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r>
      <w:tr>
        <w:trPr>
          <w:trHeight w:val="21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0.54</w:t>
            </w:r>
          </w:p>
        </w:tc>
        <w:tc>
          <w:tcPr>
            <w:tcW w:w="3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1.14</w:t>
            </w:r>
          </w:p>
        </w:tc>
        <w:tc>
          <w:tcPr>
            <w:tcW w:w="4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2.42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3.14</w:t>
            </w:r>
          </w:p>
        </w:tc>
      </w:tr>
      <w:tr>
        <w:trPr>
          <w:trHeight w:val="74"/>
        </w:trPr>
        <w:tc>
          <w:tcPr>
            <w:tcW w:w="53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 —</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7"/>
                <w:szCs w:val="17"/>
                <w:color w:val="auto"/>
              </w:rPr>
              <w:t>Basic</w:t>
            </w:r>
          </w:p>
        </w:tc>
        <w:tc>
          <w:tcPr>
            <w:tcW w:w="520" w:type="dxa"/>
            <w:vAlign w:val="bottom"/>
          </w:tcPr>
          <w:p>
            <w:pPr>
              <w:spacing w:after="0"/>
              <w:rPr>
                <w:sz w:val="19"/>
                <w:szCs w:val="19"/>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98.8</w:t>
            </w:r>
          </w:p>
        </w:tc>
        <w:tc>
          <w:tcPr>
            <w:tcW w:w="38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104.0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100.0</w:t>
            </w:r>
          </w:p>
        </w:tc>
        <w:tc>
          <w:tcPr>
            <w:tcW w:w="400" w:type="dxa"/>
            <w:vAlign w:val="bottom"/>
          </w:tcPr>
          <w:p>
            <w:pPr>
              <w:spacing w:after="0"/>
              <w:rPr>
                <w:sz w:val="19"/>
                <w:szCs w:val="19"/>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104.2</w:t>
            </w:r>
          </w:p>
        </w:tc>
      </w:tr>
      <w:tr>
        <w:trPr>
          <w:trHeight w:val="96"/>
        </w:trPr>
        <w:tc>
          <w:tcPr>
            <w:tcW w:w="53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62"/>
        </w:trPr>
        <w:tc>
          <w:tcPr>
            <w:tcW w:w="5340" w:type="dxa"/>
            <w:vAlign w:val="bottom"/>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 —</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99.0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104.5</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100.3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104.8</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7"/>
                <w:szCs w:val="17"/>
                <w:b w:val="1"/>
                <w:bCs w:val="1"/>
                <w:color w:val="auto"/>
              </w:rPr>
              <w:t>Three Months Ended</w:t>
            </w:r>
          </w:p>
        </w:tc>
        <w:tc>
          <w:tcPr>
            <w:tcW w:w="3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7"/>
                <w:szCs w:val="17"/>
                <w:b w:val="1"/>
                <w:bCs w:val="1"/>
                <w:color w:val="auto"/>
              </w:rPr>
              <w:t>Nine Months Ended</w:t>
            </w:r>
          </w:p>
        </w:tc>
      </w:tr>
      <w:tr>
        <w:trPr>
          <w:trHeight w:val="21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2960" w:type="dxa"/>
            <w:vAlign w:val="bottom"/>
            <w:tcBorders>
              <w:bottom w:val="single" w:sz="8" w:color="auto"/>
            </w:tcBorders>
            <w:gridSpan w:val="2"/>
          </w:tcPr>
          <w:p>
            <w:pPr>
              <w:ind w:left="1700"/>
              <w:spacing w:after="0"/>
              <w:rPr>
                <w:sz w:val="20"/>
                <w:szCs w:val="20"/>
                <w:color w:val="auto"/>
              </w:rPr>
            </w:pPr>
            <w:r>
              <w:rPr>
                <w:rFonts w:ascii="Arial" w:cs="Arial" w:eastAsia="Arial" w:hAnsi="Arial"/>
                <w:sz w:val="17"/>
                <w:szCs w:val="17"/>
                <w:b w:val="1"/>
                <w:bCs w:val="1"/>
                <w:color w:val="auto"/>
              </w:rPr>
              <w:t>August 1, 2025</w:t>
            </w: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August 2, 2024</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August 1, 2025</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w w:val="99"/>
              </w:rPr>
              <w:t>August 2, 2024</w:t>
            </w: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960" w:type="dxa"/>
            <w:vAlign w:val="bottom"/>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930.8</w:t>
            </w:r>
          </w:p>
        </w:tc>
        <w:tc>
          <w:tcPr>
            <w:tcW w:w="4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880.9</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2,713.7</w:t>
            </w:r>
          </w:p>
        </w:tc>
        <w:tc>
          <w:tcPr>
            <w:tcW w:w="44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2,643.0</w:t>
            </w:r>
          </w:p>
        </w:tc>
      </w:tr>
      <w:tr>
        <w:trPr>
          <w:trHeight w:val="216"/>
        </w:trPr>
        <w:tc>
          <w:tcPr>
            <w:tcW w:w="42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96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192.8</w:t>
            </w:r>
          </w:p>
        </w:tc>
        <w:tc>
          <w:tcPr>
            <w:tcW w:w="4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267.5</w:t>
            </w:r>
          </w:p>
        </w:tc>
        <w:tc>
          <w:tcPr>
            <w:tcW w:w="38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711.2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843.2</w:t>
            </w:r>
          </w:p>
        </w:tc>
      </w:tr>
      <w:tr>
        <w:trPr>
          <w:trHeight w:val="216"/>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9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7.7</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19.3</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r>
      <w:tr>
        <w:trPr>
          <w:trHeight w:val="210"/>
        </w:trPr>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960" w:type="dxa"/>
            <w:vAlign w:val="bottom"/>
            <w:tcBorders>
              <w:bottom w:val="single" w:sz="8" w:color="auto"/>
            </w:tcBorders>
          </w:tcPr>
          <w:p>
            <w:pPr>
              <w:ind w:left="16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1,131.3</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1,156.9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3,444.2</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3,507.8</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1"/>
        </w:trPr>
        <w:tc>
          <w:tcPr>
            <w:tcW w:w="428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10"/>
        </w:trPr>
        <w:tc>
          <w:tcPr>
            <w:tcW w:w="4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96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199.2</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218.2</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666.2</w:t>
            </w:r>
          </w:p>
        </w:tc>
        <w:tc>
          <w:tcPr>
            <w:tcW w:w="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691.4</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7"/>
                <w:szCs w:val="17"/>
                <w:b w:val="1"/>
                <w:bCs w:val="1"/>
                <w:color w:val="auto"/>
              </w:rPr>
              <w:t>Nine Months Ended</w:t>
            </w:r>
          </w:p>
        </w:tc>
      </w:tr>
      <w:tr>
        <w:trPr>
          <w:trHeight w:val="209"/>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2440" w:type="dxa"/>
            <w:vAlign w:val="bottom"/>
            <w:tcBorders>
              <w:bottom w:val="single" w:sz="8" w:color="auto"/>
            </w:tcBorders>
            <w:gridSpan w:val="2"/>
          </w:tcPr>
          <w:p>
            <w:pPr>
              <w:ind w:left="1180"/>
              <w:spacing w:after="0"/>
              <w:rPr>
                <w:sz w:val="20"/>
                <w:szCs w:val="20"/>
                <w:color w:val="auto"/>
              </w:rPr>
            </w:pPr>
            <w:r>
              <w:rPr>
                <w:rFonts w:ascii="Arial" w:cs="Arial" w:eastAsia="Arial" w:hAnsi="Arial"/>
                <w:sz w:val="17"/>
                <w:szCs w:val="17"/>
                <w:b w:val="1"/>
                <w:bCs w:val="1"/>
                <w:color w:val="auto"/>
              </w:rPr>
              <w:t>August 1, 2025</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August 2, 2024</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August 1, 2025</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w w:val="99"/>
              </w:rPr>
              <w:t>August 2, 2024</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4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198.5</w:t>
            </w:r>
          </w:p>
        </w:tc>
        <w:tc>
          <w:tcPr>
            <w:tcW w:w="4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165.7</w:t>
            </w:r>
          </w:p>
        </w:tc>
        <w:tc>
          <w:tcPr>
            <w:tcW w:w="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527.8</w:t>
            </w:r>
          </w:p>
        </w:tc>
        <w:tc>
          <w:tcPr>
            <w:tcW w:w="48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469.2</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4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3.7</w:t>
            </w:r>
          </w:p>
        </w:tc>
        <w:tc>
          <w:tcPr>
            <w:tcW w:w="48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7"/>
                <w:szCs w:val="17"/>
                <w:color w:val="auto"/>
              </w:rPr>
              <w:t>32.6</w:t>
            </w:r>
          </w:p>
        </w:tc>
        <w:tc>
          <w:tcPr>
            <w:tcW w:w="36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37.0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92.2</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(144.4)</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(272.2)</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w:t>
            </w:r>
          </w:p>
        </w:tc>
      </w:tr>
      <w:tr>
        <w:trPr>
          <w:trHeight w:val="210"/>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57.8</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144.2</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292.6</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403.5</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1, 2025</w:t>
            </w:r>
          </w:p>
        </w:tc>
        <w:tc>
          <w:tcPr>
            <w:tcW w:w="2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2, 2024</w:t>
            </w: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2024</w:t>
            </w:r>
          </w:p>
        </w:tc>
      </w:tr>
      <w:tr>
        <w:trPr>
          <w:trHeight w:val="169"/>
        </w:trPr>
        <w:tc>
          <w:tcPr>
            <w:tcW w:w="20" w:type="dxa"/>
            <w:vAlign w:val="bottom"/>
            <w:shd w:val="clear" w:color="auto" w:fill="CCEEFF"/>
          </w:tcPr>
          <w:p>
            <w:pPr>
              <w:spacing w:after="0"/>
              <w:rPr>
                <w:sz w:val="14"/>
                <w:szCs w:val="14"/>
                <w:color w:val="auto"/>
              </w:rPr>
            </w:pPr>
          </w:p>
        </w:tc>
        <w:tc>
          <w:tcPr>
            <w:tcW w:w="47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201.0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221.1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199.5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472.7</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532.3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1,036.2</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1,082.0</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1,038.9</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84.2</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78.5</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1,794.1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1,913.9</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1,764.9</w:t>
            </w:r>
          </w:p>
        </w:tc>
      </w:tr>
      <w:tr>
        <w:trPr>
          <w:trHeight w:val="74"/>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629.1</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635.7</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644.8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450.8</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450.2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450.3</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398.6</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512.4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498.7</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105.6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113.2</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41.3</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46.4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49.2</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85.6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38.3</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16"/>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14.7</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21.3</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3,519.8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3,731.4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96"/>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20.0</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25.3</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385.0</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437.8</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452.7</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534.3</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501.6</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493.0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16.6</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19.7</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9"/>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955.9</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984.4</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976.0</w:t>
            </w:r>
          </w:p>
        </w:tc>
      </w:tr>
      <w:tr>
        <w:trPr>
          <w:trHeight w:val="75"/>
        </w:trPr>
        <w:tc>
          <w:tcPr>
            <w:tcW w:w="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1,012.2</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966.6</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911.8</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92.8</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99.1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0.4</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47.2</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44.5</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r>
      <w:tr>
        <w:trPr>
          <w:trHeight w:val="94"/>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4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97.9</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103.1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6"/>
        </w:trPr>
        <w:tc>
          <w:tcPr>
            <w:tcW w:w="20" w:type="dxa"/>
            <w:vAlign w:val="bottom"/>
          </w:tcPr>
          <w:p>
            <w:pPr>
              <w:spacing w:after="0"/>
              <w:rPr>
                <w:sz w:val="18"/>
                <w:szCs w:val="18"/>
                <w:color w:val="auto"/>
              </w:rPr>
            </w:pPr>
          </w:p>
        </w:tc>
        <w:tc>
          <w:tcPr>
            <w:tcW w:w="47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4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1,350.7</w:t>
            </w:r>
          </w:p>
        </w:tc>
        <w:tc>
          <w:tcPr>
            <w:tcW w:w="240" w:type="dxa"/>
            <w:vAlign w:val="bottom"/>
          </w:tcPr>
          <w:p>
            <w:pPr>
              <w:spacing w:after="0"/>
              <w:rPr>
                <w:sz w:val="18"/>
                <w:szCs w:val="18"/>
                <w:color w:val="auto"/>
              </w:rPr>
            </w:pPr>
          </w:p>
        </w:tc>
        <w:tc>
          <w:tcPr>
            <w:tcW w:w="1540" w:type="dxa"/>
            <w:vAlign w:val="bottom"/>
          </w:tcPr>
          <w:p>
            <w:pPr>
              <w:jc w:val="right"/>
              <w:ind w:right="37"/>
              <w:spacing w:after="0"/>
              <w:rPr>
                <w:sz w:val="20"/>
                <w:szCs w:val="20"/>
                <w:color w:val="auto"/>
              </w:rPr>
            </w:pPr>
            <w:r>
              <w:rPr>
                <w:rFonts w:ascii="Arial" w:cs="Arial" w:eastAsia="Arial" w:hAnsi="Arial"/>
                <w:sz w:val="17"/>
                <w:szCs w:val="17"/>
                <w:color w:val="auto"/>
              </w:rPr>
              <w:t>1,576.2</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1,496.4</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4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10"/>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1,411.1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1,636.4</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1,551.9</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3,519.8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3,731.4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72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August 1, 2025</w:t>
            </w:r>
          </w:p>
        </w:tc>
        <w:tc>
          <w:tcPr>
            <w:tcW w:w="2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August 2, 2024</w:t>
            </w: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243.1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329.0</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22.5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72.6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65.5</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23.2</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15.3</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19.5</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impairment charge</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81.1</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Other</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(11.9)</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(123.5)</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(31.1)</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liabilities</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22.5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09"/>
        </w:trPr>
        <w:tc>
          <w:tcPr>
            <w:tcW w:w="6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348.9</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w:t>
            </w:r>
          </w:p>
        </w:tc>
      </w:tr>
      <w:tr>
        <w:trPr>
          <w:trHeight w:val="74"/>
        </w:trPr>
        <w:tc>
          <w:tcPr>
            <w:tcW w:w="6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(63.6)</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sales of property, plant, and equipment</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Proceeds from insurance claim</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Acquisitions, net of cash received</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Divestitures</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9.7</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r>
      <w:tr>
        <w:trPr>
          <w:trHeight w:val="210"/>
        </w:trPr>
        <w:tc>
          <w:tcPr>
            <w:tcW w:w="6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w:t>
            </w:r>
          </w:p>
        </w:tc>
      </w:tr>
      <w:tr>
        <w:trPr>
          <w:trHeight w:val="75"/>
        </w:trPr>
        <w:tc>
          <w:tcPr>
            <w:tcW w:w="6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line="216" w:lineRule="exact"/>
              <w:rPr>
                <w:sz w:val="20"/>
                <w:szCs w:val="20"/>
                <w:color w:val="auto"/>
              </w:rPr>
            </w:pPr>
            <w:r>
              <w:rPr>
                <w:rFonts w:ascii="Arial" w:cs="Arial" w:eastAsia="Arial" w:hAnsi="Arial"/>
                <w:sz w:val="17"/>
                <w:szCs w:val="17"/>
                <w:color w:val="auto"/>
              </w:rPr>
              <w:t>Borrowings under debt arrangements</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840.0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355.0</w:t>
            </w:r>
          </w:p>
        </w:tc>
      </w:tr>
      <w:tr>
        <w:trPr>
          <w:trHeight w:val="216"/>
        </w:trPr>
        <w:tc>
          <w:tcPr>
            <w:tcW w:w="69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Repayments under debt arrangements</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(395.0)</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040" w:type="dxa"/>
            <w:vAlign w:val="bottom"/>
          </w:tcPr>
          <w:p>
            <w:pPr>
              <w:spacing w:after="0"/>
              <w:rPr>
                <w:sz w:val="18"/>
                <w:szCs w:val="18"/>
                <w:color w:val="auto"/>
              </w:rPr>
            </w:pPr>
          </w:p>
        </w:tc>
        <w:tc>
          <w:tcPr>
            <w:tcW w:w="1560" w:type="dxa"/>
            <w:vAlign w:val="bottom"/>
          </w:tcPr>
          <w:p>
            <w:pPr>
              <w:jc w:val="right"/>
              <w:ind w:right="37"/>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6"/>
        </w:trPr>
        <w:tc>
          <w:tcPr>
            <w:tcW w:w="6900" w:type="dxa"/>
            <w:vAlign w:val="bottom"/>
          </w:tcPr>
          <w:p>
            <w:pPr>
              <w:ind w:left="140"/>
              <w:spacing w:after="0"/>
              <w:rPr>
                <w:sz w:val="20"/>
                <w:szCs w:val="20"/>
                <w:color w:val="auto"/>
              </w:rPr>
            </w:pPr>
            <w:r>
              <w:rPr>
                <w:rFonts w:ascii="Arial" w:cs="Arial" w:eastAsia="Arial" w:hAnsi="Arial"/>
                <w:sz w:val="17"/>
                <w:szCs w:val="17"/>
                <w:color w:val="auto"/>
              </w:rPr>
              <w:t>Common stock repurchases</w:t>
            </w:r>
          </w:p>
        </w:tc>
        <w:tc>
          <w:tcPr>
            <w:tcW w:w="10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(290.0)</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(109.2)</w:t>
            </w:r>
          </w:p>
        </w:tc>
      </w:tr>
      <w:tr>
        <w:trPr>
          <w:trHeight w:val="216"/>
        </w:trPr>
        <w:tc>
          <w:tcPr>
            <w:tcW w:w="6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Dividends paid on common stock</w:t>
            </w: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10"/>
        </w:trPr>
        <w:tc>
          <w:tcPr>
            <w:tcW w:w="6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w:t>
            </w:r>
          </w:p>
        </w:tc>
      </w:tr>
      <w:tr>
        <w:trPr>
          <w:trHeight w:val="75"/>
        </w:trPr>
        <w:tc>
          <w:tcPr>
            <w:tcW w:w="6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75"/>
        </w:trPr>
        <w:tc>
          <w:tcPr>
            <w:tcW w:w="6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tcPr>
          <w:p>
            <w:pPr>
              <w:spacing w:after="0"/>
              <w:rPr>
                <w:sz w:val="6"/>
                <w:szCs w:val="6"/>
                <w:color w:val="auto"/>
              </w:rPr>
            </w:pPr>
          </w:p>
        </w:tc>
      </w:tr>
      <w:tr>
        <w:trPr>
          <w:trHeight w:val="21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0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1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199.5</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r>
      <w:tr>
        <w:trPr>
          <w:trHeight w:val="23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201.0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221.1</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hanging="171"/>
        <w:spacing w:after="0" w:line="222" w:lineRule="auto"/>
        <w:tabs>
          <w:tab w:leader="none" w:pos="315"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Presentation of prior year revolving credit facility and long-term debt activity has been conformed to the current year presentation. There was no change to net cash used in financing activities.</w:t>
      </w:r>
    </w:p>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three and nine month periods ended August 1, 2025 and August 2,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7"/>
                <w:szCs w:val="17"/>
                <w:b w:val="1"/>
                <w:bCs w:val="1"/>
                <w:color w:val="auto"/>
              </w:rPr>
              <w:t>Three Months Ended</w:t>
            </w:r>
          </w:p>
        </w:tc>
        <w:tc>
          <w:tcPr>
            <w:tcW w:w="4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7"/>
                <w:szCs w:val="17"/>
                <w:b w:val="1"/>
                <w:bCs w:val="1"/>
                <w:color w:val="auto"/>
              </w:rPr>
              <w:t>Nine Months Ended</w:t>
            </w:r>
          </w:p>
        </w:tc>
      </w:tr>
      <w:tr>
        <w:trPr>
          <w:trHeight w:val="209"/>
        </w:trPr>
        <w:tc>
          <w:tcPr>
            <w:tcW w:w="44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August 1, 2025</w:t>
            </w:r>
          </w:p>
        </w:tc>
        <w:tc>
          <w:tcPr>
            <w:tcW w:w="14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August 2, 2024</w:t>
            </w:r>
          </w:p>
        </w:tc>
        <w:tc>
          <w:tcPr>
            <w:tcW w:w="14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b w:val="1"/>
                <w:bCs w:val="1"/>
                <w:color w:val="auto"/>
              </w:rPr>
              <w:t>August 1, 2025</w:t>
            </w:r>
          </w:p>
        </w:tc>
        <w:tc>
          <w:tcPr>
            <w:tcW w:w="14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7"/>
                <w:szCs w:val="17"/>
                <w:b w:val="1"/>
                <w:bCs w:val="1"/>
                <w:color w:val="auto"/>
              </w:rPr>
              <w:t>August 2, 2024</w:t>
            </w: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381.8</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402.8</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1,154.1</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1,200.3</w:t>
            </w:r>
          </w:p>
        </w:tc>
      </w:tr>
      <w:tr>
        <w:trPr>
          <w:trHeight w:val="216"/>
        </w:trPr>
        <w:tc>
          <w:tcPr>
            <w:tcW w:w="44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7.2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6.9</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14.7</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6.9</w:t>
            </w:r>
          </w:p>
        </w:tc>
      </w:tr>
      <w:tr>
        <w:trPr>
          <w:trHeight w:val="209"/>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14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389.0</w:t>
            </w:r>
          </w:p>
        </w:tc>
        <w:tc>
          <w:tcPr>
            <w:tcW w:w="44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409.7</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1,168.8</w:t>
            </w:r>
          </w:p>
        </w:tc>
        <w:tc>
          <w:tcPr>
            <w:tcW w:w="4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1,207.2</w:t>
            </w:r>
          </w:p>
        </w:tc>
      </w:tr>
      <w:tr>
        <w:trPr>
          <w:trHeight w:val="88"/>
        </w:trPr>
        <w:tc>
          <w:tcPr>
            <w:tcW w:w="44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34.8 %</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33.5 %</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34.2 %</w:t>
            </w:r>
          </w:p>
        </w:tc>
      </w:tr>
      <w:tr>
        <w:trPr>
          <w:trHeight w:val="216"/>
        </w:trPr>
        <w:tc>
          <w:tcPr>
            <w:tcW w:w="44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0.6 %</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0.4 %</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r>
      <w:tr>
        <w:trPr>
          <w:trHeight w:val="21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margin</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34.4 %</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35.4 %</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33.9 %</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34.4 %</w:t>
            </w:r>
          </w:p>
        </w:tc>
      </w:tr>
      <w:tr>
        <w:trPr>
          <w:trHeight w:val="74"/>
        </w:trPr>
        <w:tc>
          <w:tcPr>
            <w:tcW w:w="44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64.8</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148.1</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317.4</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424.3</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8.1</w:t>
            </w:r>
          </w:p>
        </w:tc>
        <w:tc>
          <w:tcPr>
            <w:tcW w:w="4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29.9</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19.2</w:t>
            </w:r>
          </w:p>
        </w:tc>
      </w:tr>
      <w:tr>
        <w:trPr>
          <w:trHeight w:val="216"/>
        </w:trPr>
        <w:tc>
          <w:tcPr>
            <w:tcW w:w="44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w:t>
            </w:r>
            <w:r>
              <w:rPr>
                <w:rFonts w:ascii="Arial" w:cs="Arial" w:eastAsia="Arial" w:hAnsi="Arial"/>
                <w:sz w:val="21"/>
                <w:szCs w:val="21"/>
                <w:color w:val="auto"/>
                <w:vertAlign w:val="superscript"/>
              </w:rPr>
              <w:t>2</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81.1</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81.1</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154.0</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159.0</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428.4</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443.5</w:t>
            </w:r>
          </w:p>
        </w:tc>
      </w:tr>
      <w:tr>
        <w:trPr>
          <w:trHeight w:val="88"/>
        </w:trPr>
        <w:tc>
          <w:tcPr>
            <w:tcW w:w="44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7"/>
                <w:szCs w:val="17"/>
                <w:color w:val="auto"/>
              </w:rPr>
              <w:t>Operating earnings margin</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5.7 %</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12.8 %</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12.1 %</w:t>
            </w:r>
          </w:p>
        </w:tc>
      </w:tr>
      <w:tr>
        <w:trPr>
          <w:trHeight w:val="216"/>
        </w:trPr>
        <w:tc>
          <w:tcPr>
            <w:tcW w:w="44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r>
      <w:tr>
        <w:trPr>
          <w:trHeight w:val="216"/>
        </w:trPr>
        <w:tc>
          <w:tcPr>
            <w:tcW w:w="44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Non-cash impairment charge</w:t>
            </w:r>
            <w:r>
              <w:rPr>
                <w:rFonts w:ascii="Arial" w:cs="Arial" w:eastAsia="Arial" w:hAnsi="Arial"/>
                <w:sz w:val="21"/>
                <w:szCs w:val="21"/>
                <w:color w:val="auto"/>
                <w:vertAlign w:val="superscript"/>
              </w:rPr>
              <w:t>2</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7.2 %</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2.3 %</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r>
      <w:tr>
        <w:trPr>
          <w:trHeight w:val="209"/>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Adjusted operating earnings margin</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13.6 %</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12.4 %</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12.6 %</w:t>
            </w:r>
          </w:p>
        </w:tc>
      </w:tr>
      <w:tr>
        <w:trPr>
          <w:trHeight w:val="88"/>
        </w:trPr>
        <w:tc>
          <w:tcPr>
            <w:tcW w:w="44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57.8</w:t>
            </w:r>
          </w:p>
        </w:tc>
        <w:tc>
          <w:tcPr>
            <w:tcW w:w="4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144.2</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292.6</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403.5</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9.2</w:t>
            </w:r>
          </w:p>
        </w:tc>
        <w:tc>
          <w:tcPr>
            <w:tcW w:w="4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6.6</w:t>
            </w:r>
          </w:p>
        </w:tc>
        <w:tc>
          <w:tcPr>
            <w:tcW w:w="40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31.4</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14.9</w:t>
            </w:r>
          </w:p>
        </w:tc>
      </w:tr>
      <w:tr>
        <w:trPr>
          <w:trHeight w:val="216"/>
        </w:trPr>
        <w:tc>
          <w:tcPr>
            <w:tcW w:w="44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w:t>
            </w:r>
            <w:r>
              <w:rPr>
                <w:rFonts w:ascii="Arial" w:cs="Arial" w:eastAsia="Arial" w:hAnsi="Arial"/>
                <w:sz w:val="21"/>
                <w:szCs w:val="21"/>
                <w:color w:val="auto"/>
                <w:vertAlign w:val="superscript"/>
              </w:rPr>
              <w:t>2</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81.1</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81.1</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earnings before income taxes</w:t>
            </w: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148.1</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150.8</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405.1</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418.4</w:t>
            </w:r>
          </w:p>
        </w:tc>
      </w:tr>
      <w:tr>
        <w:trPr>
          <w:trHeight w:val="88"/>
        </w:trPr>
        <w:tc>
          <w:tcPr>
            <w:tcW w:w="44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7"/>
                <w:szCs w:val="17"/>
                <w:color w:val="auto"/>
              </w:rPr>
              <w:t>Income tax provision</w:t>
            </w: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4.3</w:t>
            </w:r>
          </w:p>
        </w:tc>
        <w:tc>
          <w:tcPr>
            <w:tcW w:w="4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24.9</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49.5</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74.5</w:t>
            </w:r>
          </w:p>
        </w:tc>
      </w:tr>
      <w:tr>
        <w:trPr>
          <w:trHeight w:val="216"/>
        </w:trPr>
        <w:tc>
          <w:tcPr>
            <w:tcW w:w="44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1</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5.7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2.9</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w:t>
            </w:r>
            <w:r>
              <w:rPr>
                <w:rFonts w:ascii="Arial" w:cs="Arial" w:eastAsia="Arial" w:hAnsi="Arial"/>
                <w:sz w:val="21"/>
                <w:szCs w:val="21"/>
                <w:color w:val="auto"/>
                <w:vertAlign w:val="superscript"/>
              </w:rPr>
              <w:t>2</w:t>
            </w:r>
          </w:p>
        </w:tc>
        <w:tc>
          <w:tcPr>
            <w:tcW w:w="148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19.7</w:t>
            </w:r>
          </w:p>
        </w:tc>
        <w:tc>
          <w:tcPr>
            <w:tcW w:w="4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19.7</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4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3.5</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income tax provision</w:t>
            </w: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25.6</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27.1</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74.9</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80.9</w:t>
            </w:r>
          </w:p>
        </w:tc>
      </w:tr>
      <w:tr>
        <w:trPr>
          <w:trHeight w:val="88"/>
        </w:trPr>
        <w:tc>
          <w:tcPr>
            <w:tcW w:w="44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53.5</w:t>
            </w:r>
          </w:p>
        </w:tc>
        <w:tc>
          <w:tcPr>
            <w:tcW w:w="4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119.3</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243.1</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329.0</w:t>
            </w:r>
          </w:p>
        </w:tc>
      </w:tr>
      <w:tr>
        <w:trPr>
          <w:trHeight w:val="216"/>
        </w:trPr>
        <w:tc>
          <w:tcPr>
            <w:tcW w:w="44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5.4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25.7</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12.0</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 net of tax</w:t>
            </w:r>
            <w:r>
              <w:rPr>
                <w:rFonts w:ascii="Arial" w:cs="Arial" w:eastAsia="Arial" w:hAnsi="Arial"/>
                <w:sz w:val="21"/>
                <w:szCs w:val="21"/>
                <w:color w:val="auto"/>
                <w:vertAlign w:val="superscript"/>
              </w:rPr>
              <w:t>2</w:t>
            </w:r>
          </w:p>
        </w:tc>
        <w:tc>
          <w:tcPr>
            <w:tcW w:w="148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61.4</w:t>
            </w:r>
          </w:p>
        </w:tc>
        <w:tc>
          <w:tcPr>
            <w:tcW w:w="4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61.4</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4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(0.1)</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(3.5)</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w:t>
            </w: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122.5</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123.7</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330.2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337.5</w:t>
            </w:r>
          </w:p>
        </w:tc>
      </w:tr>
      <w:tr>
        <w:trPr>
          <w:trHeight w:val="88"/>
        </w:trPr>
        <w:tc>
          <w:tcPr>
            <w:tcW w:w="440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shd w:val="clear" w:color="auto" w:fill="CCEEFF"/>
          </w:tcPr>
          <w:p>
            <w:pPr>
              <w:spacing w:after="0"/>
              <w:rPr>
                <w:sz w:val="7"/>
                <w:szCs w:val="7"/>
                <w:color w:val="auto"/>
              </w:rPr>
            </w:pPr>
          </w:p>
        </w:tc>
        <w:tc>
          <w:tcPr>
            <w:tcW w:w="40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r>
      <w:tr>
        <w:trPr>
          <w:trHeight w:val="210"/>
        </w:trPr>
        <w:tc>
          <w:tcPr>
            <w:tcW w:w="4400" w:type="dxa"/>
            <w:vAlign w:val="bottom"/>
          </w:tcPr>
          <w:p>
            <w:pPr>
              <w:ind w:left="20"/>
              <w:spacing w:after="0"/>
              <w:rPr>
                <w:sz w:val="20"/>
                <w:szCs w:val="20"/>
                <w:color w:val="auto"/>
              </w:rPr>
            </w:pPr>
            <w:r>
              <w:rPr>
                <w:rFonts w:ascii="Arial" w:cs="Arial" w:eastAsia="Arial" w:hAnsi="Arial"/>
                <w:sz w:val="17"/>
                <w:szCs w:val="17"/>
                <w:color w:val="auto"/>
              </w:rPr>
              <w:t>Net earnings per diluted share</w:t>
            </w:r>
          </w:p>
        </w:tc>
        <w:tc>
          <w:tcPr>
            <w:tcW w:w="14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0.54</w:t>
            </w:r>
          </w:p>
        </w:tc>
        <w:tc>
          <w:tcPr>
            <w:tcW w:w="4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1.14</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2.42</w:t>
            </w:r>
          </w:p>
        </w:tc>
        <w:tc>
          <w:tcPr>
            <w:tcW w:w="40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3.14</w:t>
            </w:r>
          </w:p>
        </w:tc>
      </w:tr>
      <w:tr>
        <w:trPr>
          <w:trHeight w:val="216"/>
        </w:trPr>
        <w:tc>
          <w:tcPr>
            <w:tcW w:w="44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1</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0.08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0.05</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0.26</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0.11</w:t>
            </w:r>
          </w:p>
        </w:tc>
      </w:tr>
      <w:tr>
        <w:trPr>
          <w:trHeight w:val="216"/>
        </w:trPr>
        <w:tc>
          <w:tcPr>
            <w:tcW w:w="4400" w:type="dxa"/>
            <w:vAlign w:val="bottom"/>
          </w:tcPr>
          <w:p>
            <w:pPr>
              <w:ind w:left="140"/>
              <w:spacing w:after="0" w:line="216" w:lineRule="exact"/>
              <w:rPr>
                <w:sz w:val="20"/>
                <w:szCs w:val="20"/>
                <w:color w:val="auto"/>
              </w:rPr>
            </w:pPr>
            <w:r>
              <w:rPr>
                <w:rFonts w:ascii="Arial" w:cs="Arial" w:eastAsia="Arial" w:hAnsi="Arial"/>
                <w:sz w:val="17"/>
                <w:szCs w:val="17"/>
                <w:color w:val="auto"/>
              </w:rPr>
              <w:t>Non-cash impairment charge, net of tax</w:t>
            </w:r>
            <w:r>
              <w:rPr>
                <w:rFonts w:ascii="Arial" w:cs="Arial" w:eastAsia="Arial" w:hAnsi="Arial"/>
                <w:sz w:val="21"/>
                <w:szCs w:val="21"/>
                <w:color w:val="auto"/>
                <w:vertAlign w:val="superscript"/>
              </w:rPr>
              <w:t>2</w:t>
            </w:r>
          </w:p>
        </w:tc>
        <w:tc>
          <w:tcPr>
            <w:tcW w:w="1480" w:type="dxa"/>
            <w:vAlign w:val="bottom"/>
          </w:tcPr>
          <w:p>
            <w:pPr>
              <w:spacing w:after="0"/>
              <w:rPr>
                <w:sz w:val="18"/>
                <w:szCs w:val="18"/>
                <w:color w:val="auto"/>
              </w:rPr>
            </w:pPr>
          </w:p>
        </w:tc>
        <w:tc>
          <w:tcPr>
            <w:tcW w:w="1060" w:type="dxa"/>
            <w:vAlign w:val="bottom"/>
          </w:tcPr>
          <w:p>
            <w:pPr>
              <w:jc w:val="right"/>
              <w:ind w:right="177"/>
              <w:spacing w:after="0"/>
              <w:rPr>
                <w:sz w:val="20"/>
                <w:szCs w:val="20"/>
                <w:color w:val="auto"/>
              </w:rPr>
            </w:pPr>
            <w:r>
              <w:rPr>
                <w:rFonts w:ascii="Arial" w:cs="Arial" w:eastAsia="Arial" w:hAnsi="Arial"/>
                <w:sz w:val="17"/>
                <w:szCs w:val="17"/>
                <w:color w:val="auto"/>
              </w:rPr>
              <w:t>0.62</w:t>
            </w:r>
          </w:p>
        </w:tc>
        <w:tc>
          <w:tcPr>
            <w:tcW w:w="44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60" w:type="dxa"/>
            <w:vAlign w:val="bottom"/>
          </w:tcPr>
          <w:p>
            <w:pPr>
              <w:jc w:val="right"/>
              <w:ind w:right="197"/>
              <w:spacing w:after="0"/>
              <w:rPr>
                <w:sz w:val="20"/>
                <w:szCs w:val="20"/>
                <w:color w:val="auto"/>
              </w:rPr>
            </w:pPr>
            <w:r>
              <w:rPr>
                <w:rFonts w:ascii="Arial" w:cs="Arial" w:eastAsia="Arial" w:hAnsi="Arial"/>
                <w:sz w:val="17"/>
                <w:szCs w:val="17"/>
                <w:color w:val="auto"/>
              </w:rPr>
              <w:t>0.61</w:t>
            </w:r>
          </w:p>
        </w:tc>
        <w:tc>
          <w:tcPr>
            <w:tcW w:w="400" w:type="dxa"/>
            <w:vAlign w:val="bottom"/>
          </w:tcPr>
          <w:p>
            <w:pPr>
              <w:spacing w:after="0"/>
              <w:rPr>
                <w:sz w:val="18"/>
                <w:szCs w:val="18"/>
                <w:color w:val="auto"/>
              </w:rPr>
            </w:pPr>
          </w:p>
        </w:tc>
        <w:tc>
          <w:tcPr>
            <w:tcW w:w="102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40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(0.01)</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(0.03)</w:t>
            </w:r>
          </w:p>
        </w:tc>
      </w:tr>
      <w:tr>
        <w:trPr>
          <w:trHeight w:val="21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1.24</w:t>
            </w:r>
          </w:p>
        </w:tc>
        <w:tc>
          <w:tcPr>
            <w:tcW w:w="4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1.18</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3.29</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3.22</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440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7.4 %</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17.3 %</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16.9 %</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18.5 %</w:t>
            </w:r>
          </w:p>
        </w:tc>
      </w:tr>
      <w:tr>
        <w:trPr>
          <w:trHeight w:val="216"/>
        </w:trPr>
        <w:tc>
          <w:tcPr>
            <w:tcW w:w="440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Non-cash impairment charge</w:t>
            </w:r>
            <w:r>
              <w:rPr>
                <w:rFonts w:ascii="Arial" w:cs="Arial" w:eastAsia="Arial" w:hAnsi="Arial"/>
                <w:sz w:val="21"/>
                <w:szCs w:val="21"/>
                <w:color w:val="auto"/>
                <w:vertAlign w:val="superscript"/>
              </w:rPr>
              <w:t>2</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6"/>
        </w:trPr>
        <w:tc>
          <w:tcPr>
            <w:tcW w:w="440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0.8 %</w:t>
            </w:r>
          </w:p>
        </w:tc>
      </w:tr>
      <w:tr>
        <w:trPr>
          <w:trHeight w:val="235"/>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effective tax rate</w:t>
            </w:r>
          </w:p>
        </w:tc>
        <w:tc>
          <w:tcPr>
            <w:tcW w:w="1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17.3 %</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18.0 %</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18.5 %</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19.3 %</w:t>
            </w:r>
          </w:p>
        </w:tc>
      </w:tr>
      <w:tr>
        <w:trPr>
          <w:trHeight w:val="20"/>
        </w:trPr>
        <w:tc>
          <w:tcPr>
            <w:tcW w:w="4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2" w:name="page13"/>
    <w:bookmarkEnd w:id="12"/>
    <w:p>
      <w:pPr>
        <w:jc w:val="both"/>
        <w:ind w:left="260" w:hanging="171"/>
        <w:spacing w:after="0" w:line="237" w:lineRule="auto"/>
        <w:tabs>
          <w:tab w:leader="none" w:pos="26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nine month periods ended August 1, 2025 and August 2, 2024 primarily represent severance and termination benefits, facility exit costs, compensation for fully-dedicated AMP personnel, third-party consulting costs, and product-line exit costs.</w:t>
      </w:r>
    </w:p>
    <w:p>
      <w:pPr>
        <w:spacing w:after="0" w:line="133" w:lineRule="exact"/>
        <w:rPr>
          <w:sz w:val="20"/>
          <w:szCs w:val="20"/>
          <w:color w:val="auto"/>
        </w:rPr>
      </w:pPr>
    </w:p>
    <w:p>
      <w:pPr>
        <w:ind w:left="240" w:hanging="151"/>
        <w:spacing w:after="0"/>
        <w:tabs>
          <w:tab w:leader="none" w:pos="2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At the end of the third quarter of fiscal 2025, the company recorded a non-cash impairment charge within Other activities related to the Spartan Trade Name</w:t>
      </w:r>
      <w:r>
        <w:rPr>
          <w:rFonts w:ascii="Times New Roman" w:cs="Times New Roman" w:eastAsia="Times New Roman" w:hAnsi="Times New Roman"/>
          <w:sz w:val="15"/>
          <w:szCs w:val="15"/>
          <w:color w:val="auto"/>
        </w:rPr>
        <w:t>.</w:t>
      </w:r>
    </w:p>
    <w:p>
      <w:pPr>
        <w:spacing w:after="0" w:line="161" w:lineRule="exact"/>
        <w:rPr>
          <w:sz w:val="20"/>
          <w:szCs w:val="20"/>
          <w:color w:val="auto"/>
        </w:rPr>
      </w:pPr>
    </w:p>
    <w:p>
      <w:pPr>
        <w:jc w:val="both"/>
        <w:ind w:left="260" w:hanging="171"/>
        <w:spacing w:after="0" w:line="235" w:lineRule="auto"/>
        <w:tabs>
          <w:tab w:leader="none" w:pos="36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August 1, 2025 and August 2, 2024.</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9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excluding the non-cash impairment charge.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nine month periods ended August 1, 2025 and August 2, 2024:</w:t>
      </w:r>
    </w:p>
    <w:p>
      <w:pPr>
        <w:spacing w:after="0" w:line="211" w:lineRule="exact"/>
        <w:rPr>
          <w:sz w:val="20"/>
          <w:szCs w:val="20"/>
          <w:color w:val="auto"/>
        </w:rPr>
      </w:pPr>
    </w:p>
    <w:p>
      <w:pPr>
        <w:ind w:left="834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5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August 1, 2025</w:t>
            </w:r>
          </w:p>
        </w:tc>
        <w:tc>
          <w:tcPr>
            <w:tcW w:w="2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August 2, 2024</w:t>
            </w:r>
          </w:p>
        </w:tc>
      </w:tr>
      <w:tr>
        <w:trPr>
          <w:trHeight w:val="209"/>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348.9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329.8</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 net of proceeds from insurance claim</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57.0</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59.3</w:t>
            </w:r>
          </w:p>
        </w:tc>
      </w:tr>
      <w:tr>
        <w:trPr>
          <w:trHeight w:val="210"/>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291.9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270.5</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 excluding the non-cash impairment charge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324.2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329.0</w:t>
            </w:r>
          </w:p>
        </w:tc>
      </w:tr>
      <w:tr>
        <w:trPr>
          <w:trHeight w:val="234"/>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5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90.0 %</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82.2 %</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52"/>
    </w:lvl>
  </w:abstractNum>
  <w:abstractNum w:abstractNumId="2">
    <w:nsid w:val="41B71EFB"/>
    <w:multiLevelType w:val="hybridMultilevel"/>
    <w:lvl w:ilvl="0">
      <w:lvlJc w:val="left"/>
      <w:lvlText w:val="(%1)"/>
      <w:numFmt w:val="decimal"/>
      <w:start w:val="95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2"/>
      <w:numFmt w:val="bullet"/>
      <w:start w:val="1"/>
    </w:lvl>
  </w:abstractNum>
  <w:abstractNum w:abstractNumId="10">
    <w:nsid w:val="1F16E9E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2025-09-04T07:48:04Z</dcterms:created>
  <dcterms:modified xsi:type="dcterms:W3CDTF">2025-09-04T07:48:04Z</dcterms:modified>
</cp:coreProperties>
</file>