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4, 2007</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00" w:space="720"/>
            <w:col w:w="3380"/>
          </w:cols>
          <w:pgMar w:left="240" w:top="1030" w:right="239" w:bottom="1440" w:gutter="0" w:footer="0" w:header="0"/>
          <w:type w:val="continuous"/>
        </w:sect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(952) 888-8801</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9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8" w:lineRule="exact"/>
        <w:rPr>
          <w:sz w:val="24"/>
          <w:szCs w:val="24"/>
          <w:color w:val="auto"/>
        </w:rPr>
      </w:pPr>
    </w:p>
    <w:p>
      <w:pPr>
        <w:spacing w:after="0"/>
        <w:tabs>
          <w:tab w:leader="none" w:pos="620" w:val="left"/>
        </w:tabs>
        <w:rPr>
          <w:sz w:val="20"/>
          <w:szCs w:val="20"/>
          <w:color w:val="auto"/>
        </w:rPr>
      </w:pPr>
      <w:r>
        <w:rPr>
          <w:rFonts w:ascii="Arial" w:cs="Arial" w:eastAsia="Arial" w:hAnsi="Arial"/>
          <w:sz w:val="18"/>
          <w:szCs w:val="18"/>
          <w:color w:val="auto"/>
        </w:rPr>
        <w:t>Yes S</w:t>
        <w:tab/>
        <w:t>No £</w:t>
      </w:r>
    </w:p>
    <w:p>
      <w:pPr>
        <w:spacing w:after="0" w:line="200" w:lineRule="exact"/>
        <w:rPr>
          <w:sz w:val="24"/>
          <w:szCs w:val="24"/>
          <w:color w:val="auto"/>
        </w:rPr>
      </w:pPr>
    </w:p>
    <w:p>
      <w:pPr>
        <w:spacing w:after="0" w:line="29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97" w:lineRule="exact"/>
        <w:rPr>
          <w:sz w:val="24"/>
          <w:szCs w:val="24"/>
          <w:color w:val="auto"/>
        </w:rPr>
      </w:pPr>
    </w:p>
    <w:p>
      <w:pPr>
        <w:spacing w:after="0"/>
        <w:tabs>
          <w:tab w:leader="none" w:pos="3780" w:val="left"/>
          <w:tab w:leader="none" w:pos="7600" w:val="left"/>
        </w:tabs>
        <w:rPr>
          <w:sz w:val="20"/>
          <w:szCs w:val="20"/>
          <w:color w:val="auto"/>
        </w:rPr>
      </w:pPr>
      <w:r>
        <w:rPr>
          <w:rFonts w:ascii="Arial" w:cs="Arial" w:eastAsia="Arial" w:hAnsi="Arial"/>
          <w:sz w:val="18"/>
          <w:szCs w:val="18"/>
          <w:color w:val="auto"/>
        </w:rPr>
        <w:t>Large accelerated filer S</w:t>
      </w:r>
      <w:r>
        <w:rPr>
          <w:sz w:val="20"/>
          <w:szCs w:val="20"/>
          <w:color w:val="auto"/>
        </w:rPr>
        <w:tab/>
      </w:r>
      <w:r>
        <w:rPr>
          <w:rFonts w:ascii="Arial" w:cs="Arial" w:eastAsia="Arial" w:hAnsi="Arial"/>
          <w:sz w:val="18"/>
          <w:szCs w:val="18"/>
          <w:color w:val="auto"/>
        </w:rPr>
        <w:t>Accelerated filer £</w:t>
      </w:r>
      <w:r>
        <w:rPr>
          <w:sz w:val="20"/>
          <w:szCs w:val="20"/>
          <w:color w:val="auto"/>
        </w:rPr>
        <w:tab/>
      </w:r>
      <w:r>
        <w:rPr>
          <w:rFonts w:ascii="Arial" w:cs="Arial" w:eastAsia="Arial" w:hAnsi="Arial"/>
          <w:sz w:val="16"/>
          <w:szCs w:val="16"/>
          <w:color w:val="auto"/>
        </w:rPr>
        <w:t>Non-accelerated filer £</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color w:val="auto"/>
        </w:rPr>
        <w:t>Yes £</w:t>
        <w:tab/>
        <w:t>No S</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June 1, 2007 was 39,676,011.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878840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68"/>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10"/>
          </w:tcPr>
          <w:p>
            <w:pPr>
              <w:ind w:left="300"/>
              <w:spacing w:after="0"/>
              <w:rPr>
                <w:sz w:val="20"/>
                <w:szCs w:val="20"/>
                <w:color w:val="auto"/>
              </w:rPr>
            </w:pPr>
            <w:r>
              <w:rPr>
                <w:rFonts w:ascii="Arial" w:cs="Arial" w:eastAsia="Arial" w:hAnsi="Arial"/>
                <w:sz w:val="32"/>
                <w:szCs w:val="32"/>
                <w:b w:val="1"/>
                <w:bCs w:val="1"/>
                <w:color w:val="auto"/>
              </w:rPr>
              <w:t>THE TORO COMPANY</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10"/>
          </w:tcPr>
          <w:p>
            <w:pPr>
              <w:ind w:left="320"/>
              <w:spacing w:after="0"/>
              <w:rPr>
                <w:sz w:val="20"/>
                <w:szCs w:val="20"/>
                <w:color w:val="auto"/>
              </w:rPr>
            </w:pPr>
            <w:r>
              <w:rPr>
                <w:rFonts w:ascii="Arial" w:cs="Arial" w:eastAsia="Arial" w:hAnsi="Arial"/>
                <w:sz w:val="32"/>
                <w:szCs w:val="32"/>
                <w:b w:val="1"/>
                <w:bCs w:val="1"/>
                <w:color w:val="auto"/>
              </w:rPr>
              <w:t>INDEX TO FORM 10-Q</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 Number</w:t>
            </w:r>
          </w:p>
        </w:tc>
        <w:tc>
          <w:tcPr>
            <w:tcW w:w="0" w:type="dxa"/>
            <w:vAlign w:val="bottom"/>
          </w:tcPr>
          <w:p>
            <w:pPr>
              <w:spacing w:after="0"/>
              <w:rPr>
                <w:sz w:val="1"/>
                <w:szCs w:val="1"/>
                <w:color w:val="auto"/>
              </w:rPr>
            </w:pPr>
          </w:p>
        </w:tc>
      </w:tr>
      <w:tr>
        <w:trPr>
          <w:trHeight w:val="392"/>
        </w:trPr>
        <w:tc>
          <w:tcPr>
            <w:tcW w:w="640" w:type="dxa"/>
            <w:vAlign w:val="bottom"/>
            <w:gridSpan w:val="2"/>
          </w:tcPr>
          <w:p>
            <w:pPr>
              <w:spacing w:after="0"/>
              <w:rPr>
                <w:rFonts w:ascii="Arial" w:cs="Arial" w:eastAsia="Arial" w:hAnsi="Arial"/>
                <w:sz w:val="18"/>
                <w:szCs w:val="18"/>
                <w:b w:val="1"/>
                <w:bCs w:val="1"/>
                <w:color w:val="0000EE"/>
                <w:w w:val="96"/>
              </w:rPr>
            </w:pPr>
            <w:hyperlink w:anchor="page3">
              <w:r>
                <w:rPr>
                  <w:rFonts w:ascii="Arial" w:cs="Arial" w:eastAsia="Arial" w:hAnsi="Arial"/>
                  <w:sz w:val="18"/>
                  <w:szCs w:val="18"/>
                  <w:b w:val="1"/>
                  <w:bCs w:val="1"/>
                  <w:color w:val="0000EE"/>
                  <w:w w:val="96"/>
                </w:rPr>
                <w:t>PART I.</w:t>
              </w:r>
            </w:hyperlink>
          </w:p>
        </w:tc>
        <w:tc>
          <w:tcPr>
            <w:tcW w:w="60" w:type="dxa"/>
            <w:vAlign w:val="bottom"/>
            <w:gridSpan w:val="2"/>
          </w:tcPr>
          <w:p>
            <w:pPr>
              <w:spacing w:after="0"/>
              <w:rPr>
                <w:sz w:val="24"/>
                <w:szCs w:val="24"/>
                <w:color w:val="auto"/>
              </w:rPr>
            </w:pPr>
          </w:p>
        </w:tc>
        <w:tc>
          <w:tcPr>
            <w:tcW w:w="9400" w:type="dxa"/>
            <w:vAlign w:val="bottom"/>
            <w:gridSpan w:val="22"/>
          </w:tcPr>
          <w:p>
            <w:pPr>
              <w:ind w:left="8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60" w:type="dxa"/>
            <w:vAlign w:val="bottom"/>
            <w:gridSpan w:val="2"/>
          </w:tcPr>
          <w:p>
            <w:pPr>
              <w:spacing w:after="0"/>
              <w:rPr>
                <w:sz w:val="24"/>
                <w:szCs w:val="24"/>
                <w:color w:val="auto"/>
              </w:rPr>
            </w:pPr>
          </w:p>
        </w:tc>
        <w:tc>
          <w:tcPr>
            <w:tcW w:w="9400" w:type="dxa"/>
            <w:vAlign w:val="bottom"/>
            <w:gridSpan w:val="22"/>
          </w:tcPr>
          <w:p>
            <w:pPr>
              <w:ind w:left="880"/>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9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 (Unaudited) –Three and Six Months Ended May 4, 2007 and</w:t>
              </w:r>
            </w:hyperlink>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May 5, 2006</w:t>
              </w:r>
            </w:hyperlink>
          </w:p>
        </w:tc>
        <w:tc>
          <w:tcPr>
            <w:tcW w:w="6960" w:type="dxa"/>
            <w:vAlign w:val="bottom"/>
            <w:gridSpan w:val="13"/>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Balance Sheets (Unaudited) - May 4, 2007, May 5, 2006, and October 31, 2006</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(Unaudited) -Six Months Ended May 4, 2007 and May 5,</w:t>
              </w:r>
            </w:hyperlink>
          </w:p>
        </w:tc>
        <w:tc>
          <w:tcPr>
            <w:tcW w:w="30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2006</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6-12</w:t>
            </w:r>
          </w:p>
        </w:tc>
        <w:tc>
          <w:tcPr>
            <w:tcW w:w="0" w:type="dxa"/>
            <w:vAlign w:val="bottom"/>
          </w:tcPr>
          <w:p>
            <w:pPr>
              <w:spacing w:after="0"/>
              <w:rPr>
                <w:sz w:val="1"/>
                <w:szCs w:val="1"/>
                <w:color w:val="auto"/>
              </w:rPr>
            </w:pPr>
          </w:p>
        </w:tc>
      </w:tr>
      <w:tr>
        <w:trPr>
          <w:trHeight w:val="20"/>
        </w:trPr>
        <w:tc>
          <w:tcPr>
            <w:tcW w:w="700" w:type="dxa"/>
            <w:vAlign w:val="bottom"/>
            <w:gridSpan w:val="4"/>
            <w:vMerge w:val="restart"/>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12-22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4"/>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3.</w:t>
              </w:r>
            </w:hyperlink>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22-23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4.</w:t>
              </w:r>
            </w:hyperlink>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6420" w:type="dxa"/>
            <w:vAlign w:val="bottom"/>
            <w:gridSpan w:val="10"/>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700" w:type="dxa"/>
            <w:vAlign w:val="bottom"/>
            <w:gridSpan w:val="4"/>
          </w:tcPr>
          <w:p>
            <w:pPr>
              <w:spacing w:after="0"/>
              <w:rPr>
                <w:rFonts w:ascii="Arial" w:cs="Arial" w:eastAsia="Arial" w:hAnsi="Arial"/>
                <w:sz w:val="18"/>
                <w:szCs w:val="18"/>
                <w:b w:val="1"/>
                <w:bCs w:val="1"/>
                <w:color w:val="0000EE"/>
                <w:w w:val="98"/>
              </w:rPr>
            </w:pPr>
            <w:hyperlink w:anchor="page23">
              <w:r>
                <w:rPr>
                  <w:rFonts w:ascii="Arial" w:cs="Arial" w:eastAsia="Arial" w:hAnsi="Arial"/>
                  <w:sz w:val="18"/>
                  <w:szCs w:val="18"/>
                  <w:b w:val="1"/>
                  <w:bCs w:val="1"/>
                  <w:color w:val="0000EE"/>
                  <w:w w:val="98"/>
                </w:rPr>
                <w:t>PART II.</w:t>
              </w:r>
            </w:hyperlink>
          </w:p>
        </w:tc>
        <w:tc>
          <w:tcPr>
            <w:tcW w:w="9400" w:type="dxa"/>
            <w:vAlign w:val="bottom"/>
            <w:gridSpan w:val="22"/>
          </w:tcPr>
          <w:p>
            <w:pPr>
              <w:ind w:left="88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Item 1.</w:t>
              </w:r>
            </w:hyperlink>
          </w:p>
        </w:tc>
        <w:tc>
          <w:tcPr>
            <w:tcW w:w="8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6440" w:type="dxa"/>
            <w:vAlign w:val="bottom"/>
            <w:gridSpan w:val="11"/>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23-24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rFonts w:ascii="Arial" w:cs="Arial" w:eastAsia="Arial" w:hAnsi="Arial"/>
                <w:sz w:val="18"/>
                <w:szCs w:val="18"/>
                <w:b w:val="1"/>
                <w:bCs w:val="1"/>
                <w:color w:val="0000EE"/>
                <w:w w:val="94"/>
              </w:rPr>
            </w:pPr>
            <w:hyperlink w:anchor="page25">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Arial" w:cs="Arial" w:eastAsia="Arial" w:hAnsi="Arial"/>
                <w:sz w:val="18"/>
                <w:szCs w:val="18"/>
                <w:b w:val="1"/>
                <w:bCs w:val="1"/>
                <w:color w:val="0000EE"/>
              </w:rPr>
              <w:t>Item 2.</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sz w:val="20"/>
                <w:szCs w:val="20"/>
                <w:color w:val="auto"/>
              </w:rPr>
            </w:pPr>
            <w:r>
              <w:rPr>
                <w:rFonts w:ascii="Arial" w:cs="Arial" w:eastAsia="Arial" w:hAnsi="Arial"/>
                <w:sz w:val="18"/>
                <w:szCs w:val="18"/>
                <w:color w:val="0000EE"/>
              </w:rPr>
              <w:t>Changes in Securities, Use of Proceeds, and Issuer Purchases of Equity Securities</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0000EE"/>
            </w:tcBorders>
            <w:gridSpan w:val="2"/>
            <w:shd w:val="clear" w:color="auto" w:fill="0000EE"/>
          </w:tcPr>
          <w:p>
            <w:pPr>
              <w:spacing w:after="0" w:line="20" w:lineRule="exact"/>
              <w:rPr>
                <w:sz w:val="1"/>
                <w:szCs w:val="1"/>
                <w:color w:val="auto"/>
              </w:rPr>
            </w:pPr>
          </w:p>
        </w:tc>
        <w:tc>
          <w:tcPr>
            <w:tcW w:w="160" w:type="dxa"/>
            <w:vAlign w:val="bottom"/>
            <w:tcBorders>
              <w:bottom w:val="single" w:sz="8" w:color="0000EE"/>
            </w:tcBorders>
            <w:gridSpan w:val="2"/>
            <w:shd w:val="clear" w:color="auto" w:fill="0000EE"/>
          </w:tcPr>
          <w:p>
            <w:pPr>
              <w:spacing w:after="0" w:line="20" w:lineRule="exact"/>
              <w:rPr>
                <w:sz w:val="1"/>
                <w:szCs w:val="1"/>
                <w:color w:val="auto"/>
              </w:rPr>
            </w:pPr>
          </w:p>
        </w:tc>
        <w:tc>
          <w:tcPr>
            <w:tcW w:w="3000" w:type="dxa"/>
            <w:vAlign w:val="bottom"/>
            <w:tcBorders>
              <w:bottom w:val="single" w:sz="8" w:color="0000EE"/>
            </w:tcBorders>
            <w:gridSpan w:val="8"/>
            <w:shd w:val="clear" w:color="auto" w:fill="0000EE"/>
          </w:tcPr>
          <w:p>
            <w:pPr>
              <w:spacing w:after="0" w:line="20" w:lineRule="exact"/>
              <w:rPr>
                <w:sz w:val="1"/>
                <w:szCs w:val="1"/>
                <w:color w:val="auto"/>
              </w:rPr>
            </w:pPr>
          </w:p>
        </w:tc>
        <w:tc>
          <w:tcPr>
            <w:tcW w:w="2120" w:type="dxa"/>
            <w:vAlign w:val="bottom"/>
            <w:tcBorders>
              <w:bottom w:val="single" w:sz="8" w:color="0000EE"/>
            </w:tcBorders>
            <w:gridSpan w:val="3"/>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00" w:type="dxa"/>
            <w:vAlign w:val="bottom"/>
            <w:gridSpan w:val="4"/>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4.</w:t>
              </w:r>
            </w:hyperlink>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6.</w:t>
              </w:r>
            </w:hyperlink>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27-28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4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Signatures</w:t>
              </w:r>
            </w:hyperlink>
          </w:p>
        </w:tc>
        <w:tc>
          <w:tcPr>
            <w:tcW w:w="7440" w:type="dxa"/>
            <w:vAlign w:val="bottom"/>
            <w:gridSpan w:val="1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FINANCIAL STATEMENTS</w:t>
      </w:r>
    </w:p>
    <w:p>
      <w:pPr>
        <w:jc w:val="center"/>
        <w:spacing w:after="0" w:line="230" w:lineRule="auto"/>
        <w:rPr>
          <w:sz w:val="20"/>
          <w:szCs w:val="20"/>
          <w:color w:val="auto"/>
        </w:rPr>
      </w:pPr>
      <w:r>
        <w:rPr>
          <w:rFonts w:ascii="Arial" w:cs="Arial" w:eastAsia="Arial" w:hAnsi="Arial"/>
          <w:sz w:val="22"/>
          <w:szCs w:val="22"/>
          <w:b w:val="1"/>
          <w:bCs w:val="1"/>
          <w:color w:val="auto"/>
        </w:rPr>
        <w:t>THE TORO COMPANY AND SUBSIDIARIES</w:t>
      </w:r>
    </w:p>
    <w:p>
      <w:pPr>
        <w:jc w:val="center"/>
        <w:spacing w:after="0" w:line="231" w:lineRule="auto"/>
        <w:rPr>
          <w:sz w:val="20"/>
          <w:szCs w:val="20"/>
          <w:color w:val="auto"/>
        </w:rPr>
      </w:pPr>
      <w:r>
        <w:rPr>
          <w:rFonts w:ascii="Arial" w:cs="Arial" w:eastAsia="Arial" w:hAnsi="Arial"/>
          <w:sz w:val="22"/>
          <w:szCs w:val="22"/>
          <w:b w:val="1"/>
          <w:bCs w:val="1"/>
          <w:color w:val="auto"/>
        </w:rPr>
        <w:t>Condensed Consolidated Statements of Earnings (Unaudited)</w:t>
      </w:r>
    </w:p>
    <w:p>
      <w:pPr>
        <w:jc w:val="center"/>
        <w:spacing w:after="0"/>
        <w:rPr>
          <w:sz w:val="20"/>
          <w:szCs w:val="20"/>
          <w:color w:val="auto"/>
        </w:rPr>
      </w:pPr>
      <w:r>
        <w:rPr>
          <w:rFonts w:ascii="Arial" w:cs="Arial" w:eastAsia="Arial" w:hAnsi="Arial"/>
          <w:sz w:val="22"/>
          <w:szCs w:val="22"/>
          <w:b w:val="1"/>
          <w:bCs w:val="1"/>
          <w:color w:val="auto"/>
        </w:rPr>
        <w:t>(Dollars and shares in thousands, except per share data)</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May 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May 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686,653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1,065,741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1,028,644</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441,937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428,748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680,960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666,514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384,781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124,309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from operations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146,657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(5,177)</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Earnings before income taxes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140,248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line="196" w:lineRule="exact"/>
              <w:rPr>
                <w:sz w:val="20"/>
                <w:szCs w:val="20"/>
                <w:color w:val="auto"/>
              </w:rPr>
            </w:pPr>
            <w:r>
              <w:rPr>
                <w:rFonts w:ascii="Arial" w:cs="Arial" w:eastAsia="Arial" w:hAnsi="Arial"/>
                <w:sz w:val="18"/>
                <w:szCs w:val="18"/>
                <w:color w:val="auto"/>
              </w:rPr>
              <w:t>Net earnings</w:t>
            </w:r>
          </w:p>
        </w:tc>
        <w:tc>
          <w:tcPr>
            <w:tcW w:w="15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74,966</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70,082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93,416</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Basic net earnings per share of common stock</w:t>
            </w:r>
          </w:p>
        </w:tc>
        <w:tc>
          <w:tcPr>
            <w:tcW w:w="15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1.82</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1.62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2.27</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line="196" w:lineRule="exact"/>
              <w:rPr>
                <w:sz w:val="20"/>
                <w:szCs w:val="20"/>
                <w:color w:val="auto"/>
              </w:rPr>
            </w:pPr>
            <w:r>
              <w:rPr>
                <w:rFonts w:ascii="Arial" w:cs="Arial" w:eastAsia="Arial" w:hAnsi="Arial"/>
                <w:sz w:val="18"/>
                <w:szCs w:val="18"/>
                <w:color w:val="auto"/>
              </w:rPr>
              <w:t>Diluted net earnings per share of common stock</w:t>
            </w:r>
          </w:p>
        </w:tc>
        <w:tc>
          <w:tcPr>
            <w:tcW w:w="15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1.77</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1.56</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2.21</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of common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stock outstanding – Basic</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43,375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41,119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Weighted-average number of shares of common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outstanding – Diluted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THE TORO COMPANY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 (Unaudited)</w:t>
      </w: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May 4,</w:t>
            </w: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May 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6780" w:type="dxa"/>
            <w:vAlign w:val="bottom"/>
            <w:tcBorders>
              <w:bottom w:val="single" w:sz="8" w:color="CCEEFF"/>
            </w:tcBorders>
            <w:gridSpan w:val="2"/>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40,797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27,240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577,223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546,413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247,906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248,134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58,042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936,872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897,029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562,220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520,839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393,097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357,110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374,016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11,057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81,665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81,469</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1,206,261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1,155,634</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919,073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37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3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75,000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45,825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120,642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126,201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521,536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525,764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342,629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223,141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 and other long-term liabilities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Preferred stock, par value $1.00, authorized 1,000,000 voting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and 850,000 non-voting shares, none issued and outstanding</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par value $1.00, authorized 100,000,000 shares,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issued and outstanding 40,109,017 shares as of May 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2007 (net of 13,923,203 treasury shares), 42,371,599 shares as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of May 5, 2006 (net of 11,660,621 treasury shares), and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40,355,714 shares as of October 31, 2006 (net of 13,676,506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treasury shares)</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416,692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413,569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358,522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451,903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444,642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392,029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1,206,261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1,155,634</w:t>
            </w:r>
          </w:p>
        </w:tc>
        <w:tc>
          <w:tcPr>
            <w:tcW w:w="2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919,073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jc w:val="center"/>
        <w:ind w:left="260" w:right="2760"/>
        <w:spacing w:after="0" w:line="239" w:lineRule="auto"/>
        <w:rPr>
          <w:sz w:val="20"/>
          <w:szCs w:val="20"/>
          <w:color w:val="auto"/>
        </w:rPr>
      </w:pPr>
      <w:r>
        <w:rPr>
          <w:rFonts w:ascii="Arial" w:cs="Arial" w:eastAsia="Arial" w:hAnsi="Arial"/>
          <w:sz w:val="22"/>
          <w:szCs w:val="22"/>
          <w:b w:val="1"/>
          <w:bCs w:val="1"/>
          <w:color w:val="auto"/>
        </w:rPr>
        <w:t>THE TORO COMPANY AND SUBSIDIARIES Condensed Consolidated Statements of Cash Flows (Unaudited) (Dollars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May 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Net earnings</w:t>
            </w:r>
          </w:p>
        </w:tc>
        <w:tc>
          <w:tcPr>
            <w:tcW w:w="2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93,416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20"/>
              <w:spacing w:after="0"/>
              <w:rPr>
                <w:sz w:val="20"/>
                <w:szCs w:val="20"/>
                <w:color w:val="auto"/>
              </w:rPr>
            </w:pPr>
            <w:r>
              <w:rPr>
                <w:rFonts w:ascii="Arial" w:cs="Arial" w:eastAsia="Arial" w:hAnsi="Arial"/>
                <w:sz w:val="18"/>
                <w:szCs w:val="18"/>
                <w:color w:val="auto"/>
              </w:rPr>
              <w:t>used in operating activities: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losses from investments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20,393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 on disposal of property, plant, and</w:t>
            </w:r>
          </w:p>
        </w:tc>
        <w:tc>
          <w:tcPr>
            <w:tcW w:w="2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w:t>
            </w:r>
          </w:p>
        </w:tc>
        <w:tc>
          <w:tcPr>
            <w:tcW w:w="2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Receivables, net</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(282,982)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20"/>
              <w:spacing w:after="0"/>
              <w:rPr>
                <w:sz w:val="20"/>
                <w:szCs w:val="20"/>
                <w:color w:val="auto"/>
              </w:rPr>
            </w:pPr>
            <w:r>
              <w:rPr>
                <w:rFonts w:ascii="Arial" w:cs="Arial" w:eastAsia="Arial" w:hAnsi="Arial"/>
                <w:sz w:val="18"/>
                <w:szCs w:val="18"/>
                <w:color w:val="auto"/>
              </w:rPr>
              <w:t>Inventories, net</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tcPr>
          <w:p>
            <w:pPr>
              <w:ind w:left="320"/>
              <w:spacing w:after="0" w:line="201" w:lineRule="exact"/>
              <w:rPr>
                <w:sz w:val="20"/>
                <w:szCs w:val="20"/>
                <w:color w:val="auto"/>
              </w:rPr>
            </w:pPr>
            <w:r>
              <w:rPr>
                <w:rFonts w:ascii="Arial" w:cs="Arial" w:eastAsia="Arial" w:hAnsi="Arial"/>
                <w:sz w:val="18"/>
                <w:szCs w:val="18"/>
                <w:color w:val="auto"/>
              </w:rPr>
              <w:t>Accounts payable, accrued expenses, and deferred</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54,941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61,903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tcPr>
          <w:p>
            <w:pPr>
              <w:ind w:left="320"/>
              <w:spacing w:after="0" w:line="203" w:lineRule="exact"/>
              <w:rPr>
                <w:sz w:val="20"/>
                <w:szCs w:val="20"/>
                <w:color w:val="auto"/>
              </w:rPr>
            </w:pPr>
            <w:r>
              <w:rPr>
                <w:rFonts w:ascii="Arial" w:cs="Arial" w:eastAsia="Arial" w:hAnsi="Arial"/>
                <w:sz w:val="18"/>
                <w:szCs w:val="18"/>
                <w:color w:val="auto"/>
              </w:rPr>
              <w:t>revenue</w:t>
            </w:r>
          </w:p>
        </w:tc>
        <w:tc>
          <w:tcPr>
            <w:tcW w:w="2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(21,752)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Proceeds from disposal of property, plant, and</w:t>
            </w:r>
          </w:p>
        </w:tc>
        <w:tc>
          <w:tcPr>
            <w:tcW w:w="2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Increase in investment in affiliates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other assets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Increase in short-term debt</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45,455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long-term debt, net of costs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Proceeds from exercise of stock-based awards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(9,865)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127,570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ind w:right="3380"/>
        <w:spacing w:after="0" w:line="264" w:lineRule="auto"/>
        <w:rPr>
          <w:sz w:val="20"/>
          <w:szCs w:val="20"/>
          <w:color w:val="auto"/>
        </w:rPr>
      </w:pPr>
      <w:r>
        <w:rPr>
          <w:rFonts w:ascii="Arial" w:cs="Arial" w:eastAsia="Arial" w:hAnsi="Arial"/>
          <w:sz w:val="18"/>
          <w:szCs w:val="18"/>
          <w:color w:val="auto"/>
        </w:rPr>
        <w:t>Cash and cash equivalents as of the beginning of the fiscal period Cash and cash equivalents as of the end of the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(14,726)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(14,162)</w:t>
            </w:r>
          </w:p>
        </w:tc>
      </w:tr>
      <w:tr>
        <w:trPr>
          <w:trHeight w:val="237"/>
        </w:trPr>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41,402</w:t>
            </w:r>
          </w:p>
        </w:tc>
        <w:tc>
          <w:tcPr>
            <w:tcW w:w="60" w:type="dxa"/>
            <w:vAlign w:val="bottom"/>
          </w:tcPr>
          <w:p>
            <w:pPr>
              <w:spacing w:after="0"/>
              <w:rPr>
                <w:sz w:val="20"/>
                <w:szCs w:val="20"/>
                <w:color w:val="auto"/>
              </w:rPr>
            </w:pPr>
          </w:p>
        </w:tc>
      </w:tr>
      <w:tr>
        <w:trPr>
          <w:trHeight w:val="378"/>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40,797</w:t>
            </w:r>
          </w:p>
        </w:tc>
        <w:tc>
          <w:tcPr>
            <w:tcW w:w="140" w:type="dxa"/>
            <w:vAlign w:val="bottom"/>
          </w:tcPr>
          <w:p>
            <w:pPr>
              <w:spacing w:after="0"/>
              <w:rPr>
                <w:sz w:val="24"/>
                <w:szCs w:val="24"/>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27,240</w:t>
            </w:r>
          </w:p>
        </w:tc>
      </w:tr>
      <w:tr>
        <w:trPr>
          <w:trHeight w:val="21"/>
        </w:trPr>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8100" w:space="720"/>
            <w:col w:w="2600"/>
          </w:cols>
          <w:pgMar w:left="240" w:top="355" w:right="239" w:bottom="1440" w:gutter="0" w:footer="0" w:header="0"/>
          <w:type w:val="continuous"/>
        </w:sect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5" w:name="page6"/>
    <w:bookmarkEnd w:id="5"/>
    <w:p>
      <w:pPr>
        <w:jc w:val="center"/>
        <w:spacing w:after="0" w:line="239" w:lineRule="auto"/>
        <w:rPr>
          <w:sz w:val="20"/>
          <w:szCs w:val="20"/>
          <w:color w:val="auto"/>
        </w:rPr>
      </w:pPr>
      <w:r>
        <w:rPr>
          <w:rFonts w:ascii="Arial" w:cs="Arial" w:eastAsia="Arial" w:hAnsi="Arial"/>
          <w:sz w:val="22"/>
          <w:szCs w:val="22"/>
          <w:b w:val="1"/>
          <w:bCs w:val="1"/>
          <w:color w:val="auto"/>
        </w:rPr>
        <w:t>THE TORO COMPANY AND SUBSIDIARIES Notes to Condensed Consolidated Financial Statements (Unaudited) May 4, 2007</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4, 2007 cannot be annualized to determine the expected results for the fiscal year ending October 31, 2007. Certain amounts from prior period’s financial statements have been reclassified to conform to this period’s presentation.</w:t>
      </w:r>
    </w:p>
    <w:p>
      <w:pPr>
        <w:spacing w:after="0" w:line="5" w:lineRule="exact"/>
        <w:rPr>
          <w:sz w:val="20"/>
          <w:szCs w:val="20"/>
          <w:color w:val="auto"/>
        </w:rPr>
      </w:pPr>
    </w:p>
    <w:p>
      <w:pPr>
        <w:jc w:val="both"/>
        <w:ind w:right="160" w:firstLine="222"/>
        <w:spacing w:after="0" w:line="250" w:lineRule="auto"/>
        <w:rPr>
          <w:sz w:val="20"/>
          <w:szCs w:val="20"/>
          <w:color w:val="auto"/>
        </w:rPr>
      </w:pPr>
      <w:r>
        <w:rPr>
          <w:rFonts w:ascii="Arial" w:cs="Arial" w:eastAsia="Arial" w:hAnsi="Arial"/>
          <w:sz w:val="18"/>
          <w:szCs w:val="18"/>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40" w:firstLine="225"/>
        <w:spacing w:after="0" w:line="261"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2006. The policies described in that report are used for preparing quarterly reports.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preparing the consolidated financial statements in conformity with U.S. generally accepted accounting principles,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8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May 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May 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74,966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93,416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Cumulative translation adjustments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Unrealized loss on derivative</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 net of taxes</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line="196" w:lineRule="exact"/>
              <w:rPr>
                <w:sz w:val="20"/>
                <w:szCs w:val="20"/>
                <w:color w:val="auto"/>
              </w:rPr>
            </w:pPr>
            <w:r>
              <w:rPr>
                <w:rFonts w:ascii="Arial" w:cs="Arial" w:eastAsia="Arial" w:hAnsi="Arial"/>
                <w:sz w:val="18"/>
                <w:szCs w:val="18"/>
                <w:color w:val="auto"/>
              </w:rPr>
              <w:t>Comprehensive income</w:t>
            </w:r>
          </w:p>
        </w:tc>
        <w:tc>
          <w:tcPr>
            <w:tcW w:w="20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76,457</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70,269</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95,367</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84,643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0" w:type="dxa"/>
            <w:vAlign w:val="bottom"/>
            <w:vMerge w:val="restart"/>
          </w:tcPr>
          <w:p>
            <w:pPr>
              <w:jc w:val="right"/>
              <w:ind w:right="256"/>
              <w:spacing w:after="0"/>
              <w:rPr>
                <w:sz w:val="20"/>
                <w:szCs w:val="20"/>
                <w:color w:val="auto"/>
              </w:rPr>
            </w:pPr>
            <w:r>
              <w:rPr>
                <w:rFonts w:ascii="Arial" w:cs="Arial" w:eastAsia="Arial" w:hAnsi="Arial"/>
                <w:sz w:val="14"/>
                <w:szCs w:val="14"/>
                <w:color w:val="auto"/>
              </w:rPr>
              <w:t>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accounts for stock-based compensation awards in accordance with the provisions of Statement of Financial Accounting Standards (SFAS) No. 123 (Revised 2004), “Share-Based Payment.” During the first two quarters of fiscal 2007, option awards were granted with an exercise price equal to the market price of the company’s common stock as of the date of grant. For certain non-officer employees, the options vest after two years from the date of grant and have a five-year contractual term. Other options granted during the first quarter of fiscal 2007 vest one-third each year over a three-year period and have a ten-year contractual term. Compensation expense equal to the grant date fair value is recognized for these awards over the vesting period. The company also issues Performance Shares to key employees. The company determines the fair value of these Performance Shares as of the date of grant and recognizes the expense over the vesting period. Total compensation expense for option awards and Performance Shares for the second quarter of fiscal 2007 and 2006 was $1.9 million and $2.0 million, respectively. Year-to-date compensation expense for option awards and Performance Shares through the second quarter of fiscal 2007 and 2006 was $3.8 million and $4.1 million, respectively.</w:t>
      </w:r>
    </w:p>
    <w:p>
      <w:pPr>
        <w:spacing w:after="0" w:line="2" w:lineRule="exact"/>
        <w:rPr>
          <w:sz w:val="20"/>
          <w:szCs w:val="20"/>
          <w:color w:val="auto"/>
        </w:rPr>
      </w:pPr>
    </w:p>
    <w:p>
      <w:pPr>
        <w:ind w:right="160" w:firstLine="222"/>
        <w:spacing w:after="0" w:line="268" w:lineRule="auto"/>
        <w:rPr>
          <w:sz w:val="20"/>
          <w:szCs w:val="20"/>
          <w:color w:val="auto"/>
        </w:rPr>
      </w:pPr>
      <w:r>
        <w:rPr>
          <w:rFonts w:ascii="Arial" w:cs="Arial" w:eastAsia="Arial" w:hAnsi="Arial"/>
          <w:sz w:val="17"/>
          <w:szCs w:val="17"/>
          <w:color w:val="auto"/>
        </w:rPr>
        <w:t>The fair value of each share-based option is estimated on the date of grant using a Black-Scholes valuation method that uses the assumptions noted in the following table. The expected life is a significant assumption as it determines the period for which the risk-free interest rate, volatility, and dividend yield must be applied. The expected life is the average length of time over which the employee groups will exercise their options, which is based on historical experience with similar grants. Separate groups of employees that have similar historical exercise behavior are considered separately for valuation purposes. Expected volatilities are based on the movement of the company’s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Fiscal 2007</w:t>
            </w:r>
          </w:p>
        </w:tc>
        <w:tc>
          <w:tcPr>
            <w:tcW w:w="260" w:type="dxa"/>
            <w:vAlign w:val="bottom"/>
          </w:tcPr>
          <w:p>
            <w:pPr>
              <w:spacing w:after="0"/>
              <w:rPr>
                <w:sz w:val="20"/>
                <w:szCs w:val="20"/>
                <w:color w:val="auto"/>
              </w:rPr>
            </w:pPr>
          </w:p>
        </w:tc>
        <w:tc>
          <w:tcPr>
            <w:tcW w:w="23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Fiscal 2006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 – 6.5</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 – 6.5</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24.96% - 26.44%</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25.26% - 26.96%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25.65%</w:t>
            </w:r>
          </w:p>
        </w:tc>
        <w:tc>
          <w:tcPr>
            <w:tcW w:w="2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26.12%</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4.420% - 4.528%</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4.399% - 4.526%</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0.78%- 0.90%</w:t>
            </w:r>
          </w:p>
        </w:tc>
        <w:tc>
          <w:tcPr>
            <w:tcW w:w="26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0.65%- 0.70%</w:t>
            </w:r>
          </w:p>
        </w:tc>
      </w:tr>
      <w:tr>
        <w:trPr>
          <w:trHeight w:val="230"/>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0.84%</w:t>
            </w:r>
          </w:p>
        </w:tc>
        <w:tc>
          <w:tcPr>
            <w:tcW w:w="26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0.67%</w:t>
            </w:r>
          </w:p>
        </w:tc>
      </w:tr>
    </w:tbl>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weighted-average fair value of options granted during the first two quarters of fiscal 2007 was $12.32 per share and during the first quarter of fiscal 2006 was $10.90 per share. The fair value of Performance Shares granted during the first quarters of fiscal 2007 and 2006 was $44.90 per share and $41.44 per share, respectively. No Performance Shares were granted during the second quarters of fiscal 2007 and 2006.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May 4,</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May 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October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67,976</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Finished goods and service parts</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240,531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229,137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306,284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Less: LIFO</w:t>
            </w: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40,860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reserves</w:t>
            </w:r>
          </w:p>
        </w:tc>
        <w:tc>
          <w:tcPr>
            <w:tcW w:w="3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35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247,906</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248,134</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238,544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340" w:type="dxa"/>
            <w:vAlign w:val="bottom"/>
            <w:vMerge w:val="restart"/>
          </w:tcPr>
          <w:p>
            <w:pPr>
              <w:jc w:val="right"/>
              <w:ind w:right="1616"/>
              <w:spacing w:after="0"/>
              <w:rPr>
                <w:sz w:val="20"/>
                <w:szCs w:val="20"/>
                <w:color w:val="auto"/>
              </w:rPr>
            </w:pPr>
            <w:r>
              <w:rPr>
                <w:rFonts w:ascii="Arial" w:cs="Arial" w:eastAsia="Arial" w:hAnsi="Arial"/>
                <w:sz w:val="14"/>
                <w:szCs w:val="14"/>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080" w:type="dxa"/>
            <w:vAlign w:val="bottom"/>
            <w:gridSpan w:val="4"/>
          </w:tcPr>
          <w:p>
            <w:pPr>
              <w:spacing w:after="0"/>
              <w:rPr>
                <w:sz w:val="20"/>
                <w:szCs w:val="20"/>
                <w:color w:val="auto"/>
              </w:rPr>
            </w:pPr>
            <w:r>
              <w:rPr>
                <w:rFonts w:ascii="Arial" w:cs="Arial" w:eastAsia="Arial" w:hAnsi="Arial"/>
                <w:sz w:val="18"/>
                <w:szCs w:val="18"/>
                <w:b w:val="1"/>
                <w:bCs w:val="1"/>
                <w:color w:val="auto"/>
              </w:rPr>
              <w:t>Per Share Data</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40" w:type="dxa"/>
            <w:vAlign w:val="bottom"/>
            <w:gridSpan w:val="7"/>
          </w:tcPr>
          <w:p>
            <w:pPr>
              <w:spacing w:after="0"/>
              <w:rPr>
                <w:sz w:val="20"/>
                <w:szCs w:val="20"/>
                <w:color w:val="auto"/>
              </w:rPr>
            </w:pPr>
            <w:r>
              <w:rPr>
                <w:rFonts w:ascii="Arial" w:cs="Arial" w:eastAsia="Arial" w:hAnsi="Arial"/>
                <w:sz w:val="18"/>
                <w:szCs w:val="18"/>
                <w:color w:val="auto"/>
                <w:w w:val="91"/>
              </w:rPr>
              <w:t>Reconciliations of basic and diluted weighted-average shares of common stock outstanding are as follows: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740" w:type="dxa"/>
            <w:vAlign w:val="bottom"/>
            <w:gridSpan w:val="5"/>
          </w:tcPr>
          <w:p>
            <w:pPr>
              <w:ind w:left="500"/>
              <w:spacing w:after="0"/>
              <w:rPr>
                <w:sz w:val="20"/>
                <w:szCs w:val="20"/>
                <w:color w:val="auto"/>
              </w:rPr>
            </w:pPr>
            <w:r>
              <w:rPr>
                <w:rFonts w:ascii="Arial" w:cs="Arial" w:eastAsia="Arial" w:hAnsi="Arial"/>
                <w:sz w:val="18"/>
                <w:szCs w:val="18"/>
                <w:color w:val="auto"/>
              </w:rPr>
              <w:t>Three Months Ended</w:t>
            </w:r>
          </w:p>
        </w:tc>
        <w:tc>
          <w:tcPr>
            <w:tcW w:w="2600" w:type="dxa"/>
            <w:vAlign w:val="bottom"/>
            <w:gridSpan w:val="4"/>
          </w:tcPr>
          <w:p>
            <w:pPr>
              <w:ind w:lef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6080" w:type="dxa"/>
            <w:vAlign w:val="bottom"/>
            <w:gridSpan w:val="4"/>
          </w:tcPr>
          <w:p>
            <w:pPr>
              <w:spacing w:after="0" w:line="201" w:lineRule="exact"/>
              <w:rPr>
                <w:sz w:val="20"/>
                <w:szCs w:val="20"/>
                <w:color w:val="auto"/>
              </w:rPr>
            </w:pPr>
            <w:r>
              <w:rPr>
                <w:rFonts w:ascii="Arial" w:cs="Arial" w:eastAsia="Arial" w:hAnsi="Arial"/>
                <w:sz w:val="18"/>
                <w:szCs w:val="18"/>
                <w:color w:val="auto"/>
              </w:rPr>
              <w:t>(Shares in thousands)</w:t>
            </w:r>
          </w:p>
        </w:tc>
        <w:tc>
          <w:tcPr>
            <w:tcW w:w="1660" w:type="dxa"/>
            <w:vAlign w:val="bottom"/>
            <w:tcBorders>
              <w:top w:val="single" w:sz="8" w:color="auto"/>
            </w:tcBorders>
            <w:gridSpan w:val="3"/>
          </w:tcPr>
          <w:p>
            <w:pPr>
              <w:ind w:left="320"/>
              <w:spacing w:after="0" w:line="201" w:lineRule="exact"/>
              <w:rPr>
                <w:sz w:val="20"/>
                <w:szCs w:val="20"/>
                <w:color w:val="auto"/>
              </w:rPr>
            </w:pPr>
            <w:r>
              <w:rPr>
                <w:rFonts w:ascii="Arial" w:cs="Arial" w:eastAsia="Arial" w:hAnsi="Arial"/>
                <w:sz w:val="18"/>
                <w:szCs w:val="18"/>
                <w:color w:val="auto"/>
              </w:rPr>
              <w:t>May 4,</w:t>
            </w:r>
          </w:p>
        </w:tc>
        <w:tc>
          <w:tcPr>
            <w:tcW w:w="88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w w:val="99"/>
              </w:rPr>
              <w:t>May 5,</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201" w:lineRule="exact"/>
              <w:rPr>
                <w:sz w:val="20"/>
                <w:szCs w:val="20"/>
                <w:color w:val="auto"/>
              </w:rPr>
            </w:pPr>
            <w:r>
              <w:rPr>
                <w:rFonts w:ascii="Arial" w:cs="Arial" w:eastAsia="Arial" w:hAnsi="Arial"/>
                <w:sz w:val="18"/>
                <w:szCs w:val="18"/>
                <w:color w:val="auto"/>
                <w:w w:val="92"/>
              </w:rPr>
              <w:t>May 4,</w:t>
            </w:r>
          </w:p>
        </w:tc>
        <w:tc>
          <w:tcPr>
            <w:tcW w:w="11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gridSpan w:val="4"/>
          </w:tcPr>
          <w:p>
            <w:pPr>
              <w:spacing w:after="0"/>
              <w:rPr>
                <w:sz w:val="20"/>
                <w:szCs w:val="20"/>
                <w:color w:val="auto"/>
              </w:rPr>
            </w:pPr>
            <w:r>
              <w:rPr>
                <w:rFonts w:ascii="Arial" w:cs="Arial" w:eastAsia="Arial" w:hAnsi="Arial"/>
                <w:sz w:val="18"/>
                <w:szCs w:val="18"/>
                <w:i w:val="1"/>
                <w:iCs w:val="1"/>
                <w:color w:val="auto"/>
              </w:rPr>
              <w:t>Basic</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number of shares of common stock</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41,098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43,418</w:t>
            </w:r>
          </w:p>
        </w:tc>
        <w:tc>
          <w:tcPr>
            <w:tcW w:w="0" w:type="dxa"/>
            <w:vAlign w:val="bottom"/>
          </w:tcPr>
          <w:p>
            <w:pPr>
              <w:spacing w:after="0"/>
              <w:rPr>
                <w:sz w:val="1"/>
                <w:szCs w:val="1"/>
                <w:color w:val="auto"/>
              </w:rPr>
            </w:pPr>
          </w:p>
        </w:tc>
      </w:tr>
      <w:tr>
        <w:trPr>
          <w:trHeight w:val="216"/>
        </w:trPr>
        <w:tc>
          <w:tcPr>
            <w:tcW w:w="6080" w:type="dxa"/>
            <w:vAlign w:val="bottom"/>
            <w:gridSpan w:val="4"/>
          </w:tcPr>
          <w:p>
            <w:pPr>
              <w:spacing w:after="0"/>
              <w:rPr>
                <w:sz w:val="20"/>
                <w:szCs w:val="20"/>
                <w:color w:val="auto"/>
              </w:rPr>
            </w:pPr>
            <w:r>
              <w:rPr>
                <w:rFonts w:ascii="Arial" w:cs="Arial" w:eastAsia="Arial" w:hAnsi="Arial"/>
                <w:sz w:val="18"/>
                <w:szCs w:val="18"/>
                <w:color w:val="auto"/>
              </w:rPr>
              <w:t>Assumed issuance of contingent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41,098</w:t>
            </w:r>
          </w:p>
        </w:tc>
        <w:tc>
          <w:tcPr>
            <w:tcW w:w="24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43,375</w:t>
            </w:r>
          </w:p>
        </w:tc>
        <w:tc>
          <w:tcPr>
            <w:tcW w:w="200" w:type="dxa"/>
            <w:vAlign w:val="bottom"/>
            <w:vMerge w:val="restart"/>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41,119</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43,494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gridSpan w:val="3"/>
            <w:shd w:val="clear" w:color="auto" w:fill="CCEEFF"/>
          </w:tcPr>
          <w:p>
            <w:pPr>
              <w:ind w:left="160"/>
              <w:spacing w:after="0" w:line="157" w:lineRule="exact"/>
              <w:rPr>
                <w:sz w:val="20"/>
                <w:szCs w:val="20"/>
                <w:color w:val="auto"/>
              </w:rPr>
            </w:pPr>
            <w:r>
              <w:rPr>
                <w:rFonts w:ascii="Arial" w:cs="Arial" w:eastAsia="Arial" w:hAnsi="Arial"/>
                <w:sz w:val="18"/>
                <w:szCs w:val="18"/>
                <w:color w:val="auto"/>
              </w:rPr>
              <w:t>contingent shares</w:t>
            </w:r>
          </w:p>
        </w:tc>
        <w:tc>
          <w:tcPr>
            <w:tcW w:w="11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60" w:type="dxa"/>
            <w:vAlign w:val="bottom"/>
            <w:tcBorders>
              <w:top w:val="single" w:sz="8" w:color="CCEEFF"/>
            </w:tcBorders>
            <w:gridSpan w:val="3"/>
          </w:tcPr>
          <w:p>
            <w:pPr>
              <w:spacing w:after="0" w:line="170" w:lineRule="exact"/>
              <w:rPr>
                <w:sz w:val="20"/>
                <w:szCs w:val="20"/>
                <w:color w:val="auto"/>
              </w:rPr>
            </w:pPr>
            <w:r>
              <w:rPr>
                <w:rFonts w:ascii="Arial" w:cs="Arial" w:eastAsia="Arial" w:hAnsi="Arial"/>
                <w:sz w:val="18"/>
                <w:szCs w:val="18"/>
                <w:i w:val="1"/>
                <w:iCs w:val="1"/>
                <w:color w:val="auto"/>
              </w:rPr>
              <w:t>Diluted</w:t>
            </w: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number of shares of common stock and assumed issuance of</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contingent shares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41,098</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43,375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43,494</w:t>
            </w:r>
          </w:p>
        </w:tc>
        <w:tc>
          <w:tcPr>
            <w:tcW w:w="0" w:type="dxa"/>
            <w:vAlign w:val="bottom"/>
          </w:tcPr>
          <w:p>
            <w:pPr>
              <w:spacing w:after="0"/>
              <w:rPr>
                <w:sz w:val="1"/>
                <w:szCs w:val="1"/>
                <w:color w:val="auto"/>
              </w:rPr>
            </w:pPr>
          </w:p>
        </w:tc>
      </w:tr>
      <w:tr>
        <w:trPr>
          <w:trHeight w:val="216"/>
        </w:trPr>
        <w:tc>
          <w:tcPr>
            <w:tcW w:w="608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1,155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number of shares of common stock, assumed issuance of</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42,253</w:t>
            </w:r>
          </w:p>
        </w:tc>
        <w:tc>
          <w:tcPr>
            <w:tcW w:w="24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44,957</w:t>
            </w:r>
          </w:p>
        </w:tc>
        <w:tc>
          <w:tcPr>
            <w:tcW w:w="200" w:type="dxa"/>
            <w:vAlign w:val="bottom"/>
            <w:vMerge w:val="restart"/>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42,255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gridSpan w:val="3"/>
            <w:shd w:val="clear" w:color="auto" w:fill="CCEEFF"/>
          </w:tcPr>
          <w:p>
            <w:pPr>
              <w:ind w:left="160"/>
              <w:spacing w:after="0" w:line="157" w:lineRule="exact"/>
              <w:rPr>
                <w:sz w:val="20"/>
                <w:szCs w:val="20"/>
                <w:color w:val="auto"/>
              </w:rPr>
            </w:pPr>
            <w:r>
              <w:rPr>
                <w:rFonts w:ascii="Arial" w:cs="Arial" w:eastAsia="Arial" w:hAnsi="Arial"/>
                <w:sz w:val="18"/>
                <w:szCs w:val="18"/>
                <w:color w:val="auto"/>
              </w:rPr>
              <w:t>contingent shares, and effect of dilutive securities</w:t>
            </w:r>
          </w:p>
        </w:tc>
        <w:tc>
          <w:tcPr>
            <w:tcW w:w="11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(Dollars in thousands)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140" w:type="dxa"/>
            <w:vAlign w:val="bottom"/>
            <w:gridSpan w:val="4"/>
          </w:tcPr>
          <w:p>
            <w:pPr>
              <w:spacing w:after="0" w:line="190" w:lineRule="exact"/>
              <w:rPr>
                <w:sz w:val="20"/>
                <w:szCs w:val="20"/>
                <w:color w:val="auto"/>
              </w:rPr>
            </w:pPr>
            <w:r>
              <w:rPr>
                <w:rFonts w:ascii="Arial" w:cs="Arial" w:eastAsia="Arial" w:hAnsi="Arial"/>
                <w:sz w:val="18"/>
                <w:szCs w:val="18"/>
                <w:color w:val="auto"/>
              </w:rPr>
              <w:t>Three months ended May 4, 2007</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line="190"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6"/>
                <w:szCs w:val="16"/>
                <w:color w:val="auto"/>
              </w:rPr>
            </w:pPr>
          </w:p>
        </w:tc>
        <w:tc>
          <w:tcPr>
            <w:tcW w:w="104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ind w:left="140"/>
              <w:spacing w:after="0" w:line="190"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447,857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228,204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2,514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(19,699)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4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Three months ended May 5, 2006</w:t>
            </w:r>
          </w:p>
        </w:tc>
        <w:tc>
          <w:tcPr>
            <w:tcW w:w="17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40"/>
              <w:spacing w:after="0" w:line="176" w:lineRule="exact"/>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439,098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210,293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9,613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659,004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Intersegment gross sales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Earnings (loss) before income taxes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104,177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18,136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20" w:type="dxa"/>
            <w:vAlign w:val="bottom"/>
            <w:gridSpan w:val="3"/>
          </w:tcPr>
          <w:p>
            <w:pPr>
              <w:spacing w:after="0" w:line="176" w:lineRule="exact"/>
              <w:rPr>
                <w:sz w:val="20"/>
                <w:szCs w:val="20"/>
                <w:color w:val="auto"/>
              </w:rPr>
            </w:pPr>
            <w:r>
              <w:rPr>
                <w:rFonts w:ascii="Arial" w:cs="Arial" w:eastAsia="Arial" w:hAnsi="Arial"/>
                <w:sz w:val="18"/>
                <w:szCs w:val="18"/>
                <w:color w:val="auto"/>
              </w:rPr>
              <w:t>Six months ended May 4, 2007</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5"/>
                <w:szCs w:val="15"/>
                <w:color w:val="auto"/>
              </w:rPr>
            </w:pPr>
          </w:p>
        </w:tc>
        <w:tc>
          <w:tcPr>
            <w:tcW w:w="1040" w:type="dxa"/>
            <w:vAlign w:val="bottom"/>
            <w:gridSpan w:val="2"/>
          </w:tcPr>
          <w:p>
            <w:pPr>
              <w:jc w:val="right"/>
              <w:ind w:right="500"/>
              <w:spacing w:after="0" w:line="176"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719,999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15,680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23,040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3,245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577,430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303,855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324,976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1,206,261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20" w:type="dxa"/>
            <w:vAlign w:val="bottom"/>
            <w:gridSpan w:val="3"/>
          </w:tcPr>
          <w:p>
            <w:pPr>
              <w:spacing w:after="0" w:line="176" w:lineRule="exact"/>
              <w:rPr>
                <w:sz w:val="20"/>
                <w:szCs w:val="20"/>
                <w:color w:val="auto"/>
              </w:rPr>
            </w:pPr>
            <w:r>
              <w:rPr>
                <w:rFonts w:ascii="Arial" w:cs="Arial" w:eastAsia="Arial" w:hAnsi="Arial"/>
                <w:sz w:val="18"/>
                <w:szCs w:val="18"/>
                <w:color w:val="auto"/>
              </w:rPr>
              <w:t>Six months ended May 5, 2006</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Professional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5"/>
                <w:szCs w:val="15"/>
                <w:color w:val="auto"/>
              </w:rPr>
            </w:pPr>
          </w:p>
        </w:tc>
        <w:tc>
          <w:tcPr>
            <w:tcW w:w="1040" w:type="dxa"/>
            <w:vAlign w:val="bottom"/>
            <w:gridSpan w:val="2"/>
          </w:tcPr>
          <w:p>
            <w:pPr>
              <w:jc w:val="right"/>
              <w:ind w:right="500"/>
              <w:spacing w:after="0" w:line="176"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692,703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318,478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Intersegment gross sales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4,187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(30,724)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545,760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288,270</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321,604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1,155,634</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40" w:type="dxa"/>
            <w:vAlign w:val="bottom"/>
          </w:tcPr>
          <w:p>
            <w:pPr>
              <w:jc w:val="right"/>
              <w:ind w:right="254"/>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02"/>
        </w:trPr>
        <w:tc>
          <w:tcPr>
            <w:tcW w:w="608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May 4,</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May 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color w:val="auto"/>
              </w:rPr>
              <w:t>May 5,</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(48,293)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(47,927)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Finance charge revenue</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corporate financing expense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(5,177)</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(9,420)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(21,360)</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(19,097)</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(48,411)</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(44,594)</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six months of fiscal 2007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Professional</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Residential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Segment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Segment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81,469</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May 4, 2007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71,045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10,620</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81,665</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Other Intangible Assets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Arial" w:cs="Arial" w:eastAsia="Arial" w:hAnsi="Arial"/>
                <w:sz w:val="18"/>
                <w:szCs w:val="18"/>
                <w:color w:val="auto"/>
                <w:w w:val="98"/>
              </w:rPr>
              <w:t>The components of other amortizable intangible assets were as follows: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May 4, 2007</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October 31, 2006</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460" w:type="dxa"/>
            <w:vAlign w:val="bottom"/>
          </w:tcPr>
          <w:p>
            <w:pPr>
              <w:spacing w:after="0"/>
              <w:rPr>
                <w:sz w:val="17"/>
                <w:szCs w:val="17"/>
                <w:color w:val="auto"/>
              </w:rPr>
            </w:pPr>
          </w:p>
        </w:tc>
        <w:tc>
          <w:tcPr>
            <w:tcW w:w="128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Gross Carrying</w:t>
            </w:r>
          </w:p>
        </w:tc>
        <w:tc>
          <w:tcPr>
            <w:tcW w:w="120" w:type="dxa"/>
            <w:vAlign w:val="bottom"/>
          </w:tcPr>
          <w:p>
            <w:pPr>
              <w:spacing w:after="0"/>
              <w:rPr>
                <w:sz w:val="17"/>
                <w:szCs w:val="17"/>
                <w:color w:val="auto"/>
              </w:rPr>
            </w:pPr>
          </w:p>
        </w:tc>
        <w:tc>
          <w:tcPr>
            <w:tcW w:w="11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9"/>
              </w:rPr>
              <w:t>Accumulated</w:t>
            </w:r>
          </w:p>
        </w:tc>
        <w:tc>
          <w:tcPr>
            <w:tcW w:w="200" w:type="dxa"/>
            <w:vAlign w:val="bottom"/>
          </w:tcPr>
          <w:p>
            <w:pPr>
              <w:spacing w:after="0"/>
              <w:rPr>
                <w:sz w:val="17"/>
                <w:szCs w:val="17"/>
                <w:color w:val="auto"/>
              </w:rPr>
            </w:pPr>
          </w:p>
        </w:tc>
        <w:tc>
          <w:tcPr>
            <w:tcW w:w="124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9"/>
              </w:rPr>
              <w:t>Gross Carrying</w:t>
            </w:r>
          </w:p>
        </w:tc>
        <w:tc>
          <w:tcPr>
            <w:tcW w:w="120" w:type="dxa"/>
            <w:vAlign w:val="bottom"/>
          </w:tcPr>
          <w:p>
            <w:pPr>
              <w:spacing w:after="0"/>
              <w:rPr>
                <w:sz w:val="17"/>
                <w:szCs w:val="17"/>
                <w:color w:val="auto"/>
              </w:rPr>
            </w:pPr>
          </w:p>
        </w:tc>
        <w:tc>
          <w:tcPr>
            <w:tcW w:w="114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6,553</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6,553</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(5,964)</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Non-compete agreements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(1,918)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12,112</w:t>
            </w:r>
          </w:p>
        </w:tc>
        <w:tc>
          <w:tcPr>
            <w:tcW w:w="620" w:type="dxa"/>
            <w:vAlign w:val="bottom"/>
            <w:gridSpan w:val="2"/>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(9,214)</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11,252</w:t>
            </w:r>
          </w:p>
        </w:tc>
        <w:tc>
          <w:tcPr>
            <w:tcW w:w="720" w:type="dxa"/>
            <w:vAlign w:val="bottom"/>
            <w:gridSpan w:val="2"/>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(8,698)</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intangible assets, net</w:t>
            </w:r>
          </w:p>
        </w:tc>
        <w:tc>
          <w:tcPr>
            <w:tcW w:w="64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Amortization expense for intangible assets during the first six months of fiscal 2007 was $504,000. Estimated amortization expense for the remainder of fiscal 2007 and succeeding fiscal years is as follows: 2007 (remainder), $524,000; 2008, $859,000; 2009, $515,000; 2010, $241,000; 2011, $175,000; 2012, $175,000 and after 2012, $409,000.</w:t>
      </w:r>
    </w:p>
    <w:p>
      <w:pPr>
        <w:ind w:left="220"/>
        <w:spacing w:after="0"/>
        <w:rPr>
          <w:sz w:val="20"/>
          <w:szCs w:val="20"/>
          <w:color w:val="auto"/>
        </w:rPr>
      </w:pPr>
      <w:r>
        <w:rPr>
          <w:rFonts w:ascii="Arial" w:cs="Arial" w:eastAsia="Arial" w:hAnsi="Arial"/>
          <w:sz w:val="18"/>
          <w:szCs w:val="18"/>
          <w:color w:val="auto"/>
        </w:rPr>
        <w:t>The company also has $2.8 million of non-amortizable intangible assets related to the Hayter brand name.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April 26, 2007, the company issued $125.0 million in aggregate principal amount of 6.625% senior notes due May 1, 2037. The notes were priced at 98.513% of par value, and the resulting discount of $1.9 million associated with the issuance of these notes is being amortized over the term of the notes using the effective interest rate method. The underwriting fee and direct debt issue costs totaling $1.5 million will be amortized over the life of the notes. Although the coupon rate of the notes is 6.625%, the effective interest rate is 6.741% after taking into account the issuance discount. Interest on the notes is payable semi-annually, on May 1 and November 1 of each year. The notes are unsecured senior obligations of the company and rank equally with the company’s other unsecured and unsubordinated indebtedness from time to time outstanding. The company may redeem some or all of the notes at any time at the greater of the full principal amount of the notes being redeemed, or the present value of the remaining scheduled payments of principal and interest discounted to the redemption date on a semi-annual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180"/>
        <w:spacing w:after="0" w:line="342" w:lineRule="auto"/>
        <w:rPr>
          <w:sz w:val="20"/>
          <w:szCs w:val="20"/>
          <w:color w:val="auto"/>
        </w:rPr>
      </w:pPr>
      <w:r>
        <w:rPr>
          <w:rFonts w:ascii="Arial" w:cs="Arial" w:eastAsia="Arial" w:hAnsi="Arial"/>
          <w:sz w:val="16"/>
          <w:szCs w:val="16"/>
          <w:color w:val="auto"/>
        </w:rPr>
        <w:t>basis at the treasury rate plus 30 basis points, plus, in both cases, accrued and unpaid interest. The company intends to use the proceeds from the issuance of the notes to pay at maturity $75.0 million outstanding principal amount of 7.125% notes due June 15, 2007 as well as for general corporate uses.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ranges from a period of six months to seven 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Warranty provisions, claims, and changes in estimates for the first six-month periods in fiscal 2007 and 2006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Beginning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Warranty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Warranty</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Changes in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Ending</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Provisions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Claims</w:t>
            </w: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Estimates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May 4, 2007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65,235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26,061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May 5, 2006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61,385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70,040</w:t>
            </w:r>
          </w:p>
        </w:tc>
        <w:tc>
          <w:tcPr>
            <w:tcW w:w="0" w:type="dxa"/>
            <w:vAlign w:val="bottom"/>
          </w:tcPr>
          <w:p>
            <w:pPr>
              <w:spacing w:after="0"/>
              <w:rPr>
                <w:sz w:val="1"/>
                <w:szCs w:val="1"/>
                <w:color w:val="auto"/>
              </w:rPr>
            </w:pPr>
          </w:p>
        </w:tc>
      </w:tr>
      <w:tr>
        <w:trPr>
          <w:trHeight w:val="459"/>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 Plans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gridSpan w:val="6"/>
          </w:tcPr>
          <w:p>
            <w:pPr>
              <w:spacing w:after="0"/>
              <w:rPr>
                <w:sz w:val="20"/>
                <w:szCs w:val="20"/>
                <w:color w:val="auto"/>
              </w:rPr>
            </w:pPr>
            <w:r>
              <w:rPr>
                <w:rFonts w:ascii="Arial" w:cs="Arial" w:eastAsia="Arial" w:hAnsi="Arial"/>
                <w:sz w:val="18"/>
                <w:szCs w:val="18"/>
                <w:color w:val="auto"/>
              </w:rPr>
              <w:t>The following table presents the components of net periodic benefit costs: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46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80"/>
              <w:spacing w:after="0" w:line="201" w:lineRule="exact"/>
              <w:rPr>
                <w:sz w:val="20"/>
                <w:szCs w:val="20"/>
                <w:color w:val="auto"/>
              </w:rPr>
            </w:pPr>
            <w:r>
              <w:rPr>
                <w:rFonts w:ascii="Arial" w:cs="Arial" w:eastAsia="Arial" w:hAnsi="Arial"/>
                <w:sz w:val="18"/>
                <w:szCs w:val="18"/>
                <w:color w:val="auto"/>
              </w:rPr>
              <w:t>May 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6"/>
              </w:rPr>
              <w:t>May 5,</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2"/>
              </w:rPr>
              <w:t>May 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6"/>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Amortization of losses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expense</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40" w:type="dxa"/>
            <w:vAlign w:val="bottom"/>
            <w:tcBorders>
              <w:left w:val="single" w:sz="8" w:color="CCEEFF"/>
            </w:tcBorders>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448</w:t>
            </w:r>
          </w:p>
        </w:tc>
        <w:tc>
          <w:tcPr>
            <w:tcW w:w="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60"/>
        <w:spacing w:after="0" w:line="258" w:lineRule="auto"/>
        <w:rPr>
          <w:sz w:val="20"/>
          <w:szCs w:val="20"/>
          <w:color w:val="auto"/>
        </w:rPr>
      </w:pPr>
      <w:r>
        <w:rPr>
          <w:rFonts w:ascii="Arial" w:cs="Arial" w:eastAsia="Arial" w:hAnsi="Arial"/>
          <w:sz w:val="18"/>
          <w:szCs w:val="18"/>
          <w:color w:val="auto"/>
        </w:rPr>
        <w:t>As of May 4, 2007, approximately $250,000 of contributions had been made. The company presently expects to contribute a total of $500,000 to its postretirement health-care benefit plan in fiscal 2007, including contributions made through May 4, 2007.</w:t>
      </w:r>
    </w:p>
    <w:p>
      <w:pPr>
        <w:spacing w:after="0" w:line="1" w:lineRule="exact"/>
        <w:rPr>
          <w:sz w:val="20"/>
          <w:szCs w:val="20"/>
          <w:color w:val="auto"/>
        </w:rPr>
      </w:pPr>
    </w:p>
    <w:p>
      <w:pPr>
        <w:ind w:right="220" w:firstLine="222"/>
        <w:spacing w:after="0" w:line="250" w:lineRule="auto"/>
        <w:rPr>
          <w:sz w:val="20"/>
          <w:szCs w:val="20"/>
          <w:color w:val="auto"/>
        </w:rPr>
      </w:pPr>
      <w:r>
        <w:rPr>
          <w:rFonts w:ascii="Arial" w:cs="Arial" w:eastAsia="Arial" w:hAnsi="Arial"/>
          <w:sz w:val="18"/>
          <w:szCs w:val="18"/>
          <w:color w:val="auto"/>
        </w:rPr>
        <w:t>The company maintains The Toro Company Investment, Savings and Employee Stock Ownership Plan for eligible employees. The company’s expenses under this plan were $4.2 million and $9.9 million for the second quarter and year-to-date periods in fiscal 2007, respectively, and $4.2 million and $8.3 million for the second quarter and year-to-date periods in fiscal 2006, respectively.</w:t>
      </w:r>
    </w:p>
    <w:p>
      <w:pPr>
        <w:spacing w:after="0" w:line="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which amounted to $18 million. The fair value of the investment in the deferred compensation plans as of May 4, 2007 was $18.5 million, which reduced the company’s deferred compensation liability reflected in accrued liabilities on the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uses derivative instruments to assist in the management of exposure to currency exchange and interest rates. The company uses derivative instruments only to limit underlying exposure to currency and interest rate fluctuations, and not for trading purposes. The company documents relationships between hedging instruments and the hedged items, as well as its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180"/>
        <w:spacing w:after="0" w:line="291" w:lineRule="auto"/>
        <w:rPr>
          <w:sz w:val="20"/>
          <w:szCs w:val="20"/>
          <w:color w:val="auto"/>
        </w:rPr>
      </w:pPr>
      <w:r>
        <w:rPr>
          <w:rFonts w:ascii="Arial" w:cs="Arial" w:eastAsia="Arial" w:hAnsi="Arial"/>
          <w:sz w:val="16"/>
          <w:szCs w:val="16"/>
          <w:color w:val="auto"/>
        </w:rPr>
        <w:t>risk-management objective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ind w:firstLine="222"/>
        <w:spacing w:after="0" w:line="281"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settlements in local currencies of trade sales and purchases. These contracts are designated as cash flow hedges and are reported at fair value as a hedge asset or liability in prepaid expenses or accrued liabilities, as applicable. Changes in the fair value of these contracts are reported in accumulated other comprehensive loss until the hedged transaction occurs. Once the forecasted transaction has been recognized as a sale or inventory purchase and a related asset or liability recorded in the balance sheet, the related fair value of the derivative hedge contract is reclassified from accumulated other comprehensive loss into earnings. During the three and six months ended May 4, 2007, the amount of losses reclassified to earnings for such cash flow hedges was $0.1 million and $0.2 million, respectively. For the six months ended May 4, 2007, the losses treated as a reduction to net sales for contracts to hedge trade sales were $0.6 million and the gains treated as a reduction of cost of sales for contracts to hedge inventory purchases were $0.4 million. As of May 4, 2007, the notional amount of such contracts outstanding was $38.8 million. The unrecognized after-tax loss portion of the fair value of the contracts recorded in accumulated other comprehensive loss as of May 4, 2007 was $0.8 million.</w:t>
      </w:r>
    </w:p>
    <w:p>
      <w:pPr>
        <w:spacing w:after="0" w:line="6" w:lineRule="exact"/>
        <w:rPr>
          <w:sz w:val="20"/>
          <w:szCs w:val="20"/>
          <w:color w:val="auto"/>
        </w:rPr>
      </w:pPr>
    </w:p>
    <w:p>
      <w:pPr>
        <w:ind w:right="220" w:firstLine="222"/>
        <w:spacing w:after="0" w:line="250" w:lineRule="auto"/>
        <w:rPr>
          <w:sz w:val="20"/>
          <w:szCs w:val="20"/>
          <w:color w:val="auto"/>
        </w:rPr>
      </w:pPr>
      <w:r>
        <w:rPr>
          <w:rFonts w:ascii="Arial" w:cs="Arial" w:eastAsia="Arial" w:hAnsi="Arial"/>
          <w:sz w:val="18"/>
          <w:szCs w:val="18"/>
          <w:color w:val="auto"/>
        </w:rPr>
        <w:t>The company also enters into other foreign currency exchange contracts. These contracts are intended to hedge intercompany financing transactions and other activities and are not designed as hedging instruments under the accounting criteria of SFAS No. 133; therefore, changes in fair value of these instruments are recorded in other income, net.</w:t>
      </w:r>
    </w:p>
    <w:p>
      <w:pPr>
        <w:spacing w:after="0" w:line="1" w:lineRule="exact"/>
        <w:rPr>
          <w:sz w:val="20"/>
          <w:szCs w:val="20"/>
          <w:color w:val="auto"/>
        </w:rPr>
      </w:pPr>
    </w:p>
    <w:p>
      <w:pPr>
        <w:ind w:right="120" w:firstLine="225"/>
        <w:spacing w:after="0" w:line="252"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 million for two of the agreements and $40 million for the third agreement. These treasury lock agreements were entered into as hedges against changes in market interest rates in anticipation of our April 2007 note offering and provided for a single payment at their maturity, which was April 23, 2007, based on the change in value of the reference treasury security. These agreements were designated as cash flow hedges and resulted in a net settlement of $0.2 million. This loss is recorded in accumulated other comprehensive loss, which will be amortized to interest expense over the 30 year term of the debt.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 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13" w:lineRule="exact"/>
        <w:rPr>
          <w:sz w:val="20"/>
          <w:szCs w:val="20"/>
          <w:color w:val="auto"/>
        </w:rPr>
      </w:pPr>
    </w:p>
    <w:p>
      <w:pPr>
        <w:ind w:right="20" w:firstLine="90"/>
        <w:spacing w:after="0" w:line="270" w:lineRule="auto"/>
        <w:rPr>
          <w:sz w:val="20"/>
          <w:szCs w:val="20"/>
          <w:color w:val="auto"/>
        </w:rPr>
      </w:pPr>
      <w:r>
        <w:rPr>
          <w:rFonts w:ascii="Arial" w:cs="Arial" w:eastAsia="Arial" w:hAnsi="Arial"/>
          <w:sz w:val="17"/>
          <w:szCs w:val="17"/>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United States Patent and Trademark Office (USPTO) to have Textron’s patents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240"/>
        <w:spacing w:after="0" w:line="268" w:lineRule="auto"/>
        <w:rPr>
          <w:sz w:val="20"/>
          <w:szCs w:val="20"/>
          <w:color w:val="auto"/>
        </w:rPr>
      </w:pPr>
      <w:r>
        <w:rPr>
          <w:rFonts w:ascii="Arial" w:cs="Arial" w:eastAsia="Arial" w:hAnsi="Arial"/>
          <w:sz w:val="17"/>
          <w:szCs w:val="17"/>
          <w:color w:val="auto"/>
        </w:rPr>
        <w:t>reexamined. Our reexamination requests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3" w:lineRule="exact"/>
        <w:rPr>
          <w:sz w:val="20"/>
          <w:szCs w:val="20"/>
          <w:color w:val="auto"/>
        </w:rPr>
      </w:pPr>
    </w:p>
    <w:p>
      <w:pPr>
        <w:ind w:right="220" w:firstLine="225"/>
        <w:spacing w:after="0" w:line="273" w:lineRule="auto"/>
        <w:rPr>
          <w:sz w:val="20"/>
          <w:szCs w:val="20"/>
          <w:color w:val="auto"/>
        </w:rPr>
      </w:pPr>
      <w:r>
        <w:rPr>
          <w:rFonts w:ascii="Arial" w:cs="Arial" w:eastAsia="Arial" w:hAnsi="Arial"/>
          <w:sz w:val="17"/>
          <w:szCs w:val="17"/>
          <w:color w:val="auto"/>
        </w:rPr>
        <w:t>In the ordinary course of business, in addition to that described above, the company may become liable with respect to pending and threatened litigation for product liability, tax, patent, environmental, and other matters. While the ultimate results of current claims, investigations, and lawsuits involving the company are unknown at this time, management believes that, except for the lawsuits discussed above, the outcomes of these cases are unlikely to have a material adverse effect on the consolidated operating results, liquidity, or financial position of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2. MANAGEMENT'S DISCUSSION AND ANALYSIS OF FINANCIAL CONDITION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and services, turf and agricultural irrigation systems, landscaping equipment, and residential yard products worldwide. We sell our products through a network of distributors, dealers, hardware retailers, home centers, mass retailers, and over the Internet, mainly through Internet retailers. Our businesses are organized into two segments: professional and residential. A third segment called “other” consists of domestic distribution companies and corporate activities. Our emphasis is to provide well-built, dependable, and innovative products supported by an extensive service network. A significant portion of our revenues has historically been attributable to new and enhanced products. As part of our “GrowLean” initiative, we are focusing our efforts on revenue growth, profit improvement, and asset management, while maximizing our use of Lean methods to reduce costs and improve quality and efficiency in our manufacturing facilities and corporate offices. The goals of this initiative are to grow revenues at an average annual rate of 8 percent or more and achieve a consistent after-tax annual return on net sales of 7 percent or more over the three-year period ending October 31, 2009. We have added a long-term asset management goal to reduce average net working capital as a percent of net sales below 20 percent, or in the “teens.” We define average net working capital as accounts receivable plus inventory less trade payables.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results for the second quarter of fiscal 2007 were positive with a net sales growth of 4.2 percent and a net earnings growth rate of 7.0 percent compared to the second quarter of fiscal 2006. Year-to-date net earnings rose 10.7 percent in fiscal 2007 compared to the same period last fiscal year on a year-to-date sales growth rate of 3.6 percent. Continued strong international performance contributed to the sales increase along with strong shipments of new residential segment products, which more than offset a decline in sales of landscape contractor equipment products. International sales continued its growth momentum with an increase of 12.2 percent and 11.5 percent for the second quarter and year-to-date period of fiscal 2007, respectively, compared to the same periods last fiscal year. Net earnings as a percentage of net sales rose from 8.8 percent and 8.2 percent in the second quarter and year-to-date period of fiscal 2006, respectively, to 10.9 percent and 10.6 percent in the second quarter and year-to-date period of fiscal 2007, respectively. Higher gross margins and leveraging of selling, general, and administrative expenses contributed to the earnings improvement while a higher effective tax rate and increase in interest expense somewhat hampered the earnings growth rate. We also increased our second quarter cash dividend by 33 percent compared to the quarterly cash dividend paid in the second quarter of fiscal 2006.</w:t>
      </w:r>
    </w:p>
    <w:p>
      <w:pPr>
        <w:spacing w:after="0" w:line="1" w:lineRule="exact"/>
        <w:rPr>
          <w:sz w:val="20"/>
          <w:szCs w:val="20"/>
          <w:color w:val="auto"/>
        </w:rPr>
      </w:pPr>
    </w:p>
    <w:p>
      <w:pPr>
        <w:ind w:right="160" w:firstLine="225"/>
        <w:spacing w:after="0" w:line="250" w:lineRule="auto"/>
        <w:rPr>
          <w:sz w:val="20"/>
          <w:szCs w:val="20"/>
          <w:color w:val="auto"/>
        </w:rPr>
      </w:pPr>
      <w:r>
        <w:rPr>
          <w:rFonts w:ascii="Arial" w:cs="Arial" w:eastAsia="Arial" w:hAnsi="Arial"/>
          <w:sz w:val="18"/>
          <w:szCs w:val="18"/>
          <w:color w:val="auto"/>
        </w:rPr>
        <w:t>In April 2007, we issued $125 million in aggregate principal amount of 6.625% senior notes due in 2037. The proceeds will be used to retire $75 million in debt due in June 2007 and for general corporate purposes.</w:t>
      </w:r>
    </w:p>
    <w:p>
      <w:pPr>
        <w:spacing w:after="0" w:line="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7"/>
          <w:szCs w:val="17"/>
          <w:color w:val="auto"/>
        </w:rPr>
        <w:t>Our fiscal 2007 second quarter financial results were solid, and we are optimistic that our results for the full fiscal year of 2007 will end strong. We continue to keep a cautionary eye on the weather, field inventory levels, retail demand, world economies, commodity prices, competitive actions, and other factors identified below under the heading “Forward-Looking Information,” which could cause our actual results to differ from our outlook.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Net Earnings</w:t>
      </w:r>
    </w:p>
    <w:p>
      <w:pPr>
        <w:spacing w:after="0" w:line="25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Net earnings for the second quarter of fiscal 2007 were $75.0 million or $1.77 per diluted share compared to $70.1 million or $1.56 per diluted share for the second quarter of fiscal 2006, a net earnings per diluted share increase of 13.5 percent. Year-to-date net earnings in fiscal 2007 were $93.4 million or $2.21 per diluted share compared to $84.4 million or $1.87 per diluted share last fiscal year, a net earnings per diluted share increase of 18.2 percent. The primary factors contributing to these increases were higher sales volumes, an increase in gross margins, and leveraging of selling, general, and administrative costs, somewhat offset by a higher effective tax rate and an increase in interest expense. In addition, second quarter and year-to-date fiscal 2007 net earnings per diluted share were benefited by approximately $0.10 per share and $0.13 per share, respectively, compared to the same periods in fiscal 2006 as a result of reduced shares outstanding due to the repurchase of our common stock.</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780" w:type="dxa"/>
            <w:vAlign w:val="bottom"/>
            <w:gridSpan w:val="4"/>
          </w:tcPr>
          <w:p>
            <w:pPr>
              <w:jc w:val="right"/>
              <w:ind w:right="760"/>
              <w:spacing w:after="0"/>
              <w:rPr>
                <w:sz w:val="20"/>
                <w:szCs w:val="20"/>
                <w:color w:val="auto"/>
              </w:rPr>
            </w:pPr>
            <w:r>
              <w:rPr>
                <w:rFonts w:ascii="Arial" w:cs="Arial" w:eastAsia="Arial" w:hAnsi="Arial"/>
                <w:sz w:val="18"/>
                <w:szCs w:val="18"/>
                <w:color w:val="auto"/>
              </w:rPr>
              <w:t>Three Months Ended</w:t>
            </w:r>
          </w:p>
        </w:tc>
        <w:tc>
          <w:tcPr>
            <w:tcW w:w="2680" w:type="dxa"/>
            <w:vAlign w:val="bottom"/>
            <w:gridSpan w:val="4"/>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201" w:lineRule="exact"/>
              <w:rPr>
                <w:sz w:val="20"/>
                <w:szCs w:val="20"/>
                <w:color w:val="auto"/>
              </w:rPr>
            </w:pPr>
            <w:r>
              <w:rPr>
                <w:rFonts w:ascii="Arial" w:cs="Arial" w:eastAsia="Arial" w:hAnsi="Arial"/>
                <w:sz w:val="18"/>
                <w:szCs w:val="18"/>
                <w:color w:val="auto"/>
                <w:w w:val="96"/>
              </w:rPr>
              <w:t>May 4,</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May 5,</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2"/>
              </w:rPr>
              <w:t>May 4,</w:t>
            </w:r>
          </w:p>
        </w:tc>
        <w:tc>
          <w:tcPr>
            <w:tcW w:w="112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color w:val="auto"/>
              </w:rPr>
              <w:t>May 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(64.4)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(63.9)</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net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gridSpan w:val="2"/>
          </w:tcPr>
          <w:p>
            <w:pPr>
              <w:spacing w:after="0" w:line="196" w:lineRule="exact"/>
              <w:rPr>
                <w:sz w:val="20"/>
                <w:szCs w:val="20"/>
                <w:color w:val="auto"/>
              </w:rPr>
            </w:pPr>
            <w:r>
              <w:rPr>
                <w:rFonts w:ascii="Arial" w:cs="Arial" w:eastAsia="Arial" w:hAnsi="Arial"/>
                <w:sz w:val="18"/>
                <w:szCs w:val="18"/>
                <w:color w:val="auto"/>
              </w:rPr>
              <w:t>Net earnings</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10.9%</w:t>
            </w:r>
          </w:p>
        </w:tc>
        <w:tc>
          <w:tcPr>
            <w:tcW w:w="1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10.6%</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8.8%</w:t>
            </w:r>
          </w:p>
        </w:tc>
        <w:tc>
          <w:tcPr>
            <w:tcW w:w="1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Worldwide consolidated net sales for the second quarter and year-to-date period of fiscal 2007 were up 4.2 percent and 3.6 percent, respectively, from the same periods in the prior fiscal year. Favorable currency exchange rates accounted for approximately 29 percent and 37 percent of the sales growth for the second quarter and year-to-date period of fiscal 2007, respectively. Disregarding currency exchange effects, international sales for the second quarter and year-to-date period of fiscal 2007 increased 7.5 percent and 6.7 percent, respectively, compared to the same periods in fiscal 2006. Professional segment products worldwide were strong as a result of continued demand in international markets, particularly in the golf market, and the successful introduction of new products. Residential segment net sales were also up for the second quarter and year-to-date periods of fiscal 2007 compared to the same periods in fiscal 2006 as a result of the introduction of our new innovative riding and walk power mower products. However, the year-to-date results were somewhat hampered by lower snow thrower product sales due to the lack of snowfall during the winter season of 2006-2007 in key markets. In addition, worldwide sales of landscape contractor equipment products were down for the second quarter and year-to-date periods of fiscal 2007 compared to the same periods last fiscal year due mainly to our customers’ efforts to reduce field inventory levels by ordering product closer to retail demand. Other segment net sales were up for the second quarter of fiscal 2007 compared to the second quarter of fiscal 2006 but were down for the year-to-date period of fiscal 2007 compared to the year-to-date period of fiscal 2006 due to lower sales at a company-owned distributorship.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profit for the second quarter and year-to-date period of fiscal 2007 increased 6.3 percent compared to the same respective periods in the prior fiscal year due to increased sales. As a percentage of net sales, gross profit for the second quarter and year-to-date period of fiscal 2007 increased to 35.6 percent and</w:t>
      </w:r>
    </w:p>
    <w:p>
      <w:pPr>
        <w:ind w:right="80"/>
        <w:spacing w:after="0" w:line="281" w:lineRule="auto"/>
        <w:rPr>
          <w:sz w:val="20"/>
          <w:szCs w:val="20"/>
          <w:color w:val="auto"/>
        </w:rPr>
      </w:pPr>
      <w:r>
        <w:rPr>
          <w:rFonts w:ascii="Arial" w:cs="Arial" w:eastAsia="Arial" w:hAnsi="Arial"/>
          <w:sz w:val="16"/>
          <w:szCs w:val="16"/>
          <w:color w:val="auto"/>
        </w:rPr>
        <w:t>36.1 percent, respectively, compared to 34.9 percent and 35.2 percent for the second quarter and year-to-date period of fiscal 2006, respectively. The increase in gross profit as a percentage of net sales was the result of the following factors: (i) increased sales of higher-margin products; (ii) cost reduction efforts, including benefits from past and continuing profit improvement initiatives; (iii) favorable foreign currency exchange rates compared to the U.S. dollar; and</w:t>
      </w:r>
    </w:p>
    <w:p>
      <w:pPr>
        <w:spacing w:after="0" w:line="2" w:lineRule="exact"/>
        <w:rPr>
          <w:sz w:val="20"/>
          <w:szCs w:val="20"/>
          <w:color w:val="auto"/>
        </w:rPr>
      </w:pPr>
    </w:p>
    <w:p>
      <w:pPr>
        <w:ind w:right="420" w:firstLine="8"/>
        <w:spacing w:after="0" w:line="261"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increases on some products. Somewhat offsetting those positive factors were: (i) higher manufacturing costs from lower plant utilization as we curtailed production levels in an effort to lower inventory levels and (ii) higher commodity costs.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5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Selling, general, and administrative expense (SG&amp;A) increased for the second quarter and year-to-date period of fiscal 2007 by 1.2 percent and 2.9 percent, respectively, from the same periods in the prior fiscal year. SG&amp;A as a percentage of net sales for the second quarter and year-to-date period of fiscal 2007 decreased to 18.3 percent and 22.3 percent, respectively, compared to 18.9 percent and 22.5 percent for the second quarter and year-to-date period of fiscal 2006, respectively. The decrease in SG&amp;A expense as a percentage of net sales was due primarily to lower spending for marketing, leveraging the fixed portion of SG&amp;A costs over higher sales volumes, and a decline in warranty expense due to the reversal of a special warranty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Interest expense for the second quarter and year-to-date period of fiscal 2007 increased by 11.8 percent and 9.1 percent, respectively, from the same periods in the prior fiscal year. These increases were due primarily to higher average short-term debt levels and slightly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5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Other income, net for the second quarter of fiscal 2007 decreased $1.0 million compared to the second quarter of fiscal 2006. This decline was due mainly to a litigation settlement recovery we received last fiscal year. Other income, net for the year-to-date period of fiscal 2007 was up $0.5 million compared to the same period last fiscal year. This increase was due mainly to higher interest income and lower losses on investments in fiscal 2007 compared to fiscal 2006, somewhat offset by the litigation settlement recovery we received last fiscal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5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effective tax rate for the second quarter of fiscal 2007 was 34.6 percent compared to 32.1 percent in the second quarter of fiscal 2006. The effective tax rate for the year-to-date period of fiscal 2007 was 33.4 percent compared to 32.3 percent for the same period in the prior fiscal year. The increase in the effective tax rate was due to the accelerated phase-out of benefits for foreign export incentives as compared to the phase-in benefit for the domestic manufacturing credit as well as a favorable resolution of tax matters from prior years’ tax returns that we received last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SEGMENTS</w:t>
      </w:r>
    </w:p>
    <w:p>
      <w:pPr>
        <w:spacing w:after="0" w:line="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described previously, we operate in two reportable business segments: professional and residential. A third reportable segment called “other” consists of company-owned distributorships in the United States,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The following table summarizes net sales by segment: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7"/>
                <w:szCs w:val="17"/>
                <w:color w:val="auto"/>
              </w:rPr>
            </w:pPr>
          </w:p>
        </w:tc>
        <w:tc>
          <w:tcPr>
            <w:tcW w:w="106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6"/>
              </w:rPr>
              <w:t>May 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line="201" w:lineRule="exact"/>
              <w:rPr>
                <w:sz w:val="20"/>
                <w:szCs w:val="20"/>
                <w:color w:val="auto"/>
              </w:rPr>
            </w:pPr>
            <w:r>
              <w:rPr>
                <w:rFonts w:ascii="Arial" w:cs="Arial" w:eastAsia="Arial" w:hAnsi="Arial"/>
                <w:sz w:val="18"/>
                <w:szCs w:val="18"/>
                <w:color w:val="auto"/>
                <w:w w:val="92"/>
              </w:rPr>
              <w:t>May 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439,098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210,293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17,911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686,653</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659,004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27,649</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4.2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 Includes international sales of:</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188,861</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168,290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20,571</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12.2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1"/>
              </w:rPr>
              <w:t>Six Months Ended</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6"/>
              </w:rPr>
              <w:t>May 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2"/>
              </w:rPr>
              <w:t>May 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692,703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27,296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330,062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318,478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11,584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1,065,741</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1,028,644</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37,097</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3.6</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196" w:lineRule="exact"/>
              <w:rPr>
                <w:sz w:val="20"/>
                <w:szCs w:val="20"/>
                <w:color w:val="auto"/>
              </w:rPr>
            </w:pPr>
            <w:r>
              <w:rPr>
                <w:rFonts w:ascii="Arial" w:cs="Arial" w:eastAsia="Arial" w:hAnsi="Arial"/>
                <w:sz w:val="18"/>
                <w:szCs w:val="18"/>
                <w:color w:val="auto"/>
              </w:rPr>
              <w:t>* Includes international sales of:</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321,474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288,349</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33,125</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11.5</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20" w:type="dxa"/>
            <w:vAlign w:val="bottom"/>
            <w:gridSpan w:val="4"/>
          </w:tcPr>
          <w:p>
            <w:pPr>
              <w:ind w:left="200"/>
              <w:spacing w:after="0"/>
              <w:rPr>
                <w:sz w:val="20"/>
                <w:szCs w:val="20"/>
                <w:color w:val="auto"/>
              </w:rPr>
            </w:pPr>
            <w:r>
              <w:rPr>
                <w:rFonts w:ascii="Arial" w:cs="Arial" w:eastAsia="Arial" w:hAnsi="Arial"/>
                <w:sz w:val="18"/>
                <w:szCs w:val="18"/>
                <w:color w:val="auto"/>
                <w:w w:val="97"/>
              </w:rPr>
              <w:t>The following table summarizes operating earnings (loss) before income taxes by segment: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vMerge w:val="restart"/>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7"/>
                <w:szCs w:val="17"/>
                <w:color w:val="auto"/>
              </w:rPr>
            </w:pPr>
          </w:p>
        </w:tc>
        <w:tc>
          <w:tcPr>
            <w:tcW w:w="106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6"/>
              </w:rPr>
              <w:t>May 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20"/>
              <w:spacing w:after="0" w:line="201" w:lineRule="exact"/>
              <w:rPr>
                <w:sz w:val="20"/>
                <w:szCs w:val="20"/>
                <w:color w:val="auto"/>
              </w:rPr>
            </w:pPr>
            <w:r>
              <w:rPr>
                <w:rFonts w:ascii="Arial" w:cs="Arial" w:eastAsia="Arial" w:hAnsi="Arial"/>
                <w:sz w:val="18"/>
                <w:szCs w:val="18"/>
                <w:color w:val="auto"/>
                <w:w w:val="92"/>
              </w:rPr>
              <w:t>May 5,</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108,490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104,177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9,294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(2,263)</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114,560</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103,216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11,344</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11.0</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500" w:type="dxa"/>
            <w:vAlign w:val="bottom"/>
            <w:gridSpan w:val="5"/>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color w:val="auto"/>
                <w:w w:val="91"/>
              </w:rPr>
              <w:t>Six Months Ended</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(Dollars in thousands)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6"/>
              </w:rPr>
              <w:t>May 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2"/>
              </w:rPr>
              <w:t>May 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145,837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23,285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8,524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Total *</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140,248</w:t>
            </w:r>
          </w:p>
        </w:tc>
        <w:tc>
          <w:tcPr>
            <w:tcW w:w="140" w:type="dxa"/>
            <w:vAlign w:val="bottom"/>
          </w:tcPr>
          <w:p>
            <w:pPr>
              <w:spacing w:after="0"/>
              <w:rPr>
                <w:sz w:val="18"/>
                <w:szCs w:val="18"/>
                <w:color w:val="auto"/>
              </w:rPr>
            </w:pPr>
          </w:p>
        </w:tc>
        <w:tc>
          <w:tcPr>
            <w:tcW w:w="2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124,528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15,720</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12.6</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and year-to-date period of fiscal 2007 were up 2.0 percent and 3.9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fiscal year. This increase was due primarily to strong international professional segment net sales, which were up 11.5 percent and 14.9 percent in the second quarter and year-to-date period of fiscal 2007, respectively, compared to the same periods last fiscal year due to continued demand and growth in international markets, particularly in the golf market, and the success of new products introduced within the past two years. Domestic sales of most professional segment products were also up due mainly to the introduction of new products and strong early season stocking orders from our customers in anticipation of strong retail demand during fiscal 2007. This resulted in higher field inventory levels for some product lines in this segment as of the end of the second quarter of fiscal 2007 compared to the end of the second quarter of fiscal 2006. However, worldwide sales of landscape contractor equipment were down for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ind w:right="560"/>
        <w:spacing w:after="0" w:line="277" w:lineRule="auto"/>
        <w:rPr>
          <w:sz w:val="20"/>
          <w:szCs w:val="20"/>
          <w:color w:val="auto"/>
        </w:rPr>
      </w:pPr>
      <w:r>
        <w:rPr>
          <w:rFonts w:ascii="Arial" w:cs="Arial" w:eastAsia="Arial" w:hAnsi="Arial"/>
          <w:sz w:val="18"/>
          <w:szCs w:val="18"/>
          <w:color w:val="auto"/>
        </w:rPr>
        <w:t>second quarter and year-to-date period of fiscal 2007 compared to the same periods last fiscal year due mainly to our customers’ efforts to reduce field inventory levels by ordering product closer to retail demand.</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 of fiscal 2007 increased 4.1 percent and</w:t>
      </w:r>
      <w:r>
        <w:rPr>
          <w:rFonts w:ascii="Arial" w:cs="Arial" w:eastAsia="Arial" w:hAnsi="Arial"/>
          <w:sz w:val="16"/>
          <w:szCs w:val="16"/>
          <w:i w:val="1"/>
          <w:iCs w:val="1"/>
          <w:color w:val="auto"/>
        </w:rPr>
        <w:t xml:space="preserve"> </w:t>
      </w:r>
      <w:r>
        <w:rPr>
          <w:rFonts w:ascii="Arial" w:cs="Arial" w:eastAsia="Arial" w:hAnsi="Arial"/>
          <w:sz w:val="16"/>
          <w:szCs w:val="16"/>
          <w:color w:val="auto"/>
        </w:rPr>
        <w:t>7.6 percent, respectively, compared to the same periods last fiscal year. Expressed as a percentage of net sales, professional segment operating margins increased to 24.2 percent compared to 23.7 percent in the second quarter of fiscal 2006, and the fiscal 2007 year-to-date professional segment operating margins increased to 21.8 percent compared to 21.1 percent last fiscal year. This profit improvement was the result of higher gross margins in the fiscal 2007 periods compared to the fiscal 2006 periods due to the same factors discussed previously in the Gross Profit section above. However, higher SG&amp;A expense as a percentage of net sales hampered the operating earnings growth, which was due mainly to increased warranty expense and engineering spending.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56"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and year-to-date period of fiscal 2007 were up 8.5 percent and 3.6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fiscal year. This increase was due primarily to strong worldwide demand for our new generation zero-turn radius riding mowers and the successful introduction of a new line of walk power mowers that resulted in strong early season retail demand. However, net sales growth for the year-to-date period of fiscal 2007 compared to the same period last fiscal year was not as strong because shipments of snow thrower products were down due to the lack of snowfall during the winter season of 2006-2007 in key markets.</w:t>
      </w:r>
    </w:p>
    <w:p>
      <w:pPr>
        <w:spacing w:after="0" w:line="200"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residential segment in the second quarter of fiscal 2007 increased 51.2 percent compared to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2006, and fiscal 2007 year-to-date operating earnings were up by 36.6 percent compared to the same period last fiscal year. Expressed as a percentage of net sales, residential segment operating margin increased to 12.0 percent compared to 8.6 percent in the second quarter of fiscal 2006, and fiscal 2007 year-to-date residential segment operating margin increased to 9.6 percent compared to 7.3 percent last fiscal year. Those increases were primarily from lower SG&amp;A expense as a percentage of net sales due to leveraging the fixed portion of SG&amp;A costs over higher sales volumes, lower warranty costs as a result of the reversal of a special warranty provision, and lower spending for marketing.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In addition, elimination of the professional and residential segments’ floor plan interest costs from Toro Credit Company are also included in this segment. Net sales for the other segment were up $1.0 million for the second quarter of fiscal 2007 compared to the second quarter of fiscal 2006 due to a decline in the sales elimination as a result of lower sales from the professional and residential segments to the company-owned distribution companies. However, net sales for the year-to-date period of fiscal 2007 compared to the same period last fiscal year were down by 10.2 percent due mainly to lower sales at a company-owned distributorship.</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u w:val="single" w:color="auto"/>
          <w:color w:val="auto"/>
        </w:rPr>
        <w:t>Operating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losses for the other segment were up for the second quarter and year-to-date period of fiscal 2007 by $2.3 million or 11.9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$3.8 million or 8.6 percent, respectively, compared to the same periods last fiscal year. The increased losses were due primarily to increased legal expenses, higher spending for investments in information systems, and higher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POSITION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part of our GrowLean initiative, we have placed additional emphasis on asset management, with a focus on: (i) ensuring strong profitability of our products and services all the way through the retail sale; (ii) minimizing the amount of working capital in the supply chain; and (iii) maintaining or improving order replenishment and service levels to end users. Our long-term goal is to reduce average net working capital (accounts receivable plus inventory minus trade payables) as a percentage of net sales to below 20 percent, or “in the teens.” The average net working capital for the twelve months ended May 4, 2007 was 29.8 percent compared to 29.4 percent for the twelve months ended May 5, 2006.</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6" w:name="page17"/>
    <w:bookmarkEnd w:id="16"/>
    <w:p>
      <w:pPr>
        <w:ind w:right="200" w:firstLine="215"/>
        <w:spacing w:after="0" w:line="297" w:lineRule="auto"/>
        <w:rPr>
          <w:sz w:val="20"/>
          <w:szCs w:val="20"/>
          <w:color w:val="auto"/>
        </w:rPr>
      </w:pPr>
      <w:r>
        <w:rPr>
          <w:rFonts w:ascii="Arial" w:cs="Arial" w:eastAsia="Arial" w:hAnsi="Arial"/>
          <w:sz w:val="16"/>
          <w:szCs w:val="16"/>
          <w:color w:val="auto"/>
        </w:rPr>
        <w:t>Average receivables for the first half of fiscal 2007 increased 4.5 percent compared to the first half of fiscal 2006 on a sales increase of 4.2 percent. Our average days sales outstanding for receivables were slightly up to 74.9 days based on sales for the last twelve months ended May 4, 2007, compared to 74.4 days for the twelve months ended May 5, 2006. This increase was due mainly to a higher proportion of international sales that have longer payment terms. Average inventory levels also increased by 8.2 percent for the first half of fiscal 2007 compared to the first half of fiscal 2006. However, inventory levels were slightly down by 0.1 percent as of May 4, 2007 compared to May 5, 2006, as we curtailed production levels in an effort to lower inventory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operating requirements. We believe that the funds available through existing or anticipated financing arrangements and forecasted cash flows, will be sufficient to provide the necessary capital resources for our anticipated working capital, capital expenditures, investments, acquisitions, debt repayments, dividend payments, and stock repurchases for at least the next twelve months.</w:t>
      </w:r>
    </w:p>
    <w:p>
      <w:pPr>
        <w:spacing w:after="0" w:line="1" w:lineRule="exact"/>
        <w:rPr>
          <w:sz w:val="20"/>
          <w:szCs w:val="20"/>
          <w:color w:val="auto"/>
        </w:rPr>
      </w:pPr>
    </w:p>
    <w:p>
      <w:pPr>
        <w:ind w:right="260" w:firstLine="225"/>
        <w:spacing w:after="0" w:line="250" w:lineRule="auto"/>
        <w:rPr>
          <w:sz w:val="20"/>
          <w:szCs w:val="20"/>
          <w:color w:val="auto"/>
        </w:rPr>
      </w:pPr>
      <w:r>
        <w:rPr>
          <w:rFonts w:ascii="Arial" w:cs="Arial" w:eastAsia="Arial" w:hAnsi="Arial"/>
          <w:sz w:val="18"/>
          <w:szCs w:val="18"/>
          <w:color w:val="auto"/>
        </w:rPr>
        <w:t>Our Board of Directors approved a cash dividend of $0.12 per share for the second quarter of fiscal 2007 paid on April 12, 2007, which was an increase over our cash dividend of $0.09 per share for the second quarter of fiscal 2006.</w:t>
      </w:r>
    </w:p>
    <w:p>
      <w:pPr>
        <w:spacing w:after="0" w:line="1"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color w:val="auto"/>
        </w:rPr>
        <w:t>On May 22, 2007, the company’s Board of Directors also authorized the repurchase of an additional 3,000,000 shares of the company’s common stock in open-market or in privately negotiated transactions.</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Cash used in operating activities for the first six months of fiscal 2007 was 32.6 percent higher than the first six months of fiscal 2006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 higher increase in receivables, somewhat offset by higher net earnings and a lower increase in inventory levels for the first six months of fiscal 2007 compared to the first six months of fiscal 2006. Cash used in investing activities was higher by $12.2 million compared to the first six months of fiscal 2006, due mainly to an increase of purchases of property, plant, and equipment in the first half of fiscal 2007 compared to the first half of fiscal 2006 as well as cash received last fiscal year for payments of note receivables. Cash provided by financing activities was higher by 47.4 percent compared to the first six months of fiscal 2006. This change of $41.0 million was due to proceeds received from the issuance of 30-year senior notes in April 2007 and lower levels of our common stock repurchased in the first six months of fiscal 2007 compared to the first six months of fiscal 2006, somewhat offset by a lower increase in short-term debt and lower tax benefits from stock-based awards in the first six months of fiscal 2007 compared to the first six months of fiscal 2006.</w:t>
      </w:r>
    </w:p>
    <w:p>
      <w:pPr>
        <w:spacing w:after="0" w:line="193"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 is seasonal, with accounts receivable balances historically increasing between January and April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February and May. Seasonal cash requirements are financed from operations and with short- and medium-term financing arrangements, including a $175.0 million unsecured senior five-year revolving credit facility, which expires in January 2012. In March 2007, we also added a $75 million line of credit from a domestic bank to address seasonal cash needs, which expires in June 2007. Interest expense on these credit lines is determined based on a LIBOR rate plus a basis point spread defined in the credit agreements. In addition, our non-U.S. operations and a domestic subsidiary also maintain unsecured short-term lines of credit of approximately $14 million. These facilities bear interest at various rates depending on the rates in their respective countries of operation. We also have a letter of credit subfacility as part of our credit agreements. Average short-term debt was $95.1 million in the first six months of fiscal 2007 compared to $62.7 million in the first six months of fiscal 2006, an increase of 51.7 percent. This increase was primarily due to funding a majority of our deferred compensation plans during the first quarter of fiscal 2007 and additional working capital requirements as a result of higher average receivable and inventory levels in the first half of fiscal 2007 compared to the first half of fiscal 2006. As of May 4, 2007, we had $218.5 million of unutilized availability under our credit agreements.</w:t>
      </w:r>
    </w:p>
    <w:p>
      <w:pPr>
        <w:spacing w:after="0" w:line="7"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On April 26, 2007, we issued $125.0 million in aggregate principal amount of 6.625% senior notes due May 1, 2037. The notes were priced at 98.513% of par value, and the resulting discount of $1.9 million associated with the issuance of these notes is being amortized over the term of the notes using the effective interest rate method. The underwriting fee and direct debt issue costs totaling $1.5 million will be amortized over the life of the notes. Although the coupon rate of the notes is 6.625%, the effective interest rate is 6.741% after taking into account the issuance discount. Interest on the notes is payable semi-annually, on May 1 and November 1 of each year. The notes are unsecured senior obligations of the company and rank equally with our other unsecured and unsubordinated indebtedness from time to time outstanding. The indentures under which</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line="284" w:lineRule="auto"/>
        <w:rPr>
          <w:sz w:val="20"/>
          <w:szCs w:val="20"/>
          <w:color w:val="auto"/>
        </w:rPr>
      </w:pPr>
      <w:r>
        <w:rPr>
          <w:rFonts w:ascii="Arial" w:cs="Arial" w:eastAsia="Arial" w:hAnsi="Arial"/>
          <w:sz w:val="16"/>
          <w:szCs w:val="16"/>
          <w:color w:val="auto"/>
        </w:rPr>
        <w:t>the notes were issued contain customary covenants and event of default provisions. We may redeem some or all of the notes at any time at the greater of the full principal amount of the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our company and (ii) a downgrade of the notes below an investment grade rating by both Moody’s Investors Service, Inc. and Standard &amp; Poor’s Ratings Services within a specified period, we would be required to make an offer to purchase the notes at a price equal to 101% of the principal amount of the notes, plus accrued and unpaid interest to the date of repurchase. We intend to use the proceeds from the issuance of the notes to pay at maturity $75.0 million outstanding principal amount of 7.125% notes due June 15, 2007 as well as for general corporate uses.</w:t>
      </w:r>
    </w:p>
    <w:p>
      <w:pPr>
        <w:spacing w:after="0" w:line="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Significant financial covenants in our credit agreements are interest coverage and debt to capitalization ratios. We were in compliance with all covenants related to our credit agreements as of May 4, 2007, and expect to be in compliance with all covenants during fiscal 2007. If we were out of compliance with any covenant required by our credit agreements following the applicable period,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under the credit agreements could increase, but the credit commitments could not be cancelled by the banks based only on a ratings downgrade. Our debt rating for long-term unsecured senior, non-credit enhanced debt has been unchanged for the second quarter of fiscal 2007 by Standard and Poor’s Ratings Group at BBB- and by Moody’s Investors Service at Baa3.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off-balance sheet arrangements generally relate to customer financing activities, inventory purchase commitments, operating lease commitments, and currency contracts. See our most recently filed Annual Report on Form 10-K for further details regarding our off-balance sheet arrangements and contractual obligations. There has been no material change in this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the effects of inflation and changing prices. In the first half of fiscal 2007, average prices paid for most commodities were slightly higher compared to the first half of fiscal 2006, which resulted in a slight negative impact on our gross profit and net earnings. We expect average commodity prices to continue to trend slightly higher for the remainder of fiscal 2007 compared to fiscal 2006. We will continue to attempt to mitigate the impact of commodity prices and other inflationary pressures by actively pursuing internal cost reduction efforts, introducing moderate price increases on some products, and vendor negotiations.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significant accounting policies are described in Note 1 to the notes to our consolidated financial statements included in our Annual Report on Form</w:t>
      </w:r>
    </w:p>
    <w:p>
      <w:pPr>
        <w:spacing w:after="0" w:line="3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10-K for the fiscal year ended October 31, 2006.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our financial condition, changes in financial condition or results of operations. Our critical accounting estimates include the following:</w:t>
      </w:r>
    </w:p>
    <w:p>
      <w:pPr>
        <w:spacing w:after="0" w:line="20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u w:val="single" w:color="auto"/>
          <w:color w:val="auto"/>
        </w:rPr>
        <w:t>Warranty Reserve.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coverage on our products ranges from a period of six months to seven years, and covers parts, labor, and other expenses for non-maintenance repairs, provided operator abuse, improper use or negligence did not necessitate the repair. At the time of sale, we accrue a warranty reserve by product line for estimated costs in connection with future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8" w:name="page19"/>
    <w:bookmarkEnd w:id="18"/>
    <w:p>
      <w:pPr>
        <w:ind w:right="80"/>
        <w:spacing w:after="0" w:line="288" w:lineRule="auto"/>
        <w:rPr>
          <w:sz w:val="20"/>
          <w:szCs w:val="20"/>
          <w:color w:val="auto"/>
        </w:rPr>
      </w:pPr>
      <w:r>
        <w:rPr>
          <w:rFonts w:ascii="Arial" w:cs="Arial" w:eastAsia="Arial" w:hAnsi="Arial"/>
          <w:sz w:val="16"/>
          <w:szCs w:val="16"/>
          <w:color w:val="auto"/>
        </w:rPr>
        <w:t>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9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u w:val="single" w:color="auto"/>
          <w:color w:val="auto"/>
        </w:rPr>
        <w:t>Sales Promotions and Incentives.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of sale to a customer, we record an estimate for sales promotion and incentive costs, which are classified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from gross sales or as a component of selling, general, and administrative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Inventory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value our inventories at the lower of the cost of inventory or net realizable value, with cost determined by either the last-in, first-out</w:t>
      </w:r>
      <w:r>
        <w:rPr>
          <w:rFonts w:ascii="Arial" w:cs="Arial" w:eastAsia="Arial" w:hAnsi="Arial"/>
          <w:sz w:val="18"/>
          <w:szCs w:val="18"/>
          <w:i w:val="1"/>
          <w:iCs w:val="1"/>
          <w:color w:val="auto"/>
        </w:rPr>
        <w:t xml:space="preserve"> </w:t>
      </w:r>
      <w:r>
        <w:rPr>
          <w:rFonts w:ascii="Arial" w:cs="Arial" w:eastAsia="Arial" w:hAnsi="Arial"/>
          <w:sz w:val="18"/>
          <w:szCs w:val="18"/>
          <w:color w:val="auto"/>
        </w:rPr>
        <w:t>(LIFO) 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4"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Accounts and Notes Receivable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value accounts and notes receivable, net of an allowance for doubtful accounts. Each quarter, we prepare an</w:t>
      </w:r>
      <w:r>
        <w:rPr>
          <w:rFonts w:ascii="Arial" w:cs="Arial" w:eastAsia="Arial" w:hAnsi="Arial"/>
          <w:sz w:val="16"/>
          <w:szCs w:val="16"/>
          <w:i w:val="1"/>
          <w:iCs w:val="1"/>
          <w:color w:val="auto"/>
        </w:rPr>
        <w:t xml:space="preserve"> </w:t>
      </w:r>
      <w:r>
        <w:rPr>
          <w:rFonts w:ascii="Arial" w:cs="Arial" w:eastAsia="Arial" w:hAnsi="Arial"/>
          <w:sz w:val="16"/>
          <w:szCs w:val="16"/>
          <w:color w:val="auto"/>
        </w:rPr>
        <w:t>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ind w:right="340"/>
        <w:spacing w:after="0" w:line="308" w:lineRule="auto"/>
        <w:rPr>
          <w:sz w:val="20"/>
          <w:szCs w:val="20"/>
          <w:color w:val="auto"/>
        </w:rPr>
      </w:pPr>
      <w:r>
        <w:rPr>
          <w:rFonts w:ascii="Arial" w:cs="Arial" w:eastAsia="Arial" w:hAnsi="Arial"/>
          <w:sz w:val="17"/>
          <w:szCs w:val="17"/>
          <w:color w:val="auto"/>
        </w:rPr>
        <w:t>uncollectible accounts may differ from our estimates. In the event we determined that a smaller or larger uncollectible accounts reserve is appropriate, we would record a credit or charge to selling, general, and administrative expense in the period that we made such a determination.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56"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October 2006, the Financial Accounting Standards Board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We will adopt the provisions of SFAS No. 158, which requires the funded status of pension and other postretirement benefit plans to be recorded on the balance sheet as of October 31, 2007, as required, and we will adopt the provisions that require the measurement date of plan assets and benefit obligations to be the same as our fiscal year end as of October 31, 2009, as required. This new pronouncement is not expected to have a material impact on our financial condition, and will have no impact on our consolidated results of operations.</w:t>
      </w:r>
    </w:p>
    <w:p>
      <w:pPr>
        <w:spacing w:after="0" w:line="2" w:lineRule="exact"/>
        <w:rPr>
          <w:sz w:val="20"/>
          <w:szCs w:val="20"/>
          <w:color w:val="auto"/>
        </w:rPr>
      </w:pPr>
    </w:p>
    <w:p>
      <w:pPr>
        <w:ind w:right="40" w:firstLine="225"/>
        <w:spacing w:after="0" w:line="281" w:lineRule="auto"/>
        <w:rPr>
          <w:sz w:val="20"/>
          <w:szCs w:val="20"/>
          <w:color w:val="auto"/>
        </w:rPr>
      </w:pPr>
      <w:r>
        <w:rPr>
          <w:rFonts w:ascii="Arial" w:cs="Arial" w:eastAsia="Arial" w:hAnsi="Arial"/>
          <w:sz w:val="16"/>
          <w:szCs w:val="16"/>
          <w:color w:val="auto"/>
        </w:rPr>
        <w:t>In August 2006, the FASB issued Staff Position No. AUG AIR-1, “Accounting for Planned Major Maintenance Activities.” This Staff Position prohibits the use of the accrue-in-advance method of accounting for planned major maintenance activities in annual and interim financial reporting periods. We will adopt the provisions of this Staff Position as of November 1, 2007, as required. We are currently evaluating the requirements of Staff Position No. AUG AIR-1 and do not expect that the adoption of this Staff Position will have a material impact on our consolidated results of operations or financial condition.</w:t>
      </w:r>
    </w:p>
    <w:p>
      <w:pPr>
        <w:spacing w:after="0" w:line="3" w:lineRule="exact"/>
        <w:rPr>
          <w:sz w:val="20"/>
          <w:szCs w:val="20"/>
          <w:color w:val="auto"/>
        </w:rPr>
      </w:pPr>
    </w:p>
    <w:p>
      <w:pPr>
        <w:ind w:right="100" w:firstLine="225"/>
        <w:spacing w:after="0" w:line="292" w:lineRule="auto"/>
        <w:rPr>
          <w:sz w:val="20"/>
          <w:szCs w:val="20"/>
          <w:color w:val="auto"/>
        </w:rPr>
      </w:pPr>
      <w:r>
        <w:rPr>
          <w:rFonts w:ascii="Arial" w:cs="Arial" w:eastAsia="Arial" w:hAnsi="Arial"/>
          <w:sz w:val="16"/>
          <w:szCs w:val="16"/>
          <w:color w:val="auto"/>
        </w:rPr>
        <w:t>In July 2006, the FASB issued Interpretation No. 48, “Accounting for Uncertainty in Income Taxes” (FIN No. 48). This interpretation clarifies the accounting for uncertainty in income taxes recognized in an entity’s financial statements in accordance with SFAS No. 109, “Accounting for Income Taxes.” It prescribes a recognition threshold and measurement attributes for financial statement disclosure of tax positions taken or expected to be taken on a tax return. We will adopt the provisions of this interpretation in the first quarter of fiscal 2008, as required. We are currently evaluating the requirements of FIN No. 48 and we do not expect this new pronouncement will have a material impact on our consolidated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Internet web sites, or otherwise. Statements that are not historicalare forward-looking and reflect expectations and assumptions. We try to identify forward-looking statements in this report and elsewhere by using words such as “expect”, “looking ahead”, “plan”, “anticipate”, “estimate”, “believe”, “should”, “may”,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 w:lineRule="exact"/>
        <w:rPr>
          <w:sz w:val="20"/>
          <w:szCs w:val="20"/>
          <w:color w:val="auto"/>
        </w:rPr>
      </w:pPr>
    </w:p>
    <w:p>
      <w:pPr>
        <w:ind w:left="660" w:right="280" w:hanging="652"/>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economic conditions in the United States and around the world, including but not limited to worldwide economic growth rates; slow downs or reductions in home ownership, construction, and home sales; consumer spending levels; employment rates; interest rates; inflation; and consumer confidence in the United States and the foreign countries in which we conduct business.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w:t>
      </w:r>
    </w:p>
    <w:p>
      <w:pPr>
        <w:spacing w:after="0" w:line="9" w:lineRule="exact"/>
        <w:rPr>
          <w:rFonts w:ascii="Arial" w:cs="Arial" w:eastAsia="Arial" w:hAnsi="Arial"/>
          <w:sz w:val="18"/>
          <w:szCs w:val="18"/>
          <w:color w:val="auto"/>
        </w:rPr>
      </w:pPr>
    </w:p>
    <w:p>
      <w:pPr>
        <w:ind w:left="660" w:right="220" w:hanging="652"/>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Increases in the cost and availability of raw materials and components that we purchase and increases in our other costs of doing business, such as transportation costs, may adversely affect our profit margins and business.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ind w:left="660" w:right="200" w:hanging="652"/>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and the amount of government spending.</w:t>
      </w:r>
    </w:p>
    <w:p>
      <w:pPr>
        <w:ind w:left="660" w:right="14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residential segment net sales are dependent upon the amount of product placement at retailers, changing buying patterns of customers, and The Home Depot, Inc. as a major customer.</w:t>
      </w:r>
    </w:p>
    <w:p>
      <w:pPr>
        <w:ind w:left="660" w:right="14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to enhance existing products and develop and market new products that respond to customer needs and achieve market acceptance, we may experience a decrease in demand for our products, and our business could suffer.</w:t>
      </w:r>
    </w:p>
    <w:p>
      <w:pPr>
        <w:ind w:left="660" w:right="5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including some competitors that have greater resources than us. We may not be able to compete effectively against competitors’ actions, which could harm our business and operating results.</w:t>
      </w:r>
    </w:p>
    <w:p>
      <w:pPr>
        <w:ind w:left="660" w:hanging="652"/>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business.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660" w:right="18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manufacture and purchase our products at and distribute our products from several locations in the United States and internationally. Any disruption at any of these facilities or our inability to cost-effectively expand existing and move production between manufacturing facilities could adversely affect our business and operating results.</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alliances, and joint venture arrangements, which are risky and could harm our business.</w:t>
      </w:r>
    </w:p>
    <w:p>
      <w:pPr>
        <w:ind w:left="660" w:right="38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8"/>
          <w:szCs w:val="18"/>
          <w:color w:val="auto"/>
        </w:rPr>
      </w:pPr>
    </w:p>
    <w:p>
      <w:pPr>
        <w:ind w:left="660" w:right="1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1" w:lineRule="exact"/>
        <w:rPr>
          <w:rFonts w:ascii="Arial" w:cs="Arial" w:eastAsia="Arial" w:hAnsi="Arial"/>
          <w:sz w:val="18"/>
          <w:szCs w:val="18"/>
          <w:color w:val="auto"/>
        </w:rPr>
      </w:pPr>
    </w:p>
    <w:p>
      <w:pPr>
        <w:ind w:left="660" w:right="8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w:t>
      </w: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spacing w:after="0" w:line="1" w:lineRule="exact"/>
        <w:rPr>
          <w:rFonts w:ascii="Arial" w:cs="Arial" w:eastAsia="Arial" w:hAnsi="Arial"/>
          <w:sz w:val="18"/>
          <w:szCs w:val="18"/>
          <w:color w:val="auto"/>
        </w:rPr>
      </w:pPr>
    </w:p>
    <w:p>
      <w:pPr>
        <w:ind w:left="660" w:right="20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 including without limitation the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period.</w:t>
      </w:r>
    </w:p>
    <w:p>
      <w:pPr>
        <w:spacing w:after="0" w:line="2"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660" w:right="160" w:hanging="652"/>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natural disasters that may result in shortages of raw materials, higher fuel costs, and an increase in insurance premiums; financial viability of some</w:t>
      </w:r>
    </w:p>
    <w:p>
      <w:pPr>
        <w:spacing w:after="0" w:line="1" w:lineRule="exact"/>
        <w:rPr>
          <w:sz w:val="20"/>
          <w:szCs w:val="20"/>
          <w:color w:val="auto"/>
        </w:rPr>
      </w:pPr>
    </w:p>
    <w:p>
      <w:pPr>
        <w:ind w:left="660" w:right="120"/>
        <w:spacing w:after="0" w:line="265" w:lineRule="auto"/>
        <w:rPr>
          <w:sz w:val="20"/>
          <w:szCs w:val="20"/>
          <w:color w:val="auto"/>
        </w:rPr>
      </w:pPr>
      <w:r>
        <w:rPr>
          <w:rFonts w:ascii="Arial" w:cs="Arial" w:eastAsia="Arial" w:hAnsi="Arial"/>
          <w:sz w:val="17"/>
          <w:szCs w:val="17"/>
          <w:color w:val="auto"/>
        </w:rPr>
        <w:t>distributors and dealers, changes in distributor ownership, our success in partnering with new dealers, and our customers’ ability to pay amounts owed to us; and continued threat of terrorist acts and war that may result in heightened security and higher costs for import and export shipments of components or finished goods, reduced leisure travel, and contraction of the U.S. and world economies.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 w:lineRule="exact"/>
        <w:rPr>
          <w:sz w:val="20"/>
          <w:szCs w:val="20"/>
          <w:color w:val="auto"/>
        </w:rPr>
      </w:pPr>
    </w:p>
    <w:p>
      <w:pPr>
        <w:ind w:right="160" w:firstLine="222"/>
        <w:spacing w:after="0" w:line="261" w:lineRule="auto"/>
        <w:rPr>
          <w:sz w:val="20"/>
          <w:szCs w:val="20"/>
          <w:color w:val="auto"/>
        </w:rPr>
      </w:pPr>
      <w:r>
        <w:rPr>
          <w:rFonts w:ascii="Arial" w:cs="Arial" w:eastAsia="Arial" w:hAnsi="Arial"/>
          <w:sz w:val="18"/>
          <w:szCs w:val="18"/>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1" w:name="page22"/>
    <w:bookmarkEnd w:id="21"/>
    <w:p>
      <w:pPr>
        <w:ind w:right="60"/>
        <w:spacing w:after="0" w:line="291" w:lineRule="auto"/>
        <w:rPr>
          <w:sz w:val="20"/>
          <w:szCs w:val="20"/>
          <w:color w:val="auto"/>
        </w:rPr>
      </w:pPr>
      <w:r>
        <w:rPr>
          <w:rFonts w:ascii="Arial" w:cs="Arial" w:eastAsia="Arial" w:hAnsi="Arial"/>
          <w:sz w:val="16"/>
          <w:szCs w:val="16"/>
          <w:i w:val="1"/>
          <w:iCs w:val="1"/>
          <w:color w:val="auto"/>
        </w:rPr>
        <w:t>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200" w:lineRule="exact"/>
        <w:rPr>
          <w:sz w:val="20"/>
          <w:szCs w:val="20"/>
          <w:color w:val="auto"/>
        </w:rPr>
      </w:pPr>
    </w:p>
    <w:p>
      <w:pPr>
        <w:spacing w:after="0" w:line="24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color w:val="auto"/>
        </w:rPr>
        <w:t>. In the normal course of business, we actively manage the exposure of our foreign currency market risk by entering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exposures are with the Euro, the Japanese yen, the Australian dollar, the Canadian dollar, the British pound, and the Mexican peso against the U.S. dollar.</w:t>
      </w:r>
    </w:p>
    <w:p>
      <w:pPr>
        <w:spacing w:after="0" w:line="209" w:lineRule="exact"/>
        <w:rPr>
          <w:sz w:val="20"/>
          <w:szCs w:val="20"/>
          <w:color w:val="auto"/>
        </w:rPr>
      </w:pPr>
    </w:p>
    <w:p>
      <w:pPr>
        <w:ind w:right="60" w:firstLine="222"/>
        <w:spacing w:after="0" w:line="284"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six months ended May 4, 2007, the amount of losses reclassified to earnings for such cash flow hedges was $0.1 million and $0.2 million, respectively. For the six months ended May 4, 2007, the losses treated as a reduction to net sales for contracts to hedge trade sales were $0.6 million and the gains treated as a reduction of cost of sales for contracts to hedge inventory purchases were $0.4 million.</w:t>
      </w:r>
    </w:p>
    <w:p>
      <w:pPr>
        <w:spacing w:after="0" w:line="1" w:lineRule="exact"/>
        <w:rPr>
          <w:sz w:val="20"/>
          <w:szCs w:val="20"/>
          <w:color w:val="auto"/>
        </w:rPr>
      </w:pPr>
    </w:p>
    <w:p>
      <w:pPr>
        <w:ind w:right="140" w:firstLine="222"/>
        <w:spacing w:after="0" w:line="253" w:lineRule="auto"/>
        <w:rPr>
          <w:sz w:val="20"/>
          <w:szCs w:val="20"/>
          <w:color w:val="auto"/>
        </w:rPr>
      </w:pPr>
      <w:r>
        <w:rPr>
          <w:rFonts w:ascii="Arial" w:cs="Arial" w:eastAsia="Arial" w:hAnsi="Arial"/>
          <w:sz w:val="18"/>
          <w:szCs w:val="18"/>
          <w:color w:val="auto"/>
        </w:rPr>
        <w:t>The following foreign currency exchange contracts held by us have maturity dates in fiscal 2007.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loss (AOCL), and fair value impact of derivative instruments in other income, net for the six months ended May 4, 2007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Value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Contracted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Impact</w:t>
            </w: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(except average contracted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Gain (Loss)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0.7908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32,107.6</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Buy US dollar/Sell Canadian dollar</w:t>
            </w:r>
          </w:p>
        </w:tc>
        <w:tc>
          <w:tcPr>
            <w:tcW w:w="3180" w:type="dxa"/>
            <w:vAlign w:val="bottom"/>
            <w:gridSpan w:val="4"/>
          </w:tcPr>
          <w:p>
            <w:pPr>
              <w:jc w:val="right"/>
              <w:ind w:right="120"/>
              <w:spacing w:after="0"/>
              <w:rPr>
                <w:sz w:val="20"/>
                <w:szCs w:val="20"/>
                <w:color w:val="auto"/>
              </w:rPr>
            </w:pPr>
            <w:r>
              <w:rPr>
                <w:rFonts w:ascii="Arial" w:cs="Arial" w:eastAsia="Arial" w:hAnsi="Arial"/>
                <w:sz w:val="18"/>
                <w:szCs w:val="18"/>
                <w:color w:val="auto"/>
              </w:rPr>
              <w:t>0.8979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3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86,484.0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Buy US dollar/Sell British pound</w:t>
            </w:r>
          </w:p>
        </w:tc>
        <w:tc>
          <w:tcPr>
            <w:tcW w:w="3180" w:type="dxa"/>
            <w:vAlign w:val="bottom"/>
            <w:gridSpan w:val="4"/>
          </w:tcPr>
          <w:p>
            <w:pPr>
              <w:jc w:val="right"/>
              <w:ind w:right="120"/>
              <w:spacing w:after="0"/>
              <w:rPr>
                <w:sz w:val="20"/>
                <w:szCs w:val="20"/>
                <w:color w:val="auto"/>
              </w:rPr>
            </w:pPr>
            <w:r>
              <w:rPr>
                <w:rFonts w:ascii="Arial" w:cs="Arial" w:eastAsia="Arial" w:hAnsi="Arial"/>
                <w:sz w:val="18"/>
                <w:szCs w:val="18"/>
                <w:color w:val="auto"/>
              </w:rPr>
              <w:t>1.9910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25,285.7</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Buy Mexican peso/Sell US dollar</w:t>
            </w:r>
          </w:p>
        </w:tc>
        <w:tc>
          <w:tcPr>
            <w:tcW w:w="3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11.6469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20" w:type="dxa"/>
            <w:vAlign w:val="bottom"/>
          </w:tcPr>
          <w:p>
            <w:pPr>
              <w:jc w:val="right"/>
              <w:ind w:right="94"/>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jc w:val="both"/>
        <w:ind w:right="280"/>
        <w:spacing w:after="0" w:line="256" w:lineRule="auto"/>
        <w:rPr>
          <w:sz w:val="20"/>
          <w:szCs w:val="20"/>
          <w:color w:val="auto"/>
        </w:rPr>
      </w:pPr>
      <w:r>
        <w:rPr>
          <w:rFonts w:ascii="Arial" w:cs="Arial" w:eastAsia="Arial" w:hAnsi="Arial"/>
          <w:sz w:val="18"/>
          <w:szCs w:val="18"/>
          <w:i w:val="1"/>
          <w:iCs w:val="1"/>
          <w:u w:val="single" w:color="auto"/>
          <w:color w:val="auto"/>
        </w:rPr>
        <w:t>Interest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exposed to interest rate risk arising from transactions that are entered into during the normal course of business.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rates are dependent upon LIBOR plus a basis point spread defined in our credit agreements. See our most recently filed Annual Report on Form 10-K (Item 7A). There has been no material change in this information.</w:t>
      </w:r>
    </w:p>
    <w:p>
      <w:pPr>
        <w:ind w:right="40" w:firstLine="225"/>
        <w:spacing w:after="0" w:line="253"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 million for two of the agreements and $40 million for the third agreement. These treasury lock agreements provided for a single payment at the maturity, which was April 23, 2007, based on the change in value of the reference treasury security. These agreements were designated as cash flow hedges and resulted in a net settlement of $0.2 million. This loss is recorded in accumulated other comprehensive loss, which will be amortized to interest expense over the 30 year term of the debt.</w:t>
      </w:r>
    </w:p>
    <w:p>
      <w:pPr>
        <w:spacing w:after="0" w:line="2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u w:val="single" w:color="auto"/>
          <w:color w:val="auto"/>
        </w:rPr>
        <w:t>Commodity Price Risk</w:t>
      </w:r>
      <w:r>
        <w:rPr>
          <w:rFonts w:ascii="Arial" w:cs="Arial" w:eastAsia="Arial" w:hAnsi="Arial"/>
          <w:sz w:val="18"/>
          <w:szCs w:val="18"/>
          <w:i w:val="1"/>
          <w:iCs w:val="1"/>
          <w:color w:val="auto"/>
        </w:rPr>
        <w:t xml:space="preserve">. </w:t>
      </w:r>
      <w:r>
        <w:rPr>
          <w:rFonts w:ascii="Arial" w:cs="Arial" w:eastAsia="Arial" w:hAnsi="Arial"/>
          <w:sz w:val="18"/>
          <w:szCs w:val="18"/>
          <w:color w:val="auto"/>
        </w:rPr>
        <w:t>Some raw materials used in our products are exposed to commodity price changes. The primary commodity price exposures are with</w:t>
      </w:r>
      <w:r>
        <w:rPr>
          <w:rFonts w:ascii="Arial" w:cs="Arial" w:eastAsia="Arial" w:hAnsi="Arial"/>
          <w:sz w:val="18"/>
          <w:szCs w:val="18"/>
          <w:i w:val="1"/>
          <w:iCs w:val="1"/>
          <w:color w:val="auto"/>
        </w:rPr>
        <w:t xml:space="preserve"> </w:t>
      </w:r>
      <w:r>
        <w:rPr>
          <w:rFonts w:ascii="Arial" w:cs="Arial" w:eastAsia="Arial" w:hAnsi="Arial"/>
          <w:sz w:val="18"/>
          <w:szCs w:val="18"/>
          <w:color w:val="auto"/>
        </w:rPr>
        <w:t>steel, aluminum, fuel, petroleum-based resin, and linerboard. Further information regarding rising prices for commodities is presented in Item 2, section entitled “Inflation.”</w:t>
      </w:r>
    </w:p>
    <w:p>
      <w:pPr>
        <w:ind w:left="22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contracts meet the definition of “normal purchases and normal sales” and, therefore, are not considered derivative instruments for accounting purposes.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4. CONTROLS AND PROCEDURES</w:t>
      </w:r>
    </w:p>
    <w:p>
      <w:pPr>
        <w:spacing w:after="0" w:line="2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second quarter ended May 4, 2007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Item 1. LEGAL PROCEEDINGS</w:t>
      </w:r>
    </w:p>
    <w:p>
      <w:pPr>
        <w:spacing w:after="0" w:line="2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June 3, 2004, eight individuals who claim to have purchased lawnmowers in Illinois and Minnesota filed a lawsuit in Illinois state court against the company and eight other defendants alleging that the horsepower labels on the products the plaintiffs purchased were inaccurate. On May 17, 2006, the plaintiffs filed an amended complaint to add 84 additional plaintiffs and an engine manufacturer as an additional defendant. The amended complaint asserts violations of the federal Racketeer Influenced and Corrupt Organizations (RICO) Act and statutory and common law claims arising from the laws of 48 states. The plaintiffs seek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seeks an injunction, unspecified compensatory and punitive damages, treble damages under the RICO Act and attorneys’ fees. In late May 2006, the case was removed to Federal court in the Southern District of Illinois. On August 1, 2006, all of the defendants, except MTD Products Inc., filed motions to dismiss claims in the amended complaint. On August 4, 2006, the plaintiffs filed a motion for preliminary approval of a settlement agreement with MTD Products Inc. and certification of a settlement class. All remaining</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3" w:name="page24"/>
    <w:bookmarkEnd w:id="23"/>
    <w:p>
      <w:pPr>
        <w:spacing w:after="0" w:line="267" w:lineRule="auto"/>
        <w:rPr>
          <w:sz w:val="20"/>
          <w:szCs w:val="20"/>
          <w:color w:val="auto"/>
        </w:rPr>
      </w:pPr>
      <w:r>
        <w:rPr>
          <w:rFonts w:ascii="Arial" w:cs="Arial" w:eastAsia="Arial" w:hAnsi="Arial"/>
          <w:sz w:val="17"/>
          <w:szCs w:val="17"/>
          <w:color w:val="auto"/>
        </w:rPr>
        <w:t>non-settling defendants have filed counterclaims against MTD Products Inc. for potential contribution amounts, and MTD Products Inc. has filed cross claims against the non-settling defendants. On December 21, 2006, another defendant, American Honda Motor Company, notified us that it had reached an agreement of settlement with the plaintiffs. On March 30, 2007, the court entered an order dismissing plaintiffs’ complaint, subject to the ability to re-plead certain claims pursuant to a detailed written order to follow. As of the date hereof, the court has not yet entered the detailed written order. We continue to evaluate this lawsuit and are unable to reasonably estimate the likelihood of loss or the amount or range of potential loss that could result from this litigation. Therefore, no accrual has been established for potential loss in connection with this lawsuit. We are also unable to assess at this time whether the lawsuit will have a material adverse effect on our annual consolidated operating results or financial condition, although an unfavorable resolution could be material to our consolidated operating results for a particular period.</w:t>
      </w:r>
    </w:p>
    <w:p>
      <w:pPr>
        <w:spacing w:after="0" w:line="3" w:lineRule="exact"/>
        <w:rPr>
          <w:sz w:val="20"/>
          <w:szCs w:val="20"/>
          <w:color w:val="auto"/>
        </w:rPr>
      </w:pPr>
    </w:p>
    <w:p>
      <w:pPr>
        <w:ind w:firstLine="90"/>
        <w:spacing w:after="0" w:line="265" w:lineRule="auto"/>
        <w:rPr>
          <w:sz w:val="20"/>
          <w:szCs w:val="20"/>
          <w:color w:val="auto"/>
        </w:rPr>
      </w:pPr>
      <w:r>
        <w:rPr>
          <w:rFonts w:ascii="Arial" w:cs="Arial" w:eastAsia="Arial" w:hAnsi="Arial"/>
          <w:sz w:val="17"/>
          <w:szCs w:val="17"/>
          <w:color w:val="auto"/>
        </w:rPr>
        <w:t>In July 2005, Textron Innovations Inc., the patent holding company of Textron, Inc., filed a lawsuit in Delaware Federal District Court against the company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United States Patent and Trademark Office (USPTO) to have Textron’s patents reexamined. Our reexamination requests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3" w:lineRule="exact"/>
        <w:rPr>
          <w:sz w:val="20"/>
          <w:szCs w:val="20"/>
          <w:color w:val="auto"/>
        </w:rPr>
      </w:pPr>
    </w:p>
    <w:p>
      <w:pPr>
        <w:ind w:right="60" w:firstLine="222"/>
        <w:spacing w:after="0" w:line="269" w:lineRule="auto"/>
        <w:rPr>
          <w:sz w:val="20"/>
          <w:szCs w:val="20"/>
          <w:color w:val="auto"/>
        </w:rPr>
      </w:pPr>
      <w:r>
        <w:rPr>
          <w:rFonts w:ascii="Arial" w:cs="Arial" w:eastAsia="Arial" w:hAnsi="Arial"/>
          <w:sz w:val="17"/>
          <w:szCs w:val="17"/>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both as a plaintiff and as a defendant. While the ultimate results of the current cases are unknown at this time, management believes that, except for the lawsuits discussed above, the outcomes of these cases are unlikely to have a material adverse effect on our consolidated operating results or financial position. Further, although we are self-insured to some extent, we maintain insurance against certain product liability losses.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2"/>
          <w:szCs w:val="22"/>
          <w:b w:val="1"/>
          <w:bCs w:val="1"/>
          <w:color w:val="auto"/>
        </w:rPr>
        <w:t>Item 1A. RISK FACTORS</w:t>
      </w:r>
    </w:p>
    <w:p>
      <w:pPr>
        <w:spacing w:after="0" w:line="2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affected by risks specific to us as well as factors that affect all businesses operating in a global market. The significant factors known to us that could materially adversely affect our business, financial condition, or operating results are described in our most recently filed Annual Report on Form 10-K (Item 1A). Except for the revised risk factor below, there has been no material change in those risk factors.</w:t>
      </w:r>
    </w:p>
    <w:p>
      <w:pPr>
        <w:spacing w:after="0" w:line="20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281" w:lineRule="auto"/>
        <w:rPr>
          <w:sz w:val="20"/>
          <w:szCs w:val="20"/>
          <w:color w:val="auto"/>
        </w:rPr>
      </w:pPr>
      <w:r>
        <w:rPr>
          <w:rFonts w:ascii="Arial" w:cs="Arial" w:eastAsia="Arial" w:hAnsi="Arial"/>
          <w:sz w:val="16"/>
          <w:szCs w:val="16"/>
          <w:color w:val="auto"/>
        </w:rPr>
        <w:t>We hold patents relating to various aspects of our products and believe that proprietary technical know-how is important to our business generally as well as many of our products.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Our competitors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and if the outcome of any such litigation is unfavorable to us, our business and operating results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which could be costly and time-consuming, or acquire a license, which we might not be able to do on terms favorable to us, or at all.</w:t>
      </w:r>
    </w:p>
    <w:p>
      <w:pPr>
        <w:spacing w:after="0" w:line="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7"/>
          <w:szCs w:val="17"/>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5" w:name="page26"/>
    <w:bookmarkEnd w:id="25"/>
    <w:p>
      <w:pPr>
        <w:ind w:left="220"/>
        <w:spacing w:after="0"/>
        <w:rPr>
          <w:sz w:val="20"/>
          <w:szCs w:val="20"/>
          <w:color w:val="auto"/>
        </w:rPr>
      </w:pPr>
      <w:r>
        <w:rPr>
          <w:rFonts w:ascii="Arial" w:cs="Arial" w:eastAsia="Arial" w:hAnsi="Arial"/>
          <w:sz w:val="21"/>
          <w:szCs w:val="21"/>
          <w:b w:val="1"/>
          <w:bCs w:val="1"/>
          <w:color w:val="auto"/>
        </w:rPr>
        <w:t>Item 2. CHANGES IN SECURITIES, USE OF PROCEEDS, AND ISSUER PURCHASES OF EQUITY SECURITIES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2007 stock repurchase activity.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As Part of</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Total Number</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of</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Plans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 (1)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ind w:left="2700"/>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Purchased (1)</w:t>
            </w:r>
          </w:p>
        </w:tc>
        <w:tc>
          <w:tcPr>
            <w:tcW w:w="6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or Programs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February 3, 2007 through</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March 2, 2007</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20,000</w:t>
            </w:r>
          </w:p>
        </w:tc>
        <w:tc>
          <w:tcPr>
            <w:tcW w:w="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3, 2007 through</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March 30, 2007</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March 31, 2007 through</w:t>
            </w:r>
          </w:p>
        </w:tc>
        <w:tc>
          <w:tcPr>
            <w:tcW w:w="120" w:type="dxa"/>
            <w:vAlign w:val="bottom"/>
            <w:vMerge w:val="restart"/>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235,949(3)</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234,100</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May 4, 2007</w:t>
            </w:r>
          </w:p>
        </w:tc>
        <w:tc>
          <w:tcPr>
            <w:tcW w:w="12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50.71</w:t>
            </w: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591,397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255,949</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50.71</w:t>
            </w:r>
          </w:p>
        </w:tc>
        <w:tc>
          <w:tcPr>
            <w:tcW w:w="13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254,100</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40" w:hanging="209"/>
        <w:spacing w:after="0" w:line="254" w:lineRule="auto"/>
        <w:rPr>
          <w:sz w:val="20"/>
          <w:szCs w:val="20"/>
          <w:color w:val="auto"/>
        </w:rPr>
      </w:pPr>
      <w:r>
        <w:rPr>
          <w:rFonts w:ascii="Arial" w:cs="Arial" w:eastAsia="Arial" w:hAnsi="Arial"/>
          <w:sz w:val="18"/>
          <w:szCs w:val="18"/>
          <w:color w:val="auto"/>
        </w:rPr>
        <w:t>(1)On July 18, 2006, the company’s Board of Directors authorized the repurchase of 3,000,000 shares of the company’s common stock in open-market or in privately negotiated transactions. This program has no expiration date but may be terminated by the company’s Board of Directors at any time. The company purchased an aggregate of 254,100 shares during the periods indicated above under this program. There are 591,397 shares remaining for repurchase under this program.</w:t>
      </w:r>
    </w:p>
    <w:p>
      <w:pPr>
        <w:spacing w:after="0" w:line="2" w:lineRule="exact"/>
        <w:rPr>
          <w:sz w:val="20"/>
          <w:szCs w:val="20"/>
          <w:color w:val="auto"/>
        </w:rPr>
      </w:pPr>
    </w:p>
    <w:p>
      <w:pPr>
        <w:ind w:left="420" w:right="80" w:hanging="209"/>
        <w:spacing w:after="0" w:line="250" w:lineRule="auto"/>
        <w:rPr>
          <w:sz w:val="20"/>
          <w:szCs w:val="20"/>
          <w:color w:val="auto"/>
        </w:rPr>
      </w:pPr>
      <w:r>
        <w:rPr>
          <w:rFonts w:ascii="Arial" w:cs="Arial" w:eastAsia="Arial" w:hAnsi="Arial"/>
          <w:sz w:val="18"/>
          <w:szCs w:val="18"/>
          <w:color w:val="auto"/>
        </w:rPr>
        <w:t>(2)On May 22, 2007, the company’s Board of Directors authorized the repurchase of an additional 3,000,000 shares of the company’s common stock in open-market or in privately negotiated transactions. This program has no expiration date but may be terminated by the company’s Board of Directors at any time.</w:t>
      </w:r>
    </w:p>
    <w:p>
      <w:pPr>
        <w:spacing w:after="0" w:line="1" w:lineRule="exact"/>
        <w:rPr>
          <w:sz w:val="20"/>
          <w:szCs w:val="20"/>
          <w:color w:val="auto"/>
        </w:rPr>
      </w:pPr>
    </w:p>
    <w:p>
      <w:pPr>
        <w:ind w:left="440" w:right="160" w:hanging="209"/>
        <w:spacing w:after="0" w:line="255" w:lineRule="auto"/>
        <w:rPr>
          <w:sz w:val="20"/>
          <w:szCs w:val="20"/>
          <w:color w:val="auto"/>
        </w:rPr>
      </w:pPr>
      <w:r>
        <w:rPr>
          <w:rFonts w:ascii="Arial" w:cs="Arial" w:eastAsia="Arial" w:hAnsi="Arial"/>
          <w:sz w:val="18"/>
          <w:szCs w:val="18"/>
          <w:color w:val="auto"/>
        </w:rPr>
        <w:t>(3)Includes 1,849 units (shares) of the company’s common stock purchased in open-market transactions at an average price of $51.74 per share on behalf of a rabbi trust formed to pay benefit obligations of the company to participants in deferred compensation plans. These 1,849 shares were not repurchased under the company’s repurchase program described in footnote (1) above.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SUBMISSION OF MATTERS TO A VOTE OF SECURITY HOLDERS</w:t>
      </w:r>
    </w:p>
    <w:p>
      <w:pPr>
        <w:spacing w:after="0" w:line="24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Annual Meeting of Stockholders was held on March 13, 2007.</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Against/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Broker</w:t>
            </w:r>
          </w:p>
        </w:tc>
      </w:tr>
      <w:tr>
        <w:trPr>
          <w:trHeight w:val="264"/>
        </w:trPr>
        <w:tc>
          <w:tcPr>
            <w:tcW w:w="64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For</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Withheld</w:t>
            </w: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Abstain</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Non-Votes</w:t>
            </w:r>
          </w:p>
        </w:tc>
      </w:tr>
      <w:tr>
        <w:trPr>
          <w:trHeight w:val="202"/>
        </w:trPr>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w:t>
            </w:r>
          </w:p>
        </w:tc>
        <w:tc>
          <w:tcPr>
            <w:tcW w:w="51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Election of Directors – for terms expiring in</w:t>
            </w: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30"/>
        </w:trPr>
        <w:tc>
          <w:tcPr>
            <w:tcW w:w="640" w:type="dxa"/>
            <w:vAlign w:val="bottom"/>
            <w:shd w:val="clear" w:color="auto" w:fill="CCEEFF"/>
          </w:tcPr>
          <w:p>
            <w:pPr>
              <w:spacing w:after="0"/>
              <w:rPr>
                <w:sz w:val="20"/>
                <w:szCs w:val="20"/>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2010</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640" w:type="dxa"/>
            <w:vAlign w:val="bottom"/>
          </w:tcPr>
          <w:p>
            <w:pPr>
              <w:spacing w:after="0"/>
              <w:rPr>
                <w:sz w:val="18"/>
                <w:szCs w:val="18"/>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Robert C. Buhrmaster</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36,016,369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1,086,006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Winslow H. Buxton</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36,608,311</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494,064</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tcPr>
          <w:p>
            <w:pPr>
              <w:spacing w:after="0"/>
              <w:rPr>
                <w:sz w:val="18"/>
                <w:szCs w:val="18"/>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Robert H. Nassau</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35,847,970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1,254,405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40" w:type="dxa"/>
            <w:vAlign w:val="bottom"/>
            <w:shd w:val="clear" w:color="auto" w:fill="CCEEFF"/>
          </w:tcPr>
          <w:p>
            <w:pPr>
              <w:spacing w:after="0"/>
              <w:rPr>
                <w:sz w:val="18"/>
                <w:szCs w:val="18"/>
                <w:color w:val="auto"/>
              </w:rPr>
            </w:pPr>
          </w:p>
        </w:tc>
        <w:tc>
          <w:tcPr>
            <w:tcW w:w="5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Christopher A. Twomey</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36,594,103</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508,272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5140" w:type="dxa"/>
            <w:vAlign w:val="bottom"/>
          </w:tcPr>
          <w:p>
            <w:pPr>
              <w:ind w:left="20"/>
              <w:spacing w:after="0"/>
              <w:rPr>
                <w:sz w:val="20"/>
                <w:szCs w:val="20"/>
                <w:color w:val="auto"/>
              </w:rPr>
            </w:pPr>
            <w:r>
              <w:rPr>
                <w:rFonts w:ascii="Arial" w:cs="Arial" w:eastAsia="Arial" w:hAnsi="Arial"/>
                <w:sz w:val="18"/>
                <w:szCs w:val="18"/>
                <w:color w:val="auto"/>
              </w:rPr>
              <w:t>Re-approve The Toro Company Performance Share Plan</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715,650</w:t>
            </w:r>
          </w:p>
        </w:tc>
        <w:tc>
          <w:tcPr>
            <w:tcW w:w="1220" w:type="dxa"/>
            <w:vAlign w:val="bottom"/>
          </w:tcPr>
          <w:p>
            <w:pPr>
              <w:spacing w:after="0"/>
              <w:rPr>
                <w:sz w:val="19"/>
                <w:szCs w:val="19"/>
                <w:color w:val="auto"/>
              </w:rPr>
            </w:pPr>
          </w:p>
        </w:tc>
      </w:tr>
      <w:tr>
        <w:trPr>
          <w:trHeight w:val="230"/>
        </w:trPr>
        <w:tc>
          <w:tcPr>
            <w:tcW w:w="6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35,474,936</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911,788</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Ratify Selection of Independent Registered Public Accounting Firm</w:t>
            </w: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40" w:type="dxa"/>
            <w:vAlign w:val="bottom"/>
            <w:shd w:val="clear" w:color="auto" w:fill="CCEEFF"/>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36,196,657</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681,102</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224,614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Ronald O. Baukol, Katherine J. Harless, and Michael J. Hoffman continue to serve as directors of the company for terms expiring in March 2008.</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Janet K. Cooper, Gary L. Ellis, and Gregg W. Steinhafel continue to serve as directors of the company for terms expiring in March 2009.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Item 6. EXHIBITS</w:t>
      </w:r>
    </w:p>
    <w:p>
      <w:pPr>
        <w:spacing w:after="0" w:line="24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880" w:right="100" w:hanging="1405"/>
        <w:spacing w:after="0" w:line="277" w:lineRule="auto"/>
        <w:rPr>
          <w:rFonts w:ascii="Arial" w:cs="Arial" w:eastAsia="Arial" w:hAnsi="Arial"/>
          <w:sz w:val="18"/>
          <w:szCs w:val="18"/>
          <w:color w:val="auto"/>
        </w:rPr>
      </w:pPr>
      <w:r>
        <w:rPr>
          <w:rFonts w:ascii="Arial" w:cs="Arial" w:eastAsia="Arial" w:hAnsi="Arial"/>
          <w:sz w:val="18"/>
          <w:szCs w:val="18"/>
          <w:color w:val="auto"/>
        </w:rPr>
        <w:t>3(i) and 4(a)The Toro Company Amended and Restated Certificate of Incorporation of Registrant (incorporated by reference to Exhibit 3(i) and 4(a) to Registrant’s Current Report on Form 8-K dated March 15, 2005, Commission File No. 1-8649).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460"/>
              <w:spacing w:after="0"/>
              <w:rPr>
                <w:sz w:val="20"/>
                <w:szCs w:val="20"/>
                <w:color w:val="auto"/>
              </w:rPr>
            </w:pPr>
            <w:r>
              <w:rPr>
                <w:rFonts w:ascii="Arial" w:cs="Arial" w:eastAsia="Arial" w:hAnsi="Arial"/>
                <w:sz w:val="18"/>
                <w:szCs w:val="18"/>
                <w:color w:val="auto"/>
              </w:rPr>
              <w:t>3(ii) and 4(b)</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Bylaws of Registrant (incorporated by reference to Exhibit 3 to Registrant’s Current Report on Form 8-K dated November 30, 2005,</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4(c)</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Annual Report on Form 10-</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K for the fiscal year ended October 31, 2006).</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4(d)</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Rights Agreement dated as of May 20, 1998, between Registrant and Wells Fargo Bank Minnesota, National Association relating to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rights to purchase Series B Junior Participating Voting Preferred Stock, as amended (incorporated by reference to Registrant’s</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Current Report on Form 8-K dated May 27, 1998,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4(e)</w:t>
            </w:r>
          </w:p>
        </w:tc>
        <w:tc>
          <w:tcPr>
            <w:tcW w:w="9780" w:type="dxa"/>
            <w:vAlign w:val="bottom"/>
          </w:tcPr>
          <w:p>
            <w:pPr>
              <w:ind w:left="240"/>
              <w:spacing w:after="0"/>
              <w:rPr>
                <w:sz w:val="20"/>
                <w:szCs w:val="20"/>
                <w:color w:val="auto"/>
              </w:rPr>
            </w:pPr>
            <w:r>
              <w:rPr>
                <w:rFonts w:ascii="Arial" w:cs="Arial" w:eastAsia="Arial" w:hAnsi="Arial"/>
                <w:sz w:val="18"/>
                <w:szCs w:val="18"/>
                <w:color w:val="auto"/>
                <w:w w:val="97"/>
              </w:rPr>
              <w:t>Certificate of Adjusted Purchase Price or Number of Shares dated April 14, 2003 filed by Registrant with Wells Fargo Bank</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Exhibit 2 to Registrant’s Amendment No. 1 to Registration Statement on Form 8-A/A as filed with the Securities and Exchange</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Commission on April 14, 2003,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4(f)</w:t>
            </w:r>
          </w:p>
        </w:tc>
        <w:tc>
          <w:tcPr>
            <w:tcW w:w="9780" w:type="dxa"/>
            <w:vAlign w:val="bottom"/>
          </w:tcPr>
          <w:p>
            <w:pPr>
              <w:ind w:left="240"/>
              <w:spacing w:after="0"/>
              <w:rPr>
                <w:sz w:val="20"/>
                <w:szCs w:val="20"/>
                <w:color w:val="auto"/>
              </w:rPr>
            </w:pPr>
            <w:r>
              <w:rPr>
                <w:rFonts w:ascii="Arial" w:cs="Arial" w:eastAsia="Arial" w:hAnsi="Arial"/>
                <w:sz w:val="18"/>
                <w:szCs w:val="18"/>
                <w:color w:val="auto"/>
                <w:w w:val="97"/>
              </w:rPr>
              <w:t>Certificate of Adjusted Purchase Price or Number of Shares dated April 12, 2005 filed by Registrant with Wells Fargo Bank</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Minnesota, N.A., as Rights Agent, in connection with Rights Agreement dated as of May 20, 1998 (incorporated by reference to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Exhibit 2 to Registrant’s Amendment No. 2 to Registration Statement on Form 8-A/A as filed with the Securities and Exchange</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Commission on March 21, 2005,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4(g)</w:t>
            </w:r>
          </w:p>
        </w:tc>
        <w:tc>
          <w:tcPr>
            <w:tcW w:w="9780" w:type="dxa"/>
            <w:vAlign w:val="bottom"/>
          </w:tcPr>
          <w:p>
            <w:pPr>
              <w:ind w:left="240"/>
              <w:spacing w:after="0"/>
              <w:rPr>
                <w:sz w:val="20"/>
                <w:szCs w:val="20"/>
                <w:color w:val="auto"/>
              </w:rPr>
            </w:pPr>
            <w:r>
              <w:rPr>
                <w:rFonts w:ascii="Arial" w:cs="Arial" w:eastAsia="Arial" w:hAnsi="Arial"/>
                <w:sz w:val="18"/>
                <w:szCs w:val="18"/>
                <w:color w:val="auto"/>
                <w:w w:val="96"/>
              </w:rPr>
              <w:t>Indenture dated as of January 31, 1997, between Registrant and First National Trust Association, as Trustee, relating to the</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2"/>
              </w:rPr>
              <w:t>Registrant’s 7.125% Notes due June 15, 2007 and its 7.80% Debentures due June 15, 2027 (incorporated by reference to Exhibit</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4(a) to Registrant’s Current Report on Form 8-K dated June 24, 1997,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4(h)</w:t>
            </w:r>
          </w:p>
        </w:tc>
        <w:tc>
          <w:tcPr>
            <w:tcW w:w="9780" w:type="dxa"/>
            <w:vAlign w:val="bottom"/>
          </w:tcPr>
          <w:p>
            <w:pPr>
              <w:ind w:left="240"/>
              <w:spacing w:after="0"/>
              <w:rPr>
                <w:sz w:val="20"/>
                <w:szCs w:val="20"/>
                <w:color w:val="auto"/>
              </w:rPr>
            </w:pPr>
            <w:r>
              <w:rPr>
                <w:rFonts w:ascii="Arial" w:cs="Arial" w:eastAsia="Arial" w:hAnsi="Arial"/>
                <w:sz w:val="18"/>
                <w:szCs w:val="18"/>
                <w:color w:val="auto"/>
                <w:w w:val="92"/>
              </w:rPr>
              <w:t>Indenture dated as of April 20, 2007, between Registrant and The Bank of New York Trust Company, N.A., as Trustee, relating to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the Registrant’s 6.625% Notes due May 1, 2037 (incorporated by reference to Exhibit 4.3 to Registrant’s Registration Statement on</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Form S-3 as filed with the Securities and Exchange Commission on April 23, 2007, Registration No. 333-142282).</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4(i)</w:t>
            </w:r>
          </w:p>
        </w:tc>
        <w:tc>
          <w:tcPr>
            <w:tcW w:w="9780" w:type="dxa"/>
            <w:vAlign w:val="bottom"/>
          </w:tcPr>
          <w:p>
            <w:pPr>
              <w:ind w:left="240"/>
              <w:spacing w:after="0"/>
              <w:rPr>
                <w:sz w:val="20"/>
                <w:szCs w:val="20"/>
                <w:color w:val="auto"/>
              </w:rPr>
            </w:pPr>
            <w:r>
              <w:rPr>
                <w:rFonts w:ascii="Arial" w:cs="Arial" w:eastAsia="Arial" w:hAnsi="Arial"/>
                <w:sz w:val="18"/>
                <w:szCs w:val="18"/>
                <w:color w:val="auto"/>
                <w:w w:val="92"/>
              </w:rPr>
              <w:t>First Supplemental Indenture dated as of April 26, 2007, between Registrant and The Bank of New York Trust Company, N.A., as</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0"/>
              </w:rPr>
              <w:t>Trustee, relating to the Registrant’s 6.625% Notes due May 1, 2037 (incorporated by reference to Exhibit 4.1 to Registrant’s Current</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4(j)</w:t>
            </w: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Form of The Toro Company 6.625% Note due May 1, 2037 (incorporated by reference to Exhibit 4.2 to Registrant’s Current Report</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10(a)</w:t>
            </w:r>
          </w:p>
        </w:tc>
        <w:tc>
          <w:tcPr>
            <w:tcW w:w="9780" w:type="dxa"/>
            <w:vAlign w:val="bottom"/>
          </w:tcPr>
          <w:p>
            <w:pPr>
              <w:ind w:left="240"/>
              <w:spacing w:after="0"/>
              <w:rPr>
                <w:sz w:val="20"/>
                <w:szCs w:val="20"/>
                <w:color w:val="auto"/>
              </w:rPr>
            </w:pPr>
            <w:r>
              <w:rPr>
                <w:rFonts w:ascii="Arial" w:cs="Arial" w:eastAsia="Arial" w:hAnsi="Arial"/>
                <w:sz w:val="18"/>
                <w:szCs w:val="18"/>
                <w:color w:val="auto"/>
                <w:w w:val="94"/>
              </w:rPr>
              <w:t>Amendment No. 2 to Credit Agreement dated as of January 10, 2007, among The Toro Company, Toro Credit Company, Toro</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2"/>
              </w:rPr>
              <w:t>Manufacturing LLC, Exmark Manufacturing Company Incorporated, and certain subsidiaries, as Borrowers, the lenders from time</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3"/>
              </w:rPr>
              <w:t>to time party thereto, Bank of America, N.A., as Administrative Agent, Swingline Lender and Letter of Credit Issuer (incorporated</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3"/>
              </w:rPr>
              <w:t>by reference to Exhibit 10(a) to Registrant’s Current Report on Form 8-K dated January 10, 2007, Commission File No. 1-8649).</w:t>
            </w:r>
          </w:p>
        </w:tc>
      </w:tr>
      <w:tr>
        <w:trPr>
          <w:trHeight w:val="418"/>
        </w:trPr>
        <w:tc>
          <w:tcPr>
            <w:tcW w:w="1640" w:type="dxa"/>
            <w:vAlign w:val="bottom"/>
          </w:tcPr>
          <w:p>
            <w:pPr>
              <w:ind w:left="460"/>
              <w:spacing w:after="0"/>
              <w:rPr>
                <w:sz w:val="20"/>
                <w:szCs w:val="20"/>
                <w:color w:val="auto"/>
              </w:rPr>
            </w:pPr>
            <w:r>
              <w:rPr>
                <w:rFonts w:ascii="Arial" w:cs="Arial" w:eastAsia="Arial" w:hAnsi="Arial"/>
                <w:sz w:val="18"/>
                <w:szCs w:val="18"/>
                <w:color w:val="auto"/>
              </w:rPr>
              <w:t>10(b)</w:t>
            </w:r>
          </w:p>
        </w:tc>
        <w:tc>
          <w:tcPr>
            <w:tcW w:w="9780" w:type="dxa"/>
            <w:vAlign w:val="bottom"/>
          </w:tcPr>
          <w:p>
            <w:pPr>
              <w:ind w:left="240"/>
              <w:spacing w:after="0"/>
              <w:rPr>
                <w:sz w:val="20"/>
                <w:szCs w:val="20"/>
                <w:color w:val="auto"/>
              </w:rPr>
            </w:pPr>
            <w:r>
              <w:rPr>
                <w:rFonts w:ascii="Arial" w:cs="Arial" w:eastAsia="Arial" w:hAnsi="Arial"/>
                <w:sz w:val="18"/>
                <w:szCs w:val="18"/>
                <w:color w:val="auto"/>
                <w:w w:val="92"/>
              </w:rPr>
              <w:t>Revolving Credit Facility Letter Loan Agreement, dated as of March 5, 2007, entered into by and between The Toro Company, as</w:t>
            </w:r>
          </w:p>
        </w:tc>
      </w:tr>
      <w:tr>
        <w:trPr>
          <w:trHeight w:val="216"/>
        </w:trPr>
        <w:tc>
          <w:tcPr>
            <w:tcW w:w="1640" w:type="dxa"/>
            <w:vAlign w:val="bottom"/>
          </w:tcPr>
          <w:p>
            <w:pPr>
              <w:spacing w:after="0"/>
              <w:rPr>
                <w:sz w:val="18"/>
                <w:szCs w:val="18"/>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w w:val="91"/>
              </w:rPr>
              <w:t>borrower, and Bank of America, N.A., as lender (incorporated by reference to Exhibit 10(a) to Registrant’s Current Report on Form</w:t>
            </w:r>
          </w:p>
        </w:tc>
      </w:tr>
      <w:tr>
        <w:trPr>
          <w:trHeight w:val="230"/>
        </w:trPr>
        <w:tc>
          <w:tcPr>
            <w:tcW w:w="1640" w:type="dxa"/>
            <w:vAlign w:val="bottom"/>
          </w:tcPr>
          <w:p>
            <w:pPr>
              <w:spacing w:after="0"/>
              <w:rPr>
                <w:sz w:val="20"/>
                <w:szCs w:val="20"/>
                <w:color w:val="auto"/>
              </w:rPr>
            </w:pPr>
          </w:p>
        </w:tc>
        <w:tc>
          <w:tcPr>
            <w:tcW w:w="9780" w:type="dxa"/>
            <w:vAlign w:val="bottom"/>
          </w:tcPr>
          <w:p>
            <w:pPr>
              <w:ind w:left="240"/>
              <w:spacing w:after="0"/>
              <w:rPr>
                <w:sz w:val="20"/>
                <w:szCs w:val="20"/>
                <w:color w:val="auto"/>
              </w:rPr>
            </w:pPr>
            <w:r>
              <w:rPr>
                <w:rFonts w:ascii="Arial" w:cs="Arial" w:eastAsia="Arial" w:hAnsi="Arial"/>
                <w:sz w:val="18"/>
                <w:szCs w:val="18"/>
                <w:color w:val="auto"/>
              </w:rPr>
              <w:t>8-K dated March 5, 2007, Commission File No. 1-8649).</w:t>
            </w:r>
          </w:p>
        </w:tc>
      </w:tr>
      <w:tr>
        <w:trPr>
          <w:trHeight w:val="650"/>
        </w:trPr>
        <w:tc>
          <w:tcPr>
            <w:tcW w:w="1640" w:type="dxa"/>
            <w:vAlign w:val="bottom"/>
          </w:tcPr>
          <w:p>
            <w:pPr>
              <w:spacing w:after="0"/>
              <w:rPr>
                <w:sz w:val="24"/>
                <w:szCs w:val="24"/>
                <w:color w:val="auto"/>
              </w:rPr>
            </w:pPr>
          </w:p>
        </w:tc>
        <w:tc>
          <w:tcPr>
            <w:tcW w:w="9780" w:type="dxa"/>
            <w:vAlign w:val="bottom"/>
          </w:tcPr>
          <w:p>
            <w:pPr>
              <w:ind w:left="4000"/>
              <w:spacing w:after="0"/>
              <w:rPr>
                <w:sz w:val="20"/>
                <w:szCs w:val="20"/>
                <w:color w:val="auto"/>
              </w:rPr>
            </w:pPr>
            <w:r>
              <w:rPr>
                <w:rFonts w:ascii="Arial" w:cs="Arial" w:eastAsia="Arial" w:hAnsi="Arial"/>
                <w:sz w:val="14"/>
                <w:szCs w:val="14"/>
                <w:color w:val="auto"/>
              </w:rPr>
              <w:t>27</w:t>
            </w:r>
          </w:p>
        </w:tc>
      </w:tr>
      <w:tr>
        <w:trPr>
          <w:trHeight w:val="103"/>
        </w:trPr>
        <w:tc>
          <w:tcPr>
            <w:tcW w:w="1640" w:type="dxa"/>
            <w:vAlign w:val="bottom"/>
            <w:tcBorders>
              <w:bottom w:val="single" w:sz="8" w:color="808080"/>
            </w:tcBorders>
          </w:tcPr>
          <w:p>
            <w:pPr>
              <w:spacing w:after="0"/>
              <w:rPr>
                <w:sz w:val="8"/>
                <w:szCs w:val="8"/>
                <w:color w:val="auto"/>
              </w:rPr>
            </w:pPr>
          </w:p>
        </w:tc>
        <w:tc>
          <w:tcPr>
            <w:tcW w:w="97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10(c)</w:t>
            </w:r>
          </w:p>
        </w:tc>
        <w:tc>
          <w:tcPr>
            <w:tcW w:w="10020" w:type="dxa"/>
            <w:vAlign w:val="bottom"/>
          </w:tcPr>
          <w:p>
            <w:pPr>
              <w:ind w:left="520"/>
              <w:spacing w:after="0"/>
              <w:rPr>
                <w:sz w:val="20"/>
                <w:szCs w:val="20"/>
                <w:color w:val="auto"/>
              </w:rPr>
            </w:pPr>
            <w:r>
              <w:rPr>
                <w:rFonts w:ascii="Arial" w:cs="Arial" w:eastAsia="Arial" w:hAnsi="Arial"/>
                <w:sz w:val="18"/>
                <w:szCs w:val="18"/>
                <w:color w:val="auto"/>
                <w:w w:val="94"/>
              </w:rPr>
              <w:t>Amendment No. 3 to Credit Agreement executed and delivered on April 10, 2007 but effective as of February 28, 2007, by and</w:t>
            </w:r>
          </w:p>
        </w:tc>
      </w:tr>
      <w:tr>
        <w:trPr>
          <w:trHeight w:val="216"/>
        </w:trPr>
        <w:tc>
          <w:tcPr>
            <w:tcW w:w="900" w:type="dxa"/>
            <w:vAlign w:val="bottom"/>
          </w:tcPr>
          <w:p>
            <w:pPr>
              <w:spacing w:after="0"/>
              <w:rPr>
                <w:sz w:val="18"/>
                <w:szCs w:val="18"/>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w w:val="92"/>
              </w:rPr>
              <w:t>among The Toro Company, Toro Credit Company, Toro Manufacturing LLC, Exmark Manufacturing Company Incorporated, and</w:t>
            </w:r>
          </w:p>
        </w:tc>
      </w:tr>
      <w:tr>
        <w:trPr>
          <w:trHeight w:val="216"/>
        </w:trPr>
        <w:tc>
          <w:tcPr>
            <w:tcW w:w="900" w:type="dxa"/>
            <w:vAlign w:val="bottom"/>
          </w:tcPr>
          <w:p>
            <w:pPr>
              <w:spacing w:after="0"/>
              <w:rPr>
                <w:sz w:val="18"/>
                <w:szCs w:val="18"/>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w w:val="94"/>
              </w:rPr>
              <w:t>certain subsidiaries, as Borrowers, the lenders from time to time party thereto, Bank of America, N.A., as Administrative Agent,</w:t>
            </w:r>
          </w:p>
        </w:tc>
      </w:tr>
      <w:tr>
        <w:trPr>
          <w:trHeight w:val="216"/>
        </w:trPr>
        <w:tc>
          <w:tcPr>
            <w:tcW w:w="900" w:type="dxa"/>
            <w:vAlign w:val="bottom"/>
          </w:tcPr>
          <w:p>
            <w:pPr>
              <w:spacing w:after="0"/>
              <w:rPr>
                <w:sz w:val="18"/>
                <w:szCs w:val="18"/>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w w:val="91"/>
              </w:rPr>
              <w:t>Swingline Lender and Letter of Credit Issuer (incorporated by reference to Exhibit 10.1 to Registrant’s Current Report on Form 8-K</w:t>
            </w:r>
          </w:p>
        </w:tc>
      </w:tr>
      <w:tr>
        <w:trPr>
          <w:trHeight w:val="230"/>
        </w:trPr>
        <w:tc>
          <w:tcPr>
            <w:tcW w:w="900" w:type="dxa"/>
            <w:vAlign w:val="bottom"/>
          </w:tcPr>
          <w:p>
            <w:pPr>
              <w:spacing w:after="0"/>
              <w:rPr>
                <w:sz w:val="20"/>
                <w:szCs w:val="20"/>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rPr>
              <w:t>dated April 10, 2007,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10(d)</w:t>
            </w:r>
          </w:p>
        </w:tc>
        <w:tc>
          <w:tcPr>
            <w:tcW w:w="10020" w:type="dxa"/>
            <w:vAlign w:val="bottom"/>
          </w:tcPr>
          <w:p>
            <w:pPr>
              <w:ind w:left="520"/>
              <w:spacing w:after="0"/>
              <w:rPr>
                <w:sz w:val="20"/>
                <w:szCs w:val="20"/>
                <w:color w:val="auto"/>
              </w:rPr>
            </w:pPr>
            <w:r>
              <w:rPr>
                <w:rFonts w:ascii="Arial" w:cs="Arial" w:eastAsia="Arial" w:hAnsi="Arial"/>
                <w:sz w:val="18"/>
                <w:szCs w:val="18"/>
                <w:color w:val="auto"/>
                <w:w w:val="91"/>
              </w:rPr>
              <w:t>Underwriting Agreement, dated as of April 23, 2007, between Registrant and Banc of America Securities LLC, as representative of</w:t>
            </w:r>
          </w:p>
        </w:tc>
      </w:tr>
      <w:tr>
        <w:trPr>
          <w:trHeight w:val="216"/>
        </w:trPr>
        <w:tc>
          <w:tcPr>
            <w:tcW w:w="900" w:type="dxa"/>
            <w:vAlign w:val="bottom"/>
          </w:tcPr>
          <w:p>
            <w:pPr>
              <w:spacing w:after="0"/>
              <w:rPr>
                <w:sz w:val="18"/>
                <w:szCs w:val="18"/>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w w:val="91"/>
              </w:rPr>
              <w:t>the several underwriters named therein (incorporated by reference to Exhibit 1.1 to Registrant’s Current Report on Form 8-K dated</w:t>
            </w:r>
          </w:p>
        </w:tc>
      </w:tr>
      <w:tr>
        <w:trPr>
          <w:trHeight w:val="230"/>
        </w:trPr>
        <w:tc>
          <w:tcPr>
            <w:tcW w:w="900" w:type="dxa"/>
            <w:vAlign w:val="bottom"/>
          </w:tcPr>
          <w:p>
            <w:pPr>
              <w:spacing w:after="0"/>
              <w:rPr>
                <w:sz w:val="20"/>
                <w:szCs w:val="20"/>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rPr>
              <w:t>April 23, 2007, Commission File No. 1-8649).</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020" w:type="dxa"/>
            <w:vAlign w:val="bottom"/>
          </w:tcPr>
          <w:p>
            <w:pPr>
              <w:ind w:left="520"/>
              <w:spacing w:after="0"/>
              <w:rPr>
                <w:sz w:val="20"/>
                <w:szCs w:val="20"/>
                <w:color w:val="auto"/>
              </w:rPr>
            </w:pPr>
            <w:r>
              <w:rPr>
                <w:rFonts w:ascii="Arial" w:cs="Arial" w:eastAsia="Arial" w:hAnsi="Arial"/>
                <w:sz w:val="18"/>
                <w:szCs w:val="18"/>
                <w:color w:val="auto"/>
                <w:w w:val="98"/>
              </w:rPr>
              <w:t>Certification of Chief Executive Officer Pursuant to Rule 13a-14(a) (Section 302 of the Sarbanes-Oxley Act of 2002) (filed</w:t>
            </w:r>
          </w:p>
        </w:tc>
      </w:tr>
      <w:tr>
        <w:trPr>
          <w:trHeight w:val="230"/>
        </w:trPr>
        <w:tc>
          <w:tcPr>
            <w:tcW w:w="900" w:type="dxa"/>
            <w:vAlign w:val="bottom"/>
          </w:tcPr>
          <w:p>
            <w:pPr>
              <w:spacing w:after="0"/>
              <w:rPr>
                <w:sz w:val="20"/>
                <w:szCs w:val="20"/>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rPr>
              <w:t>herewith).</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020" w:type="dxa"/>
            <w:vAlign w:val="bottom"/>
          </w:tcPr>
          <w:p>
            <w:pPr>
              <w:ind w:left="520"/>
              <w:spacing w:after="0"/>
              <w:rPr>
                <w:sz w:val="20"/>
                <w:szCs w:val="20"/>
                <w:color w:val="auto"/>
              </w:rPr>
            </w:pPr>
            <w:r>
              <w:rPr>
                <w:rFonts w:ascii="Arial" w:cs="Arial" w:eastAsia="Arial" w:hAnsi="Arial"/>
                <w:sz w:val="18"/>
                <w:szCs w:val="18"/>
                <w:color w:val="auto"/>
                <w:w w:val="99"/>
              </w:rPr>
              <w:t>Certification of Chief Financial Officer Pursuant to Rule 13a-14(a) (Section 302 of the Sarbanes-Oxley Act of 2002) (filed</w:t>
            </w:r>
          </w:p>
        </w:tc>
      </w:tr>
      <w:tr>
        <w:trPr>
          <w:trHeight w:val="230"/>
        </w:trPr>
        <w:tc>
          <w:tcPr>
            <w:tcW w:w="900" w:type="dxa"/>
            <w:vAlign w:val="bottom"/>
          </w:tcPr>
          <w:p>
            <w:pPr>
              <w:spacing w:after="0"/>
              <w:rPr>
                <w:sz w:val="20"/>
                <w:szCs w:val="20"/>
                <w:color w:val="auto"/>
              </w:rPr>
            </w:pPr>
          </w:p>
        </w:tc>
        <w:tc>
          <w:tcPr>
            <w:tcW w:w="10020" w:type="dxa"/>
            <w:vAlign w:val="bottom"/>
          </w:tcPr>
          <w:p>
            <w:pPr>
              <w:ind w:left="520"/>
              <w:spacing w:after="0"/>
              <w:rPr>
                <w:sz w:val="20"/>
                <w:szCs w:val="20"/>
                <w:color w:val="auto"/>
              </w:rPr>
            </w:pPr>
            <w:r>
              <w:rPr>
                <w:rFonts w:ascii="Arial" w:cs="Arial" w:eastAsia="Arial" w:hAnsi="Arial"/>
                <w:sz w:val="18"/>
                <w:szCs w:val="18"/>
                <w:color w:val="auto"/>
              </w:rPr>
              <w:t>herewith).</w:t>
            </w:r>
          </w:p>
        </w:tc>
      </w:tr>
    </w:tbl>
    <w:p>
      <w:pPr>
        <w:spacing w:after="0" w:line="202" w:lineRule="exact"/>
        <w:rPr>
          <w:sz w:val="20"/>
          <w:szCs w:val="20"/>
          <w:color w:val="auto"/>
        </w:rPr>
      </w:pPr>
    </w:p>
    <w:p>
      <w:pPr>
        <w:ind w:left="1420" w:right="240" w:hanging="1413"/>
        <w:spacing w:after="0" w:line="277"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584" w:right="279" w:bottom="1440" w:gutter="0" w:footer="0" w:header="0"/>
        </w:sectPr>
      </w:pPr>
    </w:p>
    <w:bookmarkStart w:id="28" w:name="page29"/>
    <w:bookmarkEnd w:id="28"/>
    <w:p>
      <w:pPr>
        <w:ind w:left="5160"/>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June 11, 2007</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611" w:right="111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00" w:right="40" w:hanging="276"/>
        <w:spacing w:after="0" w:line="250" w:lineRule="auto"/>
        <w:tabs>
          <w:tab w:leader="none" w:pos="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323" w:lineRule="auto"/>
        <w:tabs>
          <w:tab w:leader="none" w:pos="660" w:val="left"/>
        </w:tabs>
        <w:numPr>
          <w:ilvl w:val="2"/>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50"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0" w:hanging="328"/>
        <w:spacing w:after="0" w:line="261" w:lineRule="auto"/>
        <w:tabs>
          <w:tab w:leader="none" w:pos="6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Stephen P. Wolfe,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60" w:right="40" w:hanging="328"/>
        <w:spacing w:after="0" w:line="25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323"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5" w:lineRule="exact"/>
        <w:rPr>
          <w:rFonts w:ascii="Arial" w:cs="Arial" w:eastAsia="Arial" w:hAnsi="Arial"/>
          <w:sz w:val="16"/>
          <w:szCs w:val="16"/>
          <w:color w:val="auto"/>
        </w:rPr>
      </w:pPr>
    </w:p>
    <w:p>
      <w:pPr>
        <w:ind w:right="460" w:firstLine="8"/>
        <w:spacing w:after="0" w:line="274"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hanging="234"/>
        <w:spacing w:after="0" w:line="250" w:lineRule="auto"/>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hanging="244"/>
        <w:spacing w:after="0" w:line="261" w:lineRule="auto"/>
        <w:tabs>
          <w:tab w:leader="none" w:pos="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2007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Stephen P. Wolfe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07"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The Toro Company (the “Company”) on Form 10-Q for the quarterly period ended May 4, 2007 as filed with the Securities and Exchange Commission on the date hereof (the “Report”), we, Michael J. Hoffman,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14" w:lineRule="exact"/>
        <w:rPr>
          <w:sz w:val="20"/>
          <w:szCs w:val="20"/>
          <w:color w:val="auto"/>
        </w:rPr>
      </w:pPr>
    </w:p>
    <w:p>
      <w:pPr>
        <w:ind w:left="980" w:hanging="29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73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373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2007</w:t>
      </w: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62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6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2007</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32"/>
    </w:lvl>
  </w:abstractNum>
  <w:abstractNum w:abstractNumId="6">
    <w:nsid w:val="5BD062C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8">
    <w:nsid w:val="4DB127F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2019-12-13T14:03:21Z</dcterms:created>
  <dcterms:modified xsi:type="dcterms:W3CDTF">2019-12-13T14:03:21Z</dcterms:modified>
</cp:coreProperties>
</file>