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36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3633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MOELLER PETER 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4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8111 LYNDALE AVENUE SOUTH</w:t>
            </w:r>
          </w:p>
        </w:tc>
      </w:tr>
      <w:tr>
        <w:trPr>
          <w:trHeight w:val="208"/>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BLOOMINGTON MN</w:t>
            </w:r>
          </w:p>
        </w:tc>
        <w:tc>
          <w:tcPr>
            <w:tcW w:w="1600" w:type="dxa"/>
            <w:vAlign w:val="bottom"/>
          </w:tcPr>
          <w:p>
            <w:pPr>
              <w:jc w:val="right"/>
              <w:ind w:right="627"/>
              <w:spacing w:after="0"/>
              <w:rPr>
                <w:sz w:val="20"/>
                <w:szCs w:val="20"/>
                <w:color w:val="auto"/>
              </w:rPr>
            </w:pPr>
            <w:r>
              <w:rPr>
                <w:rFonts w:ascii="Times New Roman" w:cs="Times New Roman" w:eastAsia="Times New Roman" w:hAnsi="Times New Roman"/>
                <w:sz w:val="17"/>
                <w:szCs w:val="17"/>
                <w:color w:val="0000FF"/>
              </w:rPr>
              <w:t>55420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TORO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TTC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00" w:type="dxa"/>
            <w:vAlign w:val="bottom"/>
            <w:tcBorders>
              <w:bottom w:val="single" w:sz="8" w:color="0000EE"/>
            </w:tcBorders>
          </w:tcPr>
          <w:p>
            <w:pPr>
              <w:spacing w:after="0"/>
              <w:rPr>
                <w:sz w:val="3"/>
                <w:szCs w:val="3"/>
                <w:color w:val="auto"/>
              </w:rPr>
            </w:pPr>
          </w:p>
        </w:tc>
        <w:tc>
          <w:tcPr>
            <w:tcW w:w="2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vMerge w:val="restart"/>
          </w:tcPr>
          <w:p>
            <w:pPr>
              <w:ind w:left="1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8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7"/>
              </w:rPr>
              <w:t>X</w:t>
            </w:r>
          </w:p>
        </w:tc>
        <w:tc>
          <w:tcPr>
            <w:tcW w:w="1440" w:type="dxa"/>
            <w:vAlign w:val="bottom"/>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440" w:type="dxa"/>
            <w:vAlign w:val="bottom"/>
          </w:tcPr>
          <w:p>
            <w:pPr>
              <w:ind w:left="18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01/12/2024</w:t>
            </w:r>
          </w:p>
        </w:tc>
        <w:tc>
          <w:tcPr>
            <w:tcW w:w="2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Group VP, Undg &amp; Spec Construc</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2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0000FF"/>
              </w:rPr>
              <w:t>01/12/2024</w:t>
            </w: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J</w:t>
            </w:r>
          </w:p>
        </w:tc>
        <w:tc>
          <w:tcPr>
            <w:tcW w:w="8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4,842.669</w:t>
            </w:r>
          </w:p>
        </w:tc>
        <w:tc>
          <w:tcPr>
            <w:tcW w:w="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3"/>
                <w:szCs w:val="23"/>
                <w:color w:val="auto"/>
              </w:rPr>
            </w:pPr>
          </w:p>
        </w:tc>
        <w:tc>
          <w:tcPr>
            <w:tcW w:w="700" w:type="dxa"/>
            <w:vAlign w:val="bottom"/>
            <w:gridSpan w:val="2"/>
          </w:tcPr>
          <w:p>
            <w:pPr>
              <w:jc w:val="center"/>
              <w:ind w:left="487"/>
              <w:spacing w:after="0"/>
              <w:rPr>
                <w:sz w:val="20"/>
                <w:szCs w:val="20"/>
                <w:color w:val="auto"/>
              </w:rPr>
            </w:pPr>
            <w:r>
              <w:rPr>
                <w:rFonts w:ascii="Times New Roman" w:cs="Times New Roman" w:eastAsia="Times New Roman" w:hAnsi="Times New Roman"/>
                <w:sz w:val="17"/>
                <w:szCs w:val="17"/>
                <w:color w:val="0000FF"/>
              </w:rPr>
              <w:t>0</w:t>
            </w: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4,041.06</w:t>
            </w:r>
            <w:r>
              <w:rPr>
                <w:rFonts w:ascii="Times New Roman" w:cs="Times New Roman" w:eastAsia="Times New Roman" w:hAnsi="Times New Roman"/>
                <w:sz w:val="22"/>
                <w:szCs w:val="22"/>
                <w:color w:val="008000"/>
                <w:w w:val="96"/>
                <w:vertAlign w:val="superscript"/>
              </w:rPr>
              <w:t>(1)</w:t>
            </w:r>
          </w:p>
        </w:tc>
        <w:tc>
          <w:tcPr>
            <w:tcW w:w="300" w:type="dxa"/>
            <w:vAlign w:val="bottom"/>
          </w:tcPr>
          <w:p>
            <w:pPr>
              <w:spacing w:after="0"/>
              <w:rPr>
                <w:sz w:val="18"/>
                <w:szCs w:val="18"/>
                <w:color w:val="auto"/>
              </w:rPr>
            </w:pPr>
          </w:p>
        </w:tc>
        <w:tc>
          <w:tcPr>
            <w:tcW w:w="560" w:type="dxa"/>
            <w:vAlign w:val="bottom"/>
            <w:vMerge w:val="restart"/>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Moeller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2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0000FF"/>
              </w:rPr>
              <w:t>01/12/2024</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J</w:t>
            </w:r>
          </w:p>
        </w:tc>
        <w:tc>
          <w:tcPr>
            <w:tcW w:w="8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4,842.669</w:t>
            </w:r>
          </w:p>
        </w:tc>
        <w:tc>
          <w:tcPr>
            <w:tcW w:w="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4,842.669</w:t>
            </w:r>
          </w:p>
        </w:tc>
        <w:tc>
          <w:tcPr>
            <w:tcW w:w="300" w:type="dxa"/>
            <w:vAlign w:val="bottom"/>
          </w:tcPr>
          <w:p>
            <w:pPr>
              <w:spacing w:after="0"/>
              <w:rPr>
                <w:sz w:val="18"/>
                <w:szCs w:val="18"/>
                <w:color w:val="auto"/>
              </w:rPr>
            </w:pPr>
          </w:p>
        </w:tc>
        <w:tc>
          <w:tcPr>
            <w:tcW w:w="56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1,779.514</w:t>
            </w:r>
            <w:r>
              <w:rPr>
                <w:rFonts w:ascii="Times New Roman" w:cs="Times New Roman" w:eastAsia="Times New Roman" w:hAnsi="Times New Roman"/>
                <w:sz w:val="22"/>
                <w:szCs w:val="22"/>
                <w:color w:val="008000"/>
                <w:w w:val="96"/>
                <w:vertAlign w:val="superscript"/>
              </w:rPr>
              <w:t>(2)</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15.995 net shares acquired by the reporting person since the date of his last report under the dividend reinvestment feature of The Toro Company Retirement Plan less quarterly non-discretionary administrative fees.</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6.998 performance share units acquired by the reporting person since the date of his last report under the dividend reinvestment feature of The Toro Company Deferred Compensation Plan for Officers.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Joanna M. Totsky,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01/17/2024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00" w:type="dxa"/>
            <w:vAlign w:val="bottom"/>
            <w:tcBorders>
              <w:top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00" w:type="dxa"/>
            <w:vAlign w:val="bottom"/>
            <w:tcBorders>
              <w:top w:val="single" w:sz="8" w:color="auto"/>
            </w:tcBorders>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651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2024-01-17T13:37:59Z</dcterms:created>
  <dcterms:modified xsi:type="dcterms:W3CDTF">2024-01-17T13:37:59Z</dcterms:modified>
</cp:coreProperties>
</file>