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880" w:hanging="328"/>
        <w:spacing w:after="0"/>
        <w:tabs>
          <w:tab w:leader="none" w:pos="18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1, 2020</w:t>
      </w:r>
    </w:p>
    <w:p>
      <w:pPr>
        <w:spacing w:after="0" w:line="135" w:lineRule="exact"/>
        <w:rPr>
          <w:sz w:val="24"/>
          <w:szCs w:val="24"/>
          <w:color w:val="auto"/>
        </w:rPr>
      </w:pPr>
    </w:p>
    <w:p>
      <w:pPr>
        <w:ind w:left="1880" w:hanging="364"/>
        <w:spacing w:after="0"/>
        <w:tabs>
          <w:tab w:leader="none" w:pos="18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320" w:top="233" w:right="319" w:bottom="1440" w:gutter="0" w:footer="0" w:header="0"/>
        </w:sectPr>
      </w:pPr>
    </w:p>
    <w:p>
      <w:pPr>
        <w:spacing w:after="0" w:line="209"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54" w:lineRule="exact"/>
        <w:rPr>
          <w:sz w:val="24"/>
          <w:szCs w:val="24"/>
          <w:color w:val="auto"/>
        </w:rPr>
      </w:pPr>
    </w:p>
    <w:p>
      <w:pPr>
        <w:sectPr>
          <w:pgSz w:w="11900" w:h="16838" w:orient="portrait"/>
          <w:cols w:equalWidth="0" w:num="2">
            <w:col w:w="6260" w:space="500"/>
            <w:col w:w="4500"/>
          </w:cols>
          <w:pgMar w:left="320" w:top="233"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1-8649</w:t>
      </w:r>
    </w:p>
    <w:p>
      <w:pPr>
        <w:sectPr>
          <w:pgSz w:w="11900" w:h="16838" w:orient="portrait"/>
          <w:cols w:equalWidth="0" w:num="1">
            <w:col w:w="11260"/>
          </w:cols>
          <w:pgMar w:left="320" w:top="233" w:right="319" w:bottom="1440" w:gutter="0" w:footer="0" w:header="0"/>
          <w:type w:val="continuous"/>
        </w:sectPr>
      </w:pP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THE TORO COMPANY</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60"/>
          </w:cols>
          <w:pgMar w:left="320" w:top="233" w:right="319" w:bottom="1440" w:gutter="0" w:footer="0" w:header="0"/>
          <w:type w:val="continuous"/>
        </w:sectPr>
      </w:pPr>
    </w:p>
    <w:p>
      <w:pPr>
        <w:spacing w:after="0" w:line="174"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2">
            <w:col w:w="8060" w:space="720"/>
            <w:col w:w="2480"/>
          </w:cols>
          <w:pgMar w:left="320" w:top="233" w:right="319" w:bottom="144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w:t>
      </w:r>
    </w:p>
    <w:p>
      <w:pPr>
        <w:spacing w:after="0" w:line="45" w:lineRule="exact"/>
        <w:rPr>
          <w:sz w:val="24"/>
          <w:szCs w:val="24"/>
          <w:color w:val="auto"/>
        </w:rPr>
      </w:pPr>
    </w:p>
    <w:p>
      <w:pPr>
        <w:ind w:left="10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372" w:lineRule="exact"/>
        <w:rPr>
          <w:sz w:val="24"/>
          <w:szCs w:val="24"/>
          <w:color w:val="auto"/>
        </w:rPr>
      </w:pPr>
    </w:p>
    <w:p>
      <w:pPr>
        <w:sectPr>
          <w:pgSz w:w="11900" w:h="16838" w:orient="portrait"/>
          <w:cols w:equalWidth="0" w:num="2">
            <w:col w:w="7380" w:space="720"/>
            <w:col w:w="3160"/>
          </w:cols>
          <w:pgMar w:left="320" w:top="233" w:right="319" w:bottom="1440" w:gutter="0" w:footer="0" w:header="0"/>
          <w:type w:val="continuous"/>
        </w:sectPr>
      </w:pPr>
    </w:p>
    <w:p>
      <w:pPr>
        <w:ind w:left="46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$1.00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6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May 28, 2020 was 107,173,815.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7760" w:type="dxa"/>
            <w:vAlign w:val="bottom"/>
          </w:tcPr>
          <w:p>
            <w:pPr>
              <w:spacing w:after="0"/>
              <w:rPr>
                <w:sz w:val="20"/>
                <w:szCs w:val="20"/>
                <w:color w:val="auto"/>
              </w:rPr>
            </w:pPr>
          </w:p>
        </w:tc>
        <w:tc>
          <w:tcPr>
            <w:tcW w:w="226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12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507"/>
        </w:trPr>
        <w:tc>
          <w:tcPr>
            <w:tcW w:w="1220" w:type="dxa"/>
            <w:vAlign w:val="bottom"/>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7760" w:type="dxa"/>
            <w:vAlign w:val="bottom"/>
          </w:tcPr>
          <w:p>
            <w:pPr>
              <w:ind w:left="2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2260" w:type="dxa"/>
            <w:vAlign w:val="bottom"/>
          </w:tcPr>
          <w:p>
            <w:pPr>
              <w:spacing w:after="0"/>
              <w:rPr>
                <w:sz w:val="24"/>
                <w:szCs w:val="24"/>
                <w:color w:val="auto"/>
              </w:rPr>
            </w:pPr>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w:t>
              </w:r>
            </w:hyperlink>
          </w:p>
        </w:tc>
        <w:tc>
          <w:tcPr>
            <w:tcW w:w="7760" w:type="dxa"/>
            <w:vAlign w:val="bottom"/>
          </w:tcPr>
          <w:p>
            <w:pPr>
              <w:ind w:left="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2260" w:type="dxa"/>
            <w:vAlign w:val="bottom"/>
          </w:tcPr>
          <w:p>
            <w:pPr>
              <w:spacing w:after="0"/>
              <w:rPr>
                <w:sz w:val="24"/>
                <w:szCs w:val="24"/>
                <w:color w:val="auto"/>
              </w:rPr>
            </w:pPr>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Earnings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Comprehensive Income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499"/>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22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2.</w:t>
              </w:r>
            </w:hyperlink>
          </w:p>
        </w:tc>
        <w:tc>
          <w:tcPr>
            <w:tcW w:w="7760" w:type="dxa"/>
            <w:vAlign w:val="bottom"/>
          </w:tcPr>
          <w:p>
            <w:pPr>
              <w:ind w:left="2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4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Company Overview</w:t>
              </w:r>
            </w:hyperlink>
          </w:p>
        </w:tc>
        <w:tc>
          <w:tcPr>
            <w:tcW w:w="22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499"/>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Results of Operations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37</w:t>
              </w:r>
            </w:hyperlink>
          </w:p>
        </w:tc>
      </w:tr>
      <w:tr>
        <w:trPr>
          <w:trHeight w:val="50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Business Segments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41</w:t>
              </w:r>
            </w:hyperlink>
          </w:p>
        </w:tc>
      </w:tr>
      <w:tr>
        <w:trPr>
          <w:trHeight w:val="50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Financial Position</w:t>
              </w:r>
            </w:hyperlink>
          </w:p>
        </w:tc>
        <w:tc>
          <w:tcPr>
            <w:tcW w:w="22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44</w:t>
              </w:r>
            </w:hyperlink>
          </w:p>
        </w:tc>
      </w:tr>
      <w:tr>
        <w:trPr>
          <w:trHeight w:val="50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Non-GAAP Financial Measures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499"/>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Critical Accounting Policies and Estimates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r>
      <w:tr>
        <w:trPr>
          <w:trHeight w:val="500"/>
        </w:trPr>
        <w:tc>
          <w:tcPr>
            <w:tcW w:w="1220" w:type="dxa"/>
            <w:vAlign w:val="bottom"/>
          </w:tcPr>
          <w:p>
            <w:pPr>
              <w:spacing w:after="0"/>
              <w:rPr>
                <w:sz w:val="24"/>
                <w:szCs w:val="24"/>
                <w:color w:val="auto"/>
              </w:rPr>
            </w:pPr>
          </w:p>
        </w:tc>
        <w:tc>
          <w:tcPr>
            <w:tcW w:w="7760" w:type="dxa"/>
            <w:vAlign w:val="bottom"/>
          </w:tcPr>
          <w:p>
            <w:pPr>
              <w:ind w:left="6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Forward-Looking Information</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52</w:t>
              </w:r>
            </w:hyperlink>
          </w:p>
        </w:tc>
      </w:tr>
      <w:tr>
        <w:trPr>
          <w:trHeight w:val="50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3.</w:t>
              </w:r>
            </w:hyperlink>
          </w:p>
        </w:tc>
        <w:tc>
          <w:tcPr>
            <w:tcW w:w="7760" w:type="dxa"/>
            <w:vAlign w:val="bottom"/>
          </w:tcPr>
          <w:p>
            <w:pPr>
              <w:ind w:left="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Quantitative and Qualitative Disclosures about Market Risk</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55</w:t>
              </w:r>
            </w:hyperlink>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Item 4.</w:t>
              </w:r>
            </w:hyperlink>
          </w:p>
        </w:tc>
        <w:tc>
          <w:tcPr>
            <w:tcW w:w="7760" w:type="dxa"/>
            <w:vAlign w:val="bottom"/>
          </w:tcPr>
          <w:p>
            <w:pPr>
              <w:ind w:left="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57</w:t>
              </w:r>
            </w:hyperlink>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PART II.</w:t>
              </w:r>
            </w:hyperlink>
          </w:p>
        </w:tc>
        <w:tc>
          <w:tcPr>
            <w:tcW w:w="7760" w:type="dxa"/>
            <w:vAlign w:val="bottom"/>
          </w:tcPr>
          <w:p>
            <w:pPr>
              <w:ind w:left="28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OTHER INFORMATION:</w:t>
              </w:r>
            </w:hyperlink>
          </w:p>
        </w:tc>
        <w:tc>
          <w:tcPr>
            <w:tcW w:w="2260" w:type="dxa"/>
            <w:vAlign w:val="bottom"/>
          </w:tcPr>
          <w:p>
            <w:pPr>
              <w:spacing w:after="0"/>
              <w:rPr>
                <w:sz w:val="24"/>
                <w:szCs w:val="24"/>
                <w:color w:val="auto"/>
              </w:rPr>
            </w:pPr>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Item 1.</w:t>
              </w:r>
            </w:hyperlink>
          </w:p>
        </w:tc>
        <w:tc>
          <w:tcPr>
            <w:tcW w:w="7760" w:type="dxa"/>
            <w:vAlign w:val="bottom"/>
          </w:tcPr>
          <w:p>
            <w:pPr>
              <w:ind w:left="2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58</w:t>
              </w:r>
            </w:hyperlink>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Item 1A.</w:t>
              </w:r>
            </w:hyperlink>
          </w:p>
        </w:tc>
        <w:tc>
          <w:tcPr>
            <w:tcW w:w="7760" w:type="dxa"/>
            <w:vAlign w:val="bottom"/>
          </w:tcPr>
          <w:p>
            <w:pPr>
              <w:ind w:left="2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Risk Factors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58</w:t>
              </w:r>
            </w:hyperlink>
          </w:p>
        </w:tc>
      </w:tr>
      <w:tr>
        <w:trPr>
          <w:trHeight w:val="54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Item 2.</w:t>
              </w:r>
            </w:hyperlink>
          </w:p>
        </w:tc>
        <w:tc>
          <w:tcPr>
            <w:tcW w:w="7760" w:type="dxa"/>
            <w:vAlign w:val="bottom"/>
          </w:tcPr>
          <w:p>
            <w:pPr>
              <w:ind w:left="2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Unregistered Sales of Equity Securities and Use of Proceeds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60</w:t>
              </w:r>
            </w:hyperlink>
          </w:p>
        </w:tc>
      </w:tr>
      <w:tr>
        <w:trPr>
          <w:trHeight w:val="500"/>
        </w:trPr>
        <w:tc>
          <w:tcPr>
            <w:tcW w:w="1220" w:type="dxa"/>
            <w:vAlign w:val="bottom"/>
          </w:tcPr>
          <w:p>
            <w:pPr>
              <w:ind w:left="4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Item 6.</w:t>
              </w:r>
            </w:hyperlink>
          </w:p>
        </w:tc>
        <w:tc>
          <w:tcPr>
            <w:tcW w:w="7760" w:type="dxa"/>
            <w:vAlign w:val="bottom"/>
          </w:tcPr>
          <w:p>
            <w:pPr>
              <w:ind w:left="2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61</w:t>
              </w:r>
            </w:hyperlink>
          </w:p>
        </w:tc>
      </w:tr>
      <w:tr>
        <w:trPr>
          <w:trHeight w:val="540"/>
        </w:trPr>
        <w:tc>
          <w:tcPr>
            <w:tcW w:w="1220" w:type="dxa"/>
            <w:vAlign w:val="bottom"/>
          </w:tcPr>
          <w:p>
            <w:pPr>
              <w:spacing w:after="0"/>
              <w:rPr>
                <w:sz w:val="24"/>
                <w:szCs w:val="24"/>
                <w:color w:val="auto"/>
              </w:rPr>
            </w:pPr>
          </w:p>
        </w:tc>
        <w:tc>
          <w:tcPr>
            <w:tcW w:w="7760" w:type="dxa"/>
            <w:vAlign w:val="bottom"/>
          </w:tcPr>
          <w:p>
            <w:pPr>
              <w:ind w:left="2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w:t>
              </w:r>
            </w:hyperlink>
          </w:p>
        </w:tc>
        <w:tc>
          <w:tcPr>
            <w:tcW w:w="226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62</w:t>
              </w:r>
            </w:hyperlink>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929,398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962,036</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1,696,881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1,564,992</w:t>
            </w:r>
          </w:p>
        </w:tc>
      </w:tr>
      <w:tr>
        <w:trPr>
          <w:trHeight w:val="239"/>
        </w:trPr>
        <w:tc>
          <w:tcPr>
            <w:tcW w:w="494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34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622,681</w:t>
            </w:r>
          </w:p>
        </w:tc>
        <w:tc>
          <w:tcPr>
            <w:tcW w:w="2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640,738</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1,102,076</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1,028,077</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306,717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321,298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594,805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536,915</w:t>
            </w:r>
          </w:p>
        </w:tc>
      </w:tr>
      <w:tr>
        <w:trPr>
          <w:trHeight w:val="239"/>
        </w:trPr>
        <w:tc>
          <w:tcPr>
            <w:tcW w:w="49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34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180,922</w:t>
            </w:r>
          </w:p>
        </w:tc>
        <w:tc>
          <w:tcPr>
            <w:tcW w:w="2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183,573</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377,881</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329,136</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earnings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125,795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137,725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216,924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207,779</w:t>
            </w:r>
          </w:p>
        </w:tc>
      </w:tr>
      <w:tr>
        <w:trPr>
          <w:trHeight w:val="239"/>
        </w:trPr>
        <w:tc>
          <w:tcPr>
            <w:tcW w:w="494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(8,659)</w:t>
            </w:r>
          </w:p>
        </w:tc>
        <w:tc>
          <w:tcPr>
            <w:tcW w:w="26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(6,694)</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(16,815)</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(11,436)</w:t>
            </w:r>
          </w:p>
        </w:tc>
      </w:tr>
      <w:tr>
        <w:trPr>
          <w:trHeight w:val="31"/>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4,235</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6,149</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7,401</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10,857</w:t>
            </w:r>
          </w:p>
        </w:tc>
      </w:tr>
      <w:tr>
        <w:trPr>
          <w:trHeight w:val="233"/>
        </w:trPr>
        <w:tc>
          <w:tcPr>
            <w:tcW w:w="49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Earnings before income taxes</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121,371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137,180</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207,510</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207,200</w:t>
            </w:r>
          </w:p>
        </w:tc>
      </w:tr>
      <w:tr>
        <w:trPr>
          <w:trHeight w:val="31"/>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22,925</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21,610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38,973</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32,090</w:t>
            </w:r>
          </w:p>
        </w:tc>
      </w:tr>
      <w:tr>
        <w:trPr>
          <w:trHeight w:val="233"/>
        </w:trPr>
        <w:tc>
          <w:tcPr>
            <w:tcW w:w="49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Net earnings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98,446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115,570</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168,537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175,110</w:t>
            </w:r>
          </w:p>
        </w:tc>
      </w:tr>
      <w:tr>
        <w:trPr>
          <w:trHeight w:val="71"/>
        </w:trPr>
        <w:tc>
          <w:tcPr>
            <w:tcW w:w="49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78"/>
        </w:trPr>
        <w:tc>
          <w:tcPr>
            <w:tcW w:w="4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9"/>
        </w:trPr>
        <w:tc>
          <w:tcPr>
            <w:tcW w:w="4940" w:type="dxa"/>
            <w:vAlign w:val="bottom"/>
          </w:tcPr>
          <w:p>
            <w:pPr>
              <w:ind w:left="40"/>
              <w:spacing w:after="0"/>
              <w:rPr>
                <w:sz w:val="20"/>
                <w:szCs w:val="20"/>
                <w:color w:val="auto"/>
              </w:rPr>
            </w:pPr>
            <w:r>
              <w:rPr>
                <w:rFonts w:ascii="Arial" w:cs="Arial" w:eastAsia="Arial" w:hAnsi="Arial"/>
                <w:sz w:val="17"/>
                <w:szCs w:val="17"/>
                <w:color w:val="auto"/>
              </w:rPr>
              <w:t>Basic net earnings per share of common stock</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0.92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1.08</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1.57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1.64</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0"/>
        </w:trPr>
        <w:tc>
          <w:tcPr>
            <w:tcW w:w="4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9"/>
        </w:trPr>
        <w:tc>
          <w:tcPr>
            <w:tcW w:w="4940" w:type="dxa"/>
            <w:vAlign w:val="bottom"/>
          </w:tcPr>
          <w:p>
            <w:pPr>
              <w:ind w:left="40"/>
              <w:spacing w:after="0"/>
              <w:rPr>
                <w:sz w:val="20"/>
                <w:szCs w:val="20"/>
                <w:color w:val="auto"/>
              </w:rPr>
            </w:pPr>
            <w:r>
              <w:rPr>
                <w:rFonts w:ascii="Arial" w:cs="Arial" w:eastAsia="Arial" w:hAnsi="Arial"/>
                <w:sz w:val="17"/>
                <w:szCs w:val="17"/>
                <w:color w:val="auto"/>
              </w:rPr>
              <w:t>Diluted net earnings per share of common stock</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0.91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1.55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1.62</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2"/>
        </w:trPr>
        <w:tc>
          <w:tcPr>
            <w:tcW w:w="4940" w:type="dxa"/>
            <w:vAlign w:val="bottom"/>
          </w:tcPr>
          <w:p>
            <w:pPr>
              <w:ind w:left="40"/>
              <w:spacing w:after="0"/>
              <w:rPr>
                <w:sz w:val="20"/>
                <w:szCs w:val="20"/>
                <w:color w:val="auto"/>
              </w:rPr>
            </w:pPr>
            <w:r>
              <w:rPr>
                <w:rFonts w:ascii="Arial" w:cs="Arial" w:eastAsia="Arial" w:hAnsi="Arial"/>
                <w:sz w:val="17"/>
                <w:szCs w:val="17"/>
                <w:color w:val="auto"/>
                <w:w w:val="93"/>
              </w:rPr>
              <w:t>Weighted-average number of shares of common stock outstanding —</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tcPr>
          <w:p>
            <w:pPr>
              <w:ind w:left="40"/>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107,552</w:t>
            </w:r>
          </w:p>
        </w:tc>
        <w:tc>
          <w:tcPr>
            <w:tcW w:w="26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106,679</w:t>
            </w:r>
          </w:p>
        </w:tc>
        <w:tc>
          <w:tcPr>
            <w:tcW w:w="260" w:type="dxa"/>
            <w:vAlign w:val="bottom"/>
          </w:tcPr>
          <w:p>
            <w:pPr>
              <w:spacing w:after="0"/>
              <w:rPr>
                <w:sz w:val="18"/>
                <w:szCs w:val="18"/>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107,487</w:t>
            </w:r>
          </w:p>
        </w:tc>
        <w:tc>
          <w:tcPr>
            <w:tcW w:w="26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106,466</w:t>
            </w:r>
          </w:p>
        </w:tc>
      </w:tr>
      <w:tr>
        <w:trPr>
          <w:trHeight w:val="31"/>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4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2"/>
        </w:trPr>
        <w:tc>
          <w:tcPr>
            <w:tcW w:w="4940" w:type="dxa"/>
            <w:vAlign w:val="bottom"/>
          </w:tcPr>
          <w:p>
            <w:pPr>
              <w:ind w:left="40"/>
              <w:spacing w:after="0"/>
              <w:rPr>
                <w:sz w:val="20"/>
                <w:szCs w:val="20"/>
                <w:color w:val="auto"/>
              </w:rPr>
            </w:pPr>
            <w:r>
              <w:rPr>
                <w:rFonts w:ascii="Arial" w:cs="Arial" w:eastAsia="Arial" w:hAnsi="Arial"/>
                <w:sz w:val="17"/>
                <w:szCs w:val="17"/>
                <w:color w:val="auto"/>
                <w:w w:val="93"/>
              </w:rPr>
              <w:t>Weighted-average number of shares of common stock outstanding —</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40" w:type="dxa"/>
            <w:vAlign w:val="bottom"/>
          </w:tcPr>
          <w:p>
            <w:pPr>
              <w:ind w:left="4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108,500</w:t>
            </w:r>
          </w:p>
        </w:tc>
        <w:tc>
          <w:tcPr>
            <w:tcW w:w="26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108,007</w:t>
            </w:r>
          </w:p>
        </w:tc>
        <w:tc>
          <w:tcPr>
            <w:tcW w:w="260" w:type="dxa"/>
            <w:vAlign w:val="bottom"/>
          </w:tcPr>
          <w:p>
            <w:pPr>
              <w:spacing w:after="0"/>
              <w:rPr>
                <w:sz w:val="18"/>
                <w:szCs w:val="18"/>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108,581</w:t>
            </w:r>
          </w:p>
        </w:tc>
        <w:tc>
          <w:tcPr>
            <w:tcW w:w="26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107,909</w:t>
            </w:r>
          </w:p>
        </w:tc>
      </w:tr>
      <w:tr>
        <w:trPr>
          <w:trHeight w:val="31"/>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5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5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98,446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115,570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168,537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175,110</w:t>
            </w:r>
          </w:p>
        </w:tc>
      </w:tr>
      <w:tr>
        <w:trPr>
          <w:trHeight w:val="226"/>
        </w:trPr>
        <w:tc>
          <w:tcPr>
            <w:tcW w:w="500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
        </w:trPr>
        <w:tc>
          <w:tcPr>
            <w:tcW w:w="5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(3,767)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(5,891)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2"/>
        </w:trPr>
        <w:tc>
          <w:tcPr>
            <w:tcW w:w="5000" w:type="dxa"/>
            <w:vAlign w:val="bottom"/>
          </w:tcPr>
          <w:p>
            <w:pPr>
              <w:ind w:left="180"/>
              <w:spacing w:after="0"/>
              <w:rPr>
                <w:sz w:val="20"/>
                <w:szCs w:val="20"/>
                <w:color w:val="auto"/>
              </w:rPr>
            </w:pPr>
            <w:r>
              <w:rPr>
                <w:rFonts w:ascii="Arial" w:cs="Arial" w:eastAsia="Arial" w:hAnsi="Arial"/>
                <w:sz w:val="17"/>
                <w:szCs w:val="17"/>
                <w:color w:val="auto"/>
                <w:w w:val="93"/>
              </w:rPr>
              <w:t>Derivative instruments, net of tax of $843; $998; $1,032; and $(354),</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2,674</w:t>
            </w:r>
          </w:p>
        </w:tc>
        <w:tc>
          <w:tcPr>
            <w:tcW w:w="26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3,166</w:t>
            </w:r>
          </w:p>
        </w:tc>
        <w:tc>
          <w:tcPr>
            <w:tcW w:w="260" w:type="dxa"/>
            <w:vAlign w:val="bottom"/>
          </w:tcPr>
          <w:p>
            <w:pPr>
              <w:spacing w:after="0"/>
              <w:rPr>
                <w:sz w:val="18"/>
                <w:szCs w:val="18"/>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3,326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(843)</w:t>
            </w:r>
          </w:p>
        </w:tc>
      </w:tr>
      <w:tr>
        <w:trPr>
          <w:trHeight w:val="31"/>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Pension and retiree medical benefits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912</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912</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Other comprehensive loss, net of tax</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(601)</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(1,653)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(1,179)</w:t>
            </w:r>
          </w:p>
        </w:tc>
      </w:tr>
      <w:tr>
        <w:trPr>
          <w:trHeight w:val="31"/>
        </w:trPr>
        <w:tc>
          <w:tcPr>
            <w:tcW w:w="5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96,865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114,969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166,884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173,931</w:t>
            </w: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19"/>
                <w:szCs w:val="19"/>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3, 2019</w:t>
            </w:r>
          </w:p>
        </w:tc>
        <w:tc>
          <w:tcPr>
            <w:tcW w:w="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646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ASSETS</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200,004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180,078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151,828</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400,444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428,567</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268,768</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714,167</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611,331</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651,663</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59,938</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50,298</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50,632</w:t>
            </w:r>
          </w:p>
        </w:tc>
      </w:tr>
      <w:tr>
        <w:trPr>
          <w:trHeight w:val="233"/>
        </w:trPr>
        <w:tc>
          <w:tcPr>
            <w:tcW w:w="40" w:type="dxa"/>
            <w:vAlign w:val="bottom"/>
            <w:tcBorders>
              <w:top w:val="single" w:sz="8" w:color="auto"/>
            </w:tcBorders>
          </w:tcPr>
          <w:p>
            <w:pPr>
              <w:spacing w:after="0"/>
              <w:rPr>
                <w:sz w:val="20"/>
                <w:szCs w:val="20"/>
                <w:color w:val="auto"/>
              </w:rPr>
            </w:pPr>
          </w:p>
        </w:tc>
        <w:tc>
          <w:tcPr>
            <w:tcW w:w="646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assets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1,374,553</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1,270,274</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1,122,891</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453,761</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425,381</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437,317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426,175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372,343</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417,886</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333,177</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352,374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84,091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27,836</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30,110</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24,147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4,597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4,484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6,251</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22,576</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30,231</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25,314</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2,811,475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2,466,000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89"/>
        </w:trPr>
        <w:tc>
          <w:tcPr>
            <w:tcW w:w="40" w:type="dxa"/>
            <w:vAlign w:val="bottom"/>
            <w:shd w:val="clear" w:color="auto" w:fill="CCEEFF"/>
          </w:tcPr>
          <w:p>
            <w:pPr>
              <w:spacing w:after="0"/>
              <w:rPr>
                <w:sz w:val="16"/>
                <w:szCs w:val="16"/>
                <w:color w:val="auto"/>
              </w:rPr>
            </w:pPr>
          </w:p>
        </w:tc>
        <w:tc>
          <w:tcPr>
            <w:tcW w:w="64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LIABILITIES AND STOCKHOLDERS’ EQUITY</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80" w:type="dxa"/>
            <w:vAlign w:val="bottom"/>
            <w:tcBorders>
              <w:top w:val="single" w:sz="8" w:color="auto"/>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Current portion of long-term debt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99,868</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90,000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79,914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327,354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391,692</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319,230</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414,499</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360,082</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357,826</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14,012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0" w:type="dxa"/>
            <w:vAlign w:val="bottom"/>
            <w:tcBorders>
              <w:top w:val="single" w:sz="8" w:color="auto"/>
            </w:tcBorders>
          </w:tcPr>
          <w:p>
            <w:pPr>
              <w:spacing w:after="0"/>
              <w:rPr>
                <w:sz w:val="20"/>
                <w:szCs w:val="20"/>
                <w:color w:val="auto"/>
              </w:rPr>
            </w:pPr>
          </w:p>
        </w:tc>
        <w:tc>
          <w:tcPr>
            <w:tcW w:w="646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liabilities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855,733</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841,774</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756,970</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790,908</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721,079</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620,899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72,228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40" w:type="dxa"/>
            <w:vAlign w:val="bottom"/>
          </w:tcPr>
          <w:p>
            <w:pPr>
              <w:spacing w:after="0"/>
              <w:rPr>
                <w:sz w:val="20"/>
                <w:szCs w:val="20"/>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70,755</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50,665</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50,579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36,901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47,205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42,521</w:t>
            </w:r>
          </w:p>
        </w:tc>
      </w:tr>
      <w:tr>
        <w:trPr>
          <w:trHeight w:val="28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460" w:type="dxa"/>
            <w:vAlign w:val="bottom"/>
            <w:gridSpan w:val="3"/>
          </w:tcPr>
          <w:p>
            <w:pPr>
              <w:ind w:left="140"/>
              <w:spacing w:after="0"/>
              <w:rPr>
                <w:sz w:val="20"/>
                <w:szCs w:val="20"/>
                <w:color w:val="auto"/>
              </w:rPr>
            </w:pPr>
            <w:r>
              <w:rPr>
                <w:rFonts w:ascii="Arial" w:cs="Arial" w:eastAsia="Arial" w:hAnsi="Arial"/>
                <w:sz w:val="17"/>
                <w:szCs w:val="17"/>
                <w:color w:val="auto"/>
                <w:w w:val="93"/>
              </w:rPr>
              <w:t>Preferred stock, par value $1.00 per share, authorized 1,000,000 voting and 850,000 non-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460" w:type="dxa"/>
            <w:vAlign w:val="bottom"/>
            <w:gridSpan w:val="3"/>
          </w:tcPr>
          <w:p>
            <w:pPr>
              <w:ind w:left="140"/>
              <w:spacing w:after="0"/>
              <w:rPr>
                <w:sz w:val="20"/>
                <w:szCs w:val="20"/>
                <w:color w:val="auto"/>
              </w:rPr>
            </w:pPr>
            <w:r>
              <w:rPr>
                <w:rFonts w:ascii="Arial" w:cs="Arial" w:eastAsia="Arial" w:hAnsi="Arial"/>
                <w:sz w:val="17"/>
                <w:szCs w:val="17"/>
                <w:color w:val="auto"/>
              </w:rPr>
              <w:t>voting shares, none issued and outstanding</w:t>
            </w:r>
          </w:p>
        </w:tc>
        <w:tc>
          <w:tcPr>
            <w:tcW w:w="34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2"/>
        </w:trPr>
        <w:tc>
          <w:tcPr>
            <w:tcW w:w="4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6"/>
              </w:rPr>
              <w:t>Common stock, par value $1.00 per share, authorized 175,000,000 shares; issued and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1"/>
              </w:rPr>
              <w:t>outstanding 107,110,815 shares as of May 1, 2020, 106,433,714 shares as of May 3, 2019,</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7"/>
        </w:trPr>
        <w:tc>
          <w:tcPr>
            <w:tcW w:w="4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and 106,742,082 shares as of October 31, 2019</w:t>
            </w:r>
          </w:p>
        </w:tc>
        <w:tc>
          <w:tcPr>
            <w:tcW w:w="3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107,111</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106,434</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106,742</w:t>
            </w:r>
          </w:p>
        </w:tc>
      </w:tr>
      <w:tr>
        <w:trPr>
          <w:trHeight w:val="239"/>
        </w:trPr>
        <w:tc>
          <w:tcPr>
            <w:tcW w:w="40" w:type="dxa"/>
            <w:vAlign w:val="bottom"/>
          </w:tcPr>
          <w:p>
            <w:pPr>
              <w:spacing w:after="0"/>
              <w:rPr>
                <w:sz w:val="20"/>
                <w:szCs w:val="20"/>
                <w:color w:val="auto"/>
              </w:rPr>
            </w:pPr>
          </w:p>
        </w:tc>
        <w:tc>
          <w:tcPr>
            <w:tcW w:w="6460" w:type="dxa"/>
            <w:vAlign w:val="bottom"/>
            <w:gridSpan w:val="3"/>
          </w:tcPr>
          <w:p>
            <w:pPr>
              <w:ind w:left="140"/>
              <w:spacing w:after="0"/>
              <w:rPr>
                <w:sz w:val="20"/>
                <w:szCs w:val="20"/>
                <w:color w:val="auto"/>
              </w:rPr>
            </w:pPr>
            <w:r>
              <w:rPr>
                <w:rFonts w:ascii="Arial" w:cs="Arial" w:eastAsia="Arial" w:hAnsi="Arial"/>
                <w:sz w:val="17"/>
                <w:szCs w:val="17"/>
                <w:color w:val="auto"/>
              </w:rPr>
              <w:t>Retained earnings</w:t>
            </w:r>
          </w:p>
        </w:tc>
        <w:tc>
          <w:tcPr>
            <w:tcW w:w="3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911,541</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723,959</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784,885</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(33,702)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(25,116)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r>
      <w:tr>
        <w:trPr>
          <w:trHeight w:val="232"/>
        </w:trPr>
        <w:tc>
          <w:tcPr>
            <w:tcW w:w="40" w:type="dxa"/>
            <w:vAlign w:val="bottom"/>
            <w:tcBorders>
              <w:top w:val="single" w:sz="8" w:color="auto"/>
            </w:tcBorders>
          </w:tcPr>
          <w:p>
            <w:pPr>
              <w:spacing w:after="0"/>
              <w:rPr>
                <w:sz w:val="20"/>
                <w:szCs w:val="20"/>
                <w:color w:val="auto"/>
              </w:rPr>
            </w:pPr>
          </w:p>
        </w:tc>
        <w:tc>
          <w:tcPr>
            <w:tcW w:w="6460" w:type="dxa"/>
            <w:vAlign w:val="bottom"/>
            <w:tcBorders>
              <w:top w:val="single" w:sz="8" w:color="auto"/>
            </w:tcBorders>
            <w:gridSpan w:val="3"/>
          </w:tcPr>
          <w:p>
            <w:pPr>
              <w:ind w:left="240"/>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984,950</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805,277</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859,578</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2,811,475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2,466,000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3"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94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168,537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175,110</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Non-cash income from finance affiliate</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(4,010)</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(5,825)</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Distributions from (contributions to) finance affiliate, net</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(1,743)</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Depreciation of property, plant and equipment</w:t>
            </w:r>
          </w:p>
        </w:tc>
        <w:tc>
          <w:tcPr>
            <w:tcW w:w="14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35,951</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29,090</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9,618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5,940</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Fair value step-up adjustment to acquired inventory</w:t>
            </w:r>
          </w:p>
        </w:tc>
        <w:tc>
          <w:tcPr>
            <w:tcW w:w="14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2,864</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8,422</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 expense</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5,367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7,025</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4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860</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r>
      <w:tr>
        <w:trPr>
          <w:trHeight w:val="226"/>
        </w:trPr>
        <w:tc>
          <w:tcPr>
            <w:tcW w:w="6940" w:type="dxa"/>
            <w:vAlign w:val="bottom"/>
          </w:tcPr>
          <w:p>
            <w:pPr>
              <w:ind w:left="4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
        </w:trPr>
        <w:tc>
          <w:tcPr>
            <w:tcW w:w="69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Receivables, net</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(126,639)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(169,820)</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(43,095)</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(4,683)</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Prepaid expenses and other assets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(2,870)</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534</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4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23,606</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120,091</w:t>
            </w:r>
          </w:p>
        </w:tc>
      </w:tr>
      <w:tr>
        <w:trPr>
          <w:trHeight w:val="31"/>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cash provided by operating activities</w:t>
            </w:r>
          </w:p>
        </w:tc>
        <w:tc>
          <w:tcPr>
            <w:tcW w:w="1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70,885</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163,990</w:t>
            </w:r>
          </w:p>
        </w:tc>
      </w:tr>
      <w:tr>
        <w:trPr>
          <w:trHeight w:val="277"/>
        </w:trPr>
        <w:tc>
          <w:tcPr>
            <w:tcW w:w="69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Purchases of property, plant and equipment</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(27,167)</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(33,421)</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asset disposals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Investment in unconsolidated entities</w:t>
            </w:r>
          </w:p>
        </w:tc>
        <w:tc>
          <w:tcPr>
            <w:tcW w:w="14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Acquisitions, net of cash acquired</w:t>
            </w:r>
          </w:p>
        </w:tc>
        <w:tc>
          <w:tcPr>
            <w:tcW w:w="1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(136,431)</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(692,077)</w:t>
            </w:r>
          </w:p>
        </w:tc>
      </w:tr>
      <w:tr>
        <w:trPr>
          <w:trHeight w:val="233"/>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Net cash used in investing activities</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(163,552)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(725,543)</w:t>
            </w:r>
          </w:p>
        </w:tc>
      </w:tr>
      <w:tr>
        <w:trPr>
          <w:trHeight w:val="31"/>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69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6"/>
        </w:trPr>
        <w:tc>
          <w:tcPr>
            <w:tcW w:w="69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
        </w:trPr>
        <w:tc>
          <w:tcPr>
            <w:tcW w:w="69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Borrowings under debt arrangements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636,025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700,000</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Repayments under debt arrangements</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(446,025)</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(201,004)</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8,347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24,408</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Payments of withholding taxes for stock awards</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(1,482)</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(1,894)</w:t>
            </w:r>
          </w:p>
        </w:tc>
      </w:tr>
      <w:tr>
        <w:trPr>
          <w:trHeight w:val="31"/>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Toro common stock</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(20,043)</w:t>
            </w: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Dividends paid on Toro common stock</w:t>
            </w:r>
          </w:p>
        </w:tc>
        <w:tc>
          <w:tcPr>
            <w:tcW w:w="14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(53,744)</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(47,930)</w:t>
            </w:r>
          </w:p>
        </w:tc>
      </w:tr>
      <w:tr>
        <w:trPr>
          <w:trHeight w:val="31"/>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143,121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453,537</w:t>
            </w:r>
          </w:p>
        </w:tc>
      </w:tr>
      <w:tr>
        <w:trPr>
          <w:trHeight w:val="277"/>
        </w:trPr>
        <w:tc>
          <w:tcPr>
            <w:tcW w:w="69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1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(2,278)</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w:t>
            </w:r>
          </w:p>
        </w:tc>
      </w:tr>
      <w:tr>
        <w:trPr>
          <w:trHeight w:val="277"/>
        </w:trPr>
        <w:tc>
          <w:tcPr>
            <w:tcW w:w="69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1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48,176</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(109,046)</w:t>
            </w:r>
          </w:p>
        </w:tc>
      </w:tr>
      <w:tr>
        <w:trPr>
          <w:trHeight w:val="233"/>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151,828</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289,124</w:t>
            </w:r>
          </w:p>
        </w:tc>
      </w:tr>
      <w:tr>
        <w:trPr>
          <w:trHeight w:val="31"/>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as of the end of the fiscal period</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200,004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180,078</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Total</w:t>
            </w:r>
          </w:p>
        </w:tc>
      </w:tr>
      <w:tr>
        <w:trPr>
          <w:trHeight w:val="203"/>
        </w:trPr>
        <w:tc>
          <w:tcPr>
            <w:tcW w:w="5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295"/>
              <w:spacing w:after="0"/>
              <w:rPr>
                <w:sz w:val="20"/>
                <w:szCs w:val="20"/>
                <w:color w:val="auto"/>
              </w:rPr>
            </w:pPr>
            <w:r>
              <w:rPr>
                <w:rFonts w:ascii="Arial" w:cs="Arial" w:eastAsia="Arial" w:hAnsi="Arial"/>
                <w:sz w:val="17"/>
                <w:szCs w:val="17"/>
                <w:b w:val="1"/>
                <w:bCs w:val="1"/>
                <w:color w:val="auto"/>
              </w:rPr>
              <w:t>Common</w:t>
            </w:r>
          </w:p>
        </w:tc>
        <w:tc>
          <w:tcPr>
            <w:tcW w:w="300" w:type="dxa"/>
            <w:vAlign w:val="bottom"/>
          </w:tcPr>
          <w:p>
            <w:pPr>
              <w:spacing w:after="0"/>
              <w:rPr>
                <w:sz w:val="17"/>
                <w:szCs w:val="17"/>
                <w:color w:val="auto"/>
              </w:rPr>
            </w:pPr>
          </w:p>
        </w:tc>
        <w:tc>
          <w:tcPr>
            <w:tcW w:w="1160" w:type="dxa"/>
            <w:vAlign w:val="bottom"/>
          </w:tcPr>
          <w:p>
            <w:pPr>
              <w:jc w:val="right"/>
              <w:ind w:right="295"/>
              <w:spacing w:after="0"/>
              <w:rPr>
                <w:sz w:val="20"/>
                <w:szCs w:val="20"/>
                <w:color w:val="auto"/>
              </w:rPr>
            </w:pPr>
            <w:r>
              <w:rPr>
                <w:rFonts w:ascii="Arial" w:cs="Arial" w:eastAsia="Arial" w:hAnsi="Arial"/>
                <w:sz w:val="17"/>
                <w:szCs w:val="17"/>
                <w:b w:val="1"/>
                <w:bCs w:val="1"/>
                <w:color w:val="auto"/>
              </w:rPr>
              <w:t>Retained</w:t>
            </w:r>
          </w:p>
        </w:tc>
        <w:tc>
          <w:tcPr>
            <w:tcW w:w="1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w w:val="99"/>
              </w:rPr>
              <w:t>Accumulated Other</w:t>
            </w:r>
          </w:p>
        </w:tc>
        <w:tc>
          <w:tcPr>
            <w:tcW w:w="240" w:type="dxa"/>
            <w:vAlign w:val="bottom"/>
          </w:tcPr>
          <w:p>
            <w:pPr>
              <w:spacing w:after="0"/>
              <w:rPr>
                <w:sz w:val="17"/>
                <w:szCs w:val="17"/>
                <w:color w:val="auto"/>
              </w:rPr>
            </w:pPr>
          </w:p>
        </w:tc>
        <w:tc>
          <w:tcPr>
            <w:tcW w:w="12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Stockholders'</w:t>
            </w:r>
          </w:p>
        </w:tc>
      </w:tr>
      <w:tr>
        <w:trPr>
          <w:trHeight w:val="220"/>
        </w:trPr>
        <w:tc>
          <w:tcPr>
            <w:tcW w:w="5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415"/>
              <w:spacing w:after="0"/>
              <w:rPr>
                <w:sz w:val="20"/>
                <w:szCs w:val="20"/>
                <w:color w:val="auto"/>
              </w:rPr>
            </w:pPr>
            <w:r>
              <w:rPr>
                <w:rFonts w:ascii="Arial" w:cs="Arial" w:eastAsia="Arial" w:hAnsi="Arial"/>
                <w:sz w:val="17"/>
                <w:szCs w:val="17"/>
                <w:b w:val="1"/>
                <w:bCs w:val="1"/>
                <w:color w:val="auto"/>
              </w:rPr>
              <w:t>Stock</w:t>
            </w:r>
          </w:p>
        </w:tc>
        <w:tc>
          <w:tcPr>
            <w:tcW w:w="300" w:type="dxa"/>
            <w:vAlign w:val="bottom"/>
          </w:tcPr>
          <w:p>
            <w:pPr>
              <w:spacing w:after="0"/>
              <w:rPr>
                <w:sz w:val="19"/>
                <w:szCs w:val="19"/>
                <w:color w:val="auto"/>
              </w:rPr>
            </w:pPr>
          </w:p>
        </w:tc>
        <w:tc>
          <w:tcPr>
            <w:tcW w:w="1160" w:type="dxa"/>
            <w:vAlign w:val="bottom"/>
          </w:tcPr>
          <w:p>
            <w:pPr>
              <w:jc w:val="right"/>
              <w:ind w:right="295"/>
              <w:spacing w:after="0"/>
              <w:rPr>
                <w:sz w:val="20"/>
                <w:szCs w:val="20"/>
                <w:color w:val="auto"/>
              </w:rPr>
            </w:pPr>
            <w:r>
              <w:rPr>
                <w:rFonts w:ascii="Arial" w:cs="Arial" w:eastAsia="Arial" w:hAnsi="Arial"/>
                <w:sz w:val="17"/>
                <w:szCs w:val="17"/>
                <w:b w:val="1"/>
                <w:bCs w:val="1"/>
                <w:color w:val="auto"/>
              </w:rPr>
              <w:t>Earnings</w:t>
            </w:r>
          </w:p>
        </w:tc>
        <w:tc>
          <w:tcPr>
            <w:tcW w:w="1680" w:type="dxa"/>
            <w:vAlign w:val="bottom"/>
            <w:gridSpan w:val="2"/>
          </w:tcPr>
          <w:p>
            <w:pPr>
              <w:ind w:left="100"/>
              <w:spacing w:after="0"/>
              <w:rPr>
                <w:sz w:val="20"/>
                <w:szCs w:val="20"/>
                <w:color w:val="auto"/>
              </w:rPr>
            </w:pPr>
            <w:r>
              <w:rPr>
                <w:rFonts w:ascii="Arial" w:cs="Arial" w:eastAsia="Arial" w:hAnsi="Arial"/>
                <w:sz w:val="17"/>
                <w:szCs w:val="17"/>
                <w:b w:val="1"/>
                <w:bCs w:val="1"/>
                <w:color w:val="auto"/>
                <w:w w:val="90"/>
              </w:rPr>
              <w:t>Comprehensive Loss</w:t>
            </w:r>
          </w:p>
        </w:tc>
        <w:tc>
          <w:tcPr>
            <w:tcW w:w="24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7"/>
                <w:szCs w:val="17"/>
                <w:b w:val="1"/>
                <w:bCs w:val="1"/>
                <w:color w:val="auto"/>
                <w:w w:val="96"/>
              </w:rPr>
              <w:t>Equity</w:t>
            </w:r>
          </w:p>
        </w:tc>
      </w:tr>
      <w:tr>
        <w:trPr>
          <w:trHeight w:val="31"/>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January 31, 2020</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106,977</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837,194</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912,050</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dividends paid on common stock - $0.25 per share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(26,888)</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(26,888)</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50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Issuance of 135,414 shares for exercised stock options and vested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restricted stock units and performance share awards</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136</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1,501</w:t>
            </w:r>
          </w:p>
        </w:tc>
        <w:tc>
          <w:tcPr>
            <w:tcW w:w="5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1,637</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1,407</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1,407</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 of 1,872 shares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(1,581)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(1,581)</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98,446</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98,446</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Balance as of May 1, 2020</w:t>
            </w:r>
          </w:p>
        </w:tc>
        <w:tc>
          <w:tcPr>
            <w:tcW w:w="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107,111</w:t>
            </w: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911,541</w:t>
            </w: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(33,702)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984,950</w:t>
            </w:r>
          </w:p>
        </w:tc>
      </w:tr>
      <w:tr>
        <w:trPr>
          <w:trHeight w:val="31"/>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8"/>
        </w:trPr>
        <w:tc>
          <w:tcPr>
            <w:tcW w:w="5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106,742</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784,885</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859,578</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dividends paid on common stock - $0.50 per share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(53,744)</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(53,744)</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50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Issuance of 388,347 shares for exercised stock options and vested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restricted stock units and performance share awards</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389</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5,390</w:t>
            </w:r>
          </w:p>
        </w:tc>
        <w:tc>
          <w:tcPr>
            <w:tcW w:w="5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5,779</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5,367</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5,367</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Contribution of stock to a deferred compensation trust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2,568</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2,568</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Purchase of 19,612 shares of common stock</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(1,462)</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(1,482)</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(1,653)</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(1,653)</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168,537</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168,537</w:t>
            </w:r>
          </w:p>
        </w:tc>
      </w:tr>
      <w:tr>
        <w:trPr>
          <w:trHeight w:val="31"/>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1, 2020</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107,111</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911,541</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984,950</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February 1, 2019</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105,747</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613,165</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(24,515)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694,397</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dividends paid on common stock - $0.225 per share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(24,007)</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(24,007)</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50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Issuance of 687,522 shares for exercised stock options and vested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restricted stock units and performance share awards</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687</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16,152</w:t>
            </w:r>
          </w:p>
        </w:tc>
        <w:tc>
          <w:tcPr>
            <w:tcW w:w="5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16,839</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3,101</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3,101</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 of 345 shares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(601)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(601)</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115,570</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115,570</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Balance as of May 3, 2019</w:t>
            </w:r>
          </w:p>
        </w:tc>
        <w:tc>
          <w:tcPr>
            <w:tcW w:w="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106,434</w:t>
            </w: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723,959</w:t>
            </w: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(25,116)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805,277</w:t>
            </w:r>
          </w:p>
        </w:tc>
      </w:tr>
      <w:tr>
        <w:trPr>
          <w:trHeight w:val="31"/>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8"/>
        </w:trPr>
        <w:tc>
          <w:tcPr>
            <w:tcW w:w="5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2018</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105,601</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587,252</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668,916</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dividends paid on common stock - $0.45 per share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(47,930)</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(47,930)</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50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Issuance of 1,225,308 shares for exercised stock options and vested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restricted stock units and performance share awards</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1,225</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21,779</w:t>
            </w:r>
          </w:p>
        </w:tc>
        <w:tc>
          <w:tcPr>
            <w:tcW w:w="5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23,004</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7,025</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7,025</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Contribution of stock to a deferred compensation trust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1,404</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1,404</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Purchase of 392,245 shares of common stock</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(392)</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(21,545)</w:t>
            </w:r>
          </w:p>
        </w:tc>
        <w:tc>
          <w:tcPr>
            <w:tcW w:w="58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(21,937)</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5"/>
              </w:rPr>
              <w:t>Cumulative transition adjustment due to the adoption of ASU 2014-09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864</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864</w:t>
            </w:r>
          </w:p>
        </w:tc>
      </w:tr>
      <w:tr>
        <w:trPr>
          <w:trHeight w:val="239"/>
        </w:trPr>
        <w:tc>
          <w:tcPr>
            <w:tcW w:w="504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38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(1,179)</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(1,179)</w:t>
            </w:r>
          </w:p>
        </w:tc>
      </w:tr>
      <w:tr>
        <w:trPr>
          <w:trHeight w:val="31"/>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175,110</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175,110</w:t>
            </w:r>
          </w:p>
        </w:tc>
      </w:tr>
      <w:tr>
        <w:trPr>
          <w:trHeight w:val="233"/>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Balance as of May 3, 2019</w:t>
            </w:r>
          </w:p>
        </w:tc>
        <w:tc>
          <w:tcPr>
            <w:tcW w:w="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106,434</w:t>
            </w: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723,959</w:t>
            </w: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(25,116)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805,277</w:t>
            </w:r>
          </w:p>
        </w:tc>
      </w:tr>
      <w:tr>
        <w:trPr>
          <w:trHeight w:val="31"/>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200" w:lineRule="exact"/>
        <w:rPr>
          <w:sz w:val="20"/>
          <w:szCs w:val="20"/>
          <w:color w:val="auto"/>
        </w:rPr>
      </w:pPr>
    </w:p>
    <w:p>
      <w:pPr>
        <w:spacing w:after="0" w:line="304" w:lineRule="exact"/>
        <w:rPr>
          <w:sz w:val="20"/>
          <w:szCs w:val="20"/>
          <w:color w:val="auto"/>
        </w:rPr>
      </w:pPr>
    </w:p>
    <w:p>
      <w:pPr>
        <w:ind w:left="580" w:hanging="545"/>
        <w:spacing w:after="0"/>
        <w:tabs>
          <w:tab w:leader="none" w:pos="580" w:val="left"/>
        </w:tabs>
        <w:numPr>
          <w:ilvl w:val="0"/>
          <w:numId w:val="3"/>
        </w:numPr>
        <w:rPr>
          <w:rFonts w:ascii="Arial" w:cs="Arial" w:eastAsia="Arial" w:hAnsi="Arial"/>
          <w:sz w:val="43"/>
          <w:szCs w:val="43"/>
          <w:b w:val="1"/>
          <w:bCs w:val="1"/>
          <w:color w:val="auto"/>
        </w:rPr>
      </w:pPr>
      <w:r>
        <w:rPr>
          <w:rFonts w:ascii="Arial" w:cs="Arial" w:eastAsia="Arial" w:hAnsi="Arial"/>
          <w:sz w:val="20"/>
          <w:szCs w:val="20"/>
          <w:b w:val="1"/>
          <w:bCs w:val="1"/>
          <w:color w:val="auto"/>
        </w:rPr>
        <w:t>Basis of Presentation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six months ended May 1, 2020 cannot be annualized to determine the expected results for the fiscal year ending October 31,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completed its acquisition of The Charles Machine Works, Inc. ("CMW") on April 1, 2019. CMW's financial position, results of operations, and cash flows were historically reported based on a calendar month end. The company aligned the quarterly periods of CMW with the company's quarterly fiscal periods during fiscal 2020. For the second quarter of fiscal 2019, April 30, 2019 was the period end closest to the company's fiscal second quarter ended May 3, 2019. This reporting period difference did not have a significant impact on the Consolidated Financial Position, Results of Operations, and Cash Flows of the company as of and for the three and six month periods ended May 3, 2019.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 regarding the company's acquisition of CMW.</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2019. The policies described in that report are used for preparing the company's quarterly reports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2020, the World Health Organization declared the novel coronavirus ("COVID-19") outbreak a global pandemic. The global outbreak of COVID-19 has negatively impacted the global economy, disrupted global supply chains, created significant volatility and disruption in financial markets, and has resulted in an economic slowdown. COVID-19 has had a material impact on the company and the future broader implications of the COVID-19 pandemic on the company remain uncertain and will depend on certain future developments, including the duration, scope, and severity of the pandemic; its impact on the company's employees, customers, and suppliers; and the range of government mandated restrictions and other measures. This uncertainty could have an impact on accounting estimates and assumptions utilized to prepare the Condensed Consolidated Financial Statements in future reporting periods, which could result in a material adverse impact to the company's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legal accruals, inventory valuation and reserves, warranty reserves, allowance for doubtful accounts, pension and post-retirement accruals, self-insurance accruals,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w:t>
      </w:r>
    </w:p>
    <w:p>
      <w:pPr>
        <w:sectPr>
          <w:pgSz w:w="11900" w:h="16838" w:orient="portrait"/>
          <w:cols w:equalWidth="0" w:num="1">
            <w:col w:w="11240"/>
          </w:cols>
          <w:pgMar w:left="320" w:top="125" w:right="3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reasonable under the circumstances, including the economic environment. Management adjusts such estimates and assumptions when facts and circumstances dictate. As future events and their effects cannot be determined with certainty, including those impacted by the COVID-19 pandemic, actual amounts could differ significantly from those estimated at the time the Condensed Consolidated Financial Statements are prepared.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among other things, requires lessees to recognize most leases on-balance sheet. The standard requires the recognition of right-of-use assets and lease liabilities by lessees for those leases classified as operating leases under legacy accounting guidance at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standard also requires a greater level of quantitative and qualitative disclosures regarding the nature of the entity’s leasing activities than were previously required under U.S. GAAP. In January 2018, the FASB issued ASU No. 2018-01, </w:t>
      </w:r>
      <w:r>
        <w:rPr>
          <w:rFonts w:ascii="Arial" w:cs="Arial" w:eastAsia="Arial" w:hAnsi="Arial"/>
          <w:sz w:val="16"/>
          <w:szCs w:val="16"/>
          <w:i w:val="1"/>
          <w:iCs w:val="1"/>
          <w:color w:val="auto"/>
        </w:rPr>
        <w:t>Leases (Topic 842): Land</w:t>
      </w:r>
      <w:r>
        <w:rPr>
          <w:rFonts w:ascii="Arial" w:cs="Arial" w:eastAsia="Arial" w:hAnsi="Arial"/>
          <w:sz w:val="16"/>
          <w:szCs w:val="16"/>
          <w:color w:val="auto"/>
        </w:rPr>
        <w:t xml:space="preserve"> </w:t>
      </w:r>
      <w:r>
        <w:rPr>
          <w:rFonts w:ascii="Arial" w:cs="Arial" w:eastAsia="Arial" w:hAnsi="Arial"/>
          <w:sz w:val="16"/>
          <w:szCs w:val="16"/>
          <w:i w:val="1"/>
          <w:iCs w:val="1"/>
          <w:color w:val="auto"/>
        </w:rPr>
        <w:t>Easement Practical Expedient for Transition to Topic 842</w:t>
      </w:r>
      <w:r>
        <w:rPr>
          <w:rFonts w:ascii="Arial" w:cs="Arial" w:eastAsia="Arial" w:hAnsi="Arial"/>
          <w:sz w:val="16"/>
          <w:szCs w:val="16"/>
          <w:color w:val="auto"/>
        </w:rPr>
        <w:t>, which provides an optional transition practical expedient to not evaluate existing or expired land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easements under the amended lease guidance.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which provides narrow amendments to clarify how to apply certain aspects of the new lease standard. Additionally,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provides an alternative 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ASU No. 2016-02, as augmented by ASU No. 2018-01, ASU No. 2018-10, and ASU No. 2018-11 (the "amended guidance"), was adopted by the company on November 1, 2019, the first quarter of fiscal 2020, under the modified retrospective transition method with no cumulative-effect adjustment to beginning retained earnings within the Condensed Consolidated Balance Sheet as of such date. Under such transition method, the company elected the following practical expedients:</w:t>
      </w:r>
    </w:p>
    <w:p>
      <w:pPr>
        <w:spacing w:after="0" w:line="18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package of practical expedients, which among other things, allows the company to carryforward the historical lease classification determined under previous U.S. GAAP.</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practical expedient to not reassess the company's accounting for land easements that exist as of the adoption of the amended guidance.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short-term lease exemption to not record right-of-use assets and lease liabilities on the Condensed Consolidated Balance Sheet for leases with an initial lease term of 12 months or less, which has resulted in recognizing the lease payments related to such leases within the company's Condensed Consolidated Statements of Earnings on a straight-line basis over the lease term.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elect the transition practical expedient to use hindsight in determining the lease term and in assessing the impairment of right-of-use assets.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adoption of the amended guidance, the company recorded $78.1 million of right-of-use assets and $77.1 million of corresponding lease liabilities within the Condensed Consolidated Balance Sheet as of November 1, 2019. The adoption of the standard did not have a material impact on the company's Condensed Consolidated Statements of Earnings, Condensed Consolidated Statements of Cash Flows, business processes, internal controls, and information systems. As permitted under the amended guidance, prior period amounts were not restated, but are and will continue to be reported under the legacy accounting guidance that was in effect for the respective prior periods.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amends ASC 718,</w:t>
      </w:r>
      <w:r>
        <w:rPr>
          <w:rFonts w:ascii="Arial" w:cs="Arial" w:eastAsia="Arial" w:hAnsi="Arial"/>
          <w:sz w:val="17"/>
          <w:szCs w:val="17"/>
          <w:i w:val="1"/>
          <w:iCs w:val="1"/>
          <w:color w:val="auto"/>
        </w:rPr>
        <w:t xml:space="preserve"> Compensation - Stock Compensation</w:t>
      </w:r>
      <w:r>
        <w:rPr>
          <w:rFonts w:ascii="Arial" w:cs="Arial" w:eastAsia="Arial" w:hAnsi="Arial"/>
          <w:sz w:val="17"/>
          <w:szCs w:val="17"/>
          <w:color w:val="auto"/>
        </w:rPr>
        <w:t>, to include share-based payment transactions for acquiring goods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nonemployees. The standard requires that most of the guidance related to stock compensation granted to employees be followed for nonemployees, including the measurement date, valuation approach, and performance conditions. The amended guidance was adopted in the first quarter of fiscal 2020 and did not have a material impact on the company's Condensed Consolidated Financial Statements.</w:t>
      </w:r>
    </w:p>
    <w:p>
      <w:pPr>
        <w:spacing w:after="0" w:line="361" w:lineRule="exact"/>
        <w:rPr>
          <w:sz w:val="20"/>
          <w:szCs w:val="20"/>
          <w:color w:val="auto"/>
        </w:rPr>
      </w:pPr>
    </w:p>
    <w:p>
      <w:pPr>
        <w:ind w:left="580" w:hanging="545"/>
        <w:spacing w:after="0"/>
        <w:tabs>
          <w:tab w:leader="none" w:pos="580" w:val="left"/>
        </w:tabs>
        <w:numPr>
          <w:ilvl w:val="0"/>
          <w:numId w:val="5"/>
        </w:numPr>
        <w:rPr>
          <w:rFonts w:ascii="Arial" w:cs="Arial" w:eastAsia="Arial" w:hAnsi="Arial"/>
          <w:sz w:val="43"/>
          <w:szCs w:val="43"/>
          <w:b w:val="1"/>
          <w:bCs w:val="1"/>
          <w:color w:val="auto"/>
        </w:rPr>
      </w:pPr>
      <w:r>
        <w:rPr>
          <w:rFonts w:ascii="Arial" w:cs="Arial" w:eastAsia="Arial" w:hAnsi="Arial"/>
          <w:sz w:val="20"/>
          <w:szCs w:val="20"/>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Products, Inc. ("Venture Products")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 2020 ("Venture Products closing date"), pursuant to an Agreement and Plan of Merger ("Venture Products merger agreement") and an agreement to purchase the real property used by Venture Products ("Venture Products purchase agreement") both dated January 20, 2020, the company completed its acquisition of Venture Products, a privately held Ohio corporation and</w:t>
      </w:r>
    </w:p>
    <w:p>
      <w:pPr>
        <w:sectPr>
          <w:pgSz w:w="11900" w:h="16838" w:orient="portrait"/>
          <w:cols w:equalWidth="0" w:num="1">
            <w:col w:w="11240"/>
          </w:cols>
          <w:pgMar w:left="320" w:top="125" w:right="3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Venture Products transaction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now only represent the right to receive the applicable consideration as described in the Venture Products merger agreement. The Venture Products purchase agreement was with an affiliate of Venture Products and was for the real estate used by Venture Products. The aggregate preliminary consideration was $165.9 million ("Venture Products purchase price"), which consisted of a cash payment of $136.4 million and a $29.5 million holdback to satisfy any indemnification or certain other obligations of Venture Products to TTC. The aggregate preliminary consideration remains subject to certain customary adjustments based on, among other things, the amount of actual cash, debt, and working capital in the business of Venture Products at the Venture Products closing date. Such customary adjustments are expected to be completed during fiscal 2020. The holdback is expected to expire during the company's fourth quarter of fiscal 2021. The company funded the cash payment with borrowings under its existing unsecured senior revolving credit facility. For additional information regarding the company's unsecured senior revolving credit facility utilized to fund the Venture Products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 As a result of the acquisition, the company incurred approximately $0.3 million and $0.6 million of acquisition-related transaction costs during the three and six month periods ended May 1, 2020, respectively. These acquisition-related transaction costs are recorded within selling, general and administrative expense within the Condensed Consolidated Statements of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Venture Products Purchase Price Allocation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aggregate preliminary Venture Products purchase price was allocated to the acquired net tangible and intangible assets of Venture Products based on their fair values as of the Venture Products closing date. As of May 1, 2020, the company has substantially completed its process for measuring the fair values of the assets acquired and liabilities assumed based on information available as of the Venture Products closing date, with the exception of the company's valuation of income taxes as the company requires additional information to finalize its valuation of income taxes. Thus, the preliminary measurements of fair value reflected for income taxes are subject to change as additional information becomes available and as additional analysis is performed. The company expects to finalize its preliminary valuation of income taxes and complete the allocation of the preliminary Venture Products purchase price as soon as practicable, but no later than one year from the closing date of the acquisition, as required.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allocation of the preliminary Venture Products purchase price to the fair values assigned to the Venture Products assets acquired and liabilities assumed. These fair values are based on internal company and independent external third-party valuations and are subject to change as certain asset and liability valuations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280" w:type="dxa"/>
            <w:vAlign w:val="bottom"/>
          </w:tcPr>
          <w:p>
            <w:pPr>
              <w:spacing w:after="0"/>
              <w:rPr>
                <w:sz w:val="19"/>
                <w:szCs w:val="19"/>
                <w:color w:val="auto"/>
              </w:rPr>
            </w:pPr>
          </w:p>
        </w:tc>
        <w:tc>
          <w:tcPr>
            <w:tcW w:w="1380" w:type="dxa"/>
            <w:vAlign w:val="bottom"/>
          </w:tcPr>
          <w:p>
            <w:pPr>
              <w:jc w:val="right"/>
              <w:ind w:right="175"/>
              <w:spacing w:after="0"/>
              <w:rPr>
                <w:sz w:val="20"/>
                <w:szCs w:val="20"/>
                <w:color w:val="auto"/>
              </w:rPr>
            </w:pPr>
            <w:r>
              <w:rPr>
                <w:rFonts w:ascii="Arial" w:cs="Arial" w:eastAsia="Arial" w:hAnsi="Arial"/>
                <w:sz w:val="17"/>
                <w:szCs w:val="17"/>
                <w:b w:val="1"/>
                <w:bCs w:val="1"/>
                <w:color w:val="auto"/>
                <w:w w:val="98"/>
              </w:rPr>
              <w:t>March 2, 2020</w:t>
            </w:r>
          </w:p>
        </w:tc>
      </w:tr>
      <w:tr>
        <w:trPr>
          <w:trHeight w:val="31"/>
        </w:trPr>
        <w:tc>
          <w:tcPr>
            <w:tcW w:w="6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3,476</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Receivables</w:t>
            </w:r>
          </w:p>
        </w:tc>
        <w:tc>
          <w:tcPr>
            <w:tcW w:w="32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6,342</w:t>
            </w:r>
          </w:p>
        </w:tc>
      </w:tr>
      <w:tr>
        <w:trPr>
          <w:trHeight w:val="31"/>
        </w:trPr>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Inventories</w:t>
            </w:r>
          </w:p>
        </w:tc>
        <w:tc>
          <w:tcPr>
            <w:tcW w:w="3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23,000</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2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239</w:t>
            </w:r>
          </w:p>
        </w:tc>
      </w:tr>
      <w:tr>
        <w:trPr>
          <w:trHeight w:val="31"/>
        </w:trPr>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w:t>
            </w:r>
          </w:p>
        </w:tc>
        <w:tc>
          <w:tcPr>
            <w:tcW w:w="3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26,976</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Goodwill</w:t>
            </w:r>
          </w:p>
        </w:tc>
        <w:tc>
          <w:tcPr>
            <w:tcW w:w="32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65,185</w:t>
            </w:r>
          </w:p>
        </w:tc>
      </w:tr>
      <w:tr>
        <w:trPr>
          <w:trHeight w:val="31"/>
        </w:trPr>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intangible assets</w:t>
            </w:r>
          </w:p>
        </w:tc>
        <w:tc>
          <w:tcPr>
            <w:tcW w:w="3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75,300</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Accounts payable</w:t>
            </w:r>
          </w:p>
        </w:tc>
        <w:tc>
          <w:tcPr>
            <w:tcW w:w="3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(4,075)</w:t>
            </w:r>
          </w:p>
        </w:tc>
      </w:tr>
      <w:tr>
        <w:trPr>
          <w:trHeight w:val="31"/>
        </w:trPr>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3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(6,186)</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Deferred income tax liabilities</w:t>
            </w:r>
          </w:p>
        </w:tc>
        <w:tc>
          <w:tcPr>
            <w:tcW w:w="3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(20,850)</w:t>
            </w:r>
          </w:p>
        </w:tc>
      </w:tr>
      <w:tr>
        <w:trPr>
          <w:trHeight w:val="31"/>
        </w:trPr>
        <w:tc>
          <w:tcPr>
            <w:tcW w:w="6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fair value of net assets acquired</w:t>
            </w:r>
          </w:p>
        </w:tc>
        <w:tc>
          <w:tcPr>
            <w:tcW w:w="3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169,407</w:t>
            </w:r>
          </w:p>
        </w:tc>
      </w:tr>
      <w:tr>
        <w:trPr>
          <w:trHeight w:val="239"/>
        </w:trPr>
        <w:tc>
          <w:tcPr>
            <w:tcW w:w="6580" w:type="dxa"/>
            <w:vAlign w:val="bottom"/>
          </w:tcPr>
          <w:p>
            <w:pPr>
              <w:ind w:left="180"/>
              <w:spacing w:after="0"/>
              <w:rPr>
                <w:sz w:val="20"/>
                <w:szCs w:val="20"/>
                <w:color w:val="auto"/>
              </w:rPr>
            </w:pPr>
            <w:r>
              <w:rPr>
                <w:rFonts w:ascii="Arial" w:cs="Arial" w:eastAsia="Arial" w:hAnsi="Arial"/>
                <w:sz w:val="17"/>
                <w:szCs w:val="17"/>
                <w:color w:val="auto"/>
              </w:rPr>
              <w:t>Less: cash and cash equivalents acquired</w:t>
            </w:r>
          </w:p>
        </w:tc>
        <w:tc>
          <w:tcPr>
            <w:tcW w:w="3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(3,476)</w:t>
            </w:r>
          </w:p>
        </w:tc>
      </w:tr>
      <w:tr>
        <w:trPr>
          <w:trHeight w:val="31"/>
        </w:trPr>
        <w:tc>
          <w:tcPr>
            <w:tcW w:w="6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preliminary Venture Products purchase price</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165,931</w:t>
            </w:r>
          </w:p>
        </w:tc>
      </w:tr>
      <w:tr>
        <w:trPr>
          <w:trHeight w:val="20"/>
        </w:trPr>
        <w:tc>
          <w:tcPr>
            <w:tcW w:w="65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acquisition of Venture Products was recognized</w:t>
      </w:r>
    </w:p>
    <w:p>
      <w:pPr>
        <w:sectPr>
          <w:pgSz w:w="11900" w:h="16838" w:orient="portrait"/>
          <w:cols w:equalWidth="0" w:num="1">
            <w:col w:w="11240"/>
          </w:cols>
          <w:pgMar w:left="320" w:top="125" w:right="3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company's Professional segment and is the primary driver for the increase in the company's Professional segment goodwill to $414.3 million as of May 1, 2020 from $350.3 million as of October 31, 2019. Goodwill is non-deductible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Acquired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allocation of the preliminary Venture Products purchase price to the net assets acquired resulted in the recognition of $75.3 million of other intangible assets as of the Venture Products closing date. The fair values of the acquired trade name and customer-related intangible assets were determined using the income approach. Under the income approach, an intangible asset's fair value is equal to the present value of future economic benefits to be derived from ownership of the asset. The fair value of the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were determined by deducting expected economic costs, including operating expenses and contributory asset charges, from revenue expected to be generated from the customer-related intangible asset. The useful lives of the trade name and customer-related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other intangible assets acquired on the Venture Products closing date, related accumulated amortization from the Venture Products closing date through May 1, 2020, and weighted-average useful lives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920" w:type="dxa"/>
            <w:vAlign w:val="bottom"/>
          </w:tcPr>
          <w:p>
            <w:pPr>
              <w:jc w:val="center"/>
              <w:ind w:left="1255"/>
              <w:spacing w:after="0"/>
              <w:rPr>
                <w:sz w:val="20"/>
                <w:szCs w:val="20"/>
                <w:color w:val="auto"/>
              </w:rPr>
            </w:pPr>
            <w:r>
              <w:rPr>
                <w:rFonts w:ascii="Arial" w:cs="Arial" w:eastAsia="Arial" w:hAnsi="Arial"/>
                <w:sz w:val="17"/>
                <w:szCs w:val="17"/>
                <w:b w:val="1"/>
                <w:bCs w:val="1"/>
                <w:color w:val="auto"/>
                <w:w w:val="89"/>
              </w:rPr>
              <w:t>Weighted-Average</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7"/>
                <w:szCs w:val="17"/>
                <w:b w:val="1"/>
                <w:bCs w:val="1"/>
                <w:color w:val="auto"/>
                <w:w w:val="93"/>
              </w:rPr>
              <w:t>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20" w:type="dxa"/>
            <w:vAlign w:val="bottom"/>
          </w:tcPr>
          <w:p>
            <w:pPr>
              <w:jc w:val="center"/>
              <w:ind w:left="1275"/>
              <w:spacing w:after="0"/>
              <w:rPr>
                <w:sz w:val="20"/>
                <w:szCs w:val="20"/>
                <w:color w:val="auto"/>
              </w:rPr>
            </w:pPr>
            <w:r>
              <w:rPr>
                <w:rFonts w:ascii="Arial" w:cs="Arial" w:eastAsia="Arial" w:hAnsi="Arial"/>
                <w:sz w:val="17"/>
                <w:szCs w:val="17"/>
                <w:b w:val="1"/>
                <w:bCs w:val="1"/>
                <w:color w:val="auto"/>
                <w:w w:val="91"/>
              </w:rPr>
              <w:t>Useful Life</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2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Finite-lived - 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18,901</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Indefinite-lived - trade name</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56,200</w:t>
            </w:r>
          </w:p>
        </w:tc>
        <w:tc>
          <w:tcPr>
            <w:tcW w:w="2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56,200</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75,300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75,101</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finite-lived intangible assets resulting from the acquisition of Venture Products for the three and six months periods ended May 1, 2020 was $0.2 million. Estimated amortization expense for the remainder of fiscal 2020 and succeeding fiscal years is as follows: fiscal 2020 (remainder), $0.6 million; fiscal 2021, $1.2 million; fiscal 2022, $1.2 million; fiscal 2023, $1.2 million; fiscal 2024, $1.2 million; fiscal 2025, $1.2 million; and after fiscal 2025, $12.3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Venture Product's results of operations are included within the company's Professional reportable segment in the company's Condensed Consolidated Financial Statements from the Venture Products closing date. During the three and six month periods ended May 1, 2020, the company recognized $11.2 million of net sales from Venture Product's operations. Venture Product's operations had an immaterial impact on Professional segment earnings for the three and six month periods ended May 1, 2020. Unaudited pro forma financial information is not disclosed as the Venture Products acquisition was not considered material to the company's Consolidated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Charles Machine Works,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2019 ("CMW closing date"), pursuant to the Agreement and Plan of Merger dated February 14, 2019 ("CMW merger agreement"), the company completed the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CMW merger agreement. At the CMW closing date, the company paid preliminary merger consideration of $679.3 million that was subject to customary adjustments based on, among other things, the amount of actual cash, debt and working capital in the business of CMW at the CMW closing date. During the fourth quarter of fiscal 2019, the company finalized such cash, debt and working capital adjustments and these adjustments resulted in an aggregate merger consideration of $685.0 million ("CMW purchase price"). The company funded the CMW purchase price by using a combination of cash proceeds from the issuance of borrowings under the company's unsecured senior term loan credit agreement and borrowings</w:t>
      </w:r>
    </w:p>
    <w:p>
      <w:pPr>
        <w:sectPr>
          <w:pgSz w:w="11900" w:h="16838" w:orient="portrait"/>
          <w:cols w:equalWidth="0" w:num="1">
            <w:col w:w="11240"/>
          </w:cols>
          <w:pgMar w:left="320" w:top="12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company's unsecured senior revolving credit facility. For additional information regarding the financing agreements utilized to fund the CMW purchase price, refer to Note 6, </w:t>
      </w:r>
      <w:r>
        <w:rPr>
          <w:rFonts w:ascii="Arial" w:cs="Arial" w:eastAsia="Arial" w:hAnsi="Arial"/>
          <w:sz w:val="18"/>
          <w:szCs w:val="18"/>
          <w:i w:val="1"/>
          <w:iCs w:val="1"/>
          <w:color w:val="auto"/>
        </w:rPr>
        <w:t>Indebtedness</w:t>
      </w:r>
      <w:r>
        <w:rPr>
          <w:rFonts w:ascii="Arial" w:cs="Arial" w:eastAsia="Arial" w:hAnsi="Arial"/>
          <w:sz w:val="18"/>
          <w:szCs w:val="18"/>
          <w:color w:val="auto"/>
        </w:rPr>
        <w:t>. As a result of the acquisition, the company incurred approximately $10.2 million of acquisition-related transaction costs, all of which were incurred during the fiscal year ended October 31, 2019 and recorded within selling, general and administrative expense within the Consolidated Statements of Earnings for such fiscal period. During the three and six month periods ended May 3, 2019, the company recorded acquisition-related transaction costs of $8.0 million and $9.7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CMW Purchase Price Allocation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accounted for the acquisition in accordance with the accounting standards codification guidance for business combinations, whereby the total CMW purchase price was allocated to the acquired net tangible and intangible assets of CMW based on their fair values as of the CMW closing date. As of May 1, 2020, the company had completed its process for measuring the fair values of the assets acquired and liabilities assumed based on information available as of the CMW closing date.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CMW purchase price to the fair values assigned to the CMW assets acquired and liabilities assumed.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fair values are based on internal company and independent external third-party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54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Arial" w:cs="Arial" w:eastAsia="Arial" w:hAnsi="Arial"/>
                <w:sz w:val="17"/>
                <w:szCs w:val="17"/>
                <w:b w:val="1"/>
                <w:bCs w:val="1"/>
                <w:color w:val="auto"/>
              </w:rPr>
              <w:t>April 1, 2019</w:t>
            </w:r>
          </w:p>
        </w:tc>
      </w:tr>
      <w:tr>
        <w:trPr>
          <w:trHeight w:val="31"/>
        </w:trPr>
        <w:tc>
          <w:tcPr>
            <w:tcW w:w="6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16,341</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Receivables</w:t>
            </w:r>
          </w:p>
        </w:tc>
        <w:tc>
          <w:tcPr>
            <w:tcW w:w="35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65,674</w:t>
            </w:r>
          </w:p>
        </w:tc>
      </w:tr>
      <w:tr>
        <w:trPr>
          <w:trHeight w:val="31"/>
        </w:trPr>
        <w:tc>
          <w:tcPr>
            <w:tcW w:w="6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Inventories</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241,429</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5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8,050</w:t>
            </w:r>
          </w:p>
        </w:tc>
      </w:tr>
      <w:tr>
        <w:trPr>
          <w:trHeight w:val="31"/>
        </w:trPr>
        <w:tc>
          <w:tcPr>
            <w:tcW w:w="6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142,779</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Goodwill</w:t>
            </w:r>
          </w:p>
        </w:tc>
        <w:tc>
          <w:tcPr>
            <w:tcW w:w="35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134,657</w:t>
            </w:r>
          </w:p>
        </w:tc>
      </w:tr>
      <w:tr>
        <w:trPr>
          <w:trHeight w:val="31"/>
        </w:trPr>
        <w:tc>
          <w:tcPr>
            <w:tcW w:w="6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intangible assets</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264,190</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Other long-term assets</w:t>
            </w:r>
          </w:p>
        </w:tc>
        <w:tc>
          <w:tcPr>
            <w:tcW w:w="35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7,971</w:t>
            </w:r>
          </w:p>
        </w:tc>
      </w:tr>
      <w:tr>
        <w:trPr>
          <w:trHeight w:val="31"/>
        </w:trPr>
        <w:tc>
          <w:tcPr>
            <w:tcW w:w="6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(35,892)</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Accrued liabilities</w:t>
            </w:r>
          </w:p>
        </w:tc>
        <w:tc>
          <w:tcPr>
            <w:tcW w:w="3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(51,943)</w:t>
            </w:r>
          </w:p>
        </w:tc>
      </w:tr>
      <w:tr>
        <w:trPr>
          <w:trHeight w:val="31"/>
        </w:trPr>
        <w:tc>
          <w:tcPr>
            <w:tcW w:w="6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 liabilities</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(85,277)</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Other long-term liabilities</w:t>
            </w:r>
          </w:p>
        </w:tc>
        <w:tc>
          <w:tcPr>
            <w:tcW w:w="3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(6,665)</w:t>
            </w:r>
          </w:p>
        </w:tc>
      </w:tr>
      <w:tr>
        <w:trPr>
          <w:trHeight w:val="31"/>
        </w:trPr>
        <w:tc>
          <w:tcPr>
            <w:tcW w:w="6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fair value of net assets acquired</w:t>
            </w:r>
          </w:p>
        </w:tc>
        <w:tc>
          <w:tcPr>
            <w:tcW w:w="3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701,314</w:t>
            </w:r>
          </w:p>
        </w:tc>
      </w:tr>
      <w:tr>
        <w:trPr>
          <w:trHeight w:val="239"/>
        </w:trPr>
        <w:tc>
          <w:tcPr>
            <w:tcW w:w="6340" w:type="dxa"/>
            <w:vAlign w:val="bottom"/>
          </w:tcPr>
          <w:p>
            <w:pPr>
              <w:ind w:left="180"/>
              <w:spacing w:after="0"/>
              <w:rPr>
                <w:sz w:val="20"/>
                <w:szCs w:val="20"/>
                <w:color w:val="auto"/>
              </w:rPr>
            </w:pPr>
            <w:r>
              <w:rPr>
                <w:rFonts w:ascii="Arial" w:cs="Arial" w:eastAsia="Arial" w:hAnsi="Arial"/>
                <w:sz w:val="17"/>
                <w:szCs w:val="17"/>
                <w:color w:val="auto"/>
              </w:rPr>
              <w:t>Less: cash and cash equivalents acquired</w:t>
            </w:r>
          </w:p>
        </w:tc>
        <w:tc>
          <w:tcPr>
            <w:tcW w:w="3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(16,341)</w:t>
            </w:r>
          </w:p>
        </w:tc>
      </w:tr>
      <w:tr>
        <w:trPr>
          <w:trHeight w:val="31"/>
        </w:trPr>
        <w:tc>
          <w:tcPr>
            <w:tcW w:w="6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CMW purchase price</w:t>
            </w:r>
          </w:p>
        </w:tc>
        <w:tc>
          <w:tcPr>
            <w:tcW w:w="3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684,973</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goodwill recognized is primarily attributable to the value of the workforce, the reputation of CMW and its family of brands, customer and dealer growth opportunities, and expected synergies. Key areas of expected cost synergies include increased purchasing power for commodities, components, parts, and accessories, supply chain consolidation, and administrative efficiencies. The goodwill resulting from the acquisition of CMW was recognized within the company's Professional segment. During the second quarter of fiscal 2020, the company completed its valuation of income taxes to finalize the CMW purchase price allocation, which resulted in a decrease to the carrying amount of goodwill of $0.9 million from the amounts reported within the Company's Annual Report on Form 10-K for the fiscal year ended October 31, 2019. Goodwill is mostly non-deductible for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Acquired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allocation of the CMW purchase price to the net assets acquired resulted in the recognition of $264.2 million of other intangible assets as of the CMW closing date. The fair values of the acquired trade name, customer-related, developed technology and backlog intangible assets were determined using the income approach. Under the income approach, an intangible asset's fair value is equal to the present value of future economic benefits to be derived from ownership of the asset. The fair values of the trade names were determined using the relief from royalty method, which is based on the hypothetical royalty stream that would be received if the company were to license the respective trade name and was based on expected future revenues. The fair values of the customer-related, developed technology, and backlog intangible assets were determined using the excess earnings method and were based on the expected operating cash flows attributable to the respective other intangible asset, which were determined by deducting expected economic costs, including operating expenses and contributory asset charges, from revenue expected to be generated from the respective other intangible assets.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w:t>
      </w:r>
    </w:p>
    <w:p>
      <w:pPr>
        <w:sectPr>
          <w:pgSz w:w="11900" w:h="16838" w:orient="portrait"/>
          <w:cols w:equalWidth="0" w:num="1">
            <w:col w:w="11240"/>
          </w:cols>
          <w:pgMar w:left="320" w:top="125"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other intangible assets acquired on the CMW closing date, related accumulated amortization from the CMW closing date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 2020, and weighted-average useful lives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920" w:type="dxa"/>
            <w:vAlign w:val="bottom"/>
          </w:tcPr>
          <w:p>
            <w:pPr>
              <w:jc w:val="right"/>
              <w:ind w:right="35"/>
              <w:spacing w:after="0"/>
              <w:rPr>
                <w:sz w:val="20"/>
                <w:szCs w:val="20"/>
                <w:color w:val="auto"/>
              </w:rPr>
            </w:pPr>
            <w:r>
              <w:rPr>
                <w:rFonts w:ascii="Arial" w:cs="Arial" w:eastAsia="Arial" w:hAnsi="Arial"/>
                <w:sz w:val="17"/>
                <w:szCs w:val="17"/>
                <w:b w:val="1"/>
                <w:bCs w:val="1"/>
                <w:color w:val="auto"/>
              </w:rPr>
              <w:t>Weighted-Average</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7"/>
                <w:szCs w:val="17"/>
                <w:b w:val="1"/>
                <w:bCs w:val="1"/>
                <w:color w:val="auto"/>
                <w:w w:val="93"/>
              </w:rPr>
              <w:t>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20" w:type="dxa"/>
            <w:vAlign w:val="bottom"/>
          </w:tcPr>
          <w:p>
            <w:pPr>
              <w:jc w:val="right"/>
              <w:ind w:right="295"/>
              <w:spacing w:after="0"/>
              <w:rPr>
                <w:sz w:val="20"/>
                <w:szCs w:val="20"/>
                <w:color w:val="auto"/>
              </w:rPr>
            </w:pPr>
            <w:r>
              <w:rPr>
                <w:rFonts w:ascii="Arial" w:cs="Arial" w:eastAsia="Arial" w:hAnsi="Arial"/>
                <w:sz w:val="17"/>
                <w:szCs w:val="17"/>
                <w:b w:val="1"/>
                <w:bCs w:val="1"/>
                <w:color w:val="auto"/>
              </w:rPr>
              <w:t>Useful Life</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2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130,800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(9,405)</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121,395</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7"/>
                <w:szCs w:val="17"/>
                <w:color w:val="auto"/>
              </w:rPr>
              <w:t>7.8</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20,900</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(3,750)</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17,150</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5,200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4,918</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Backlog</w:t>
            </w:r>
          </w:p>
        </w:tc>
        <w:tc>
          <w:tcPr>
            <w:tcW w:w="2920" w:type="dxa"/>
            <w:vAlign w:val="bottom"/>
          </w:tcPr>
          <w:p>
            <w:pPr>
              <w:jc w:val="right"/>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3,590</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(3,590)</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finite-lived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160,490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(17,027)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143,463</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103,700</w:t>
            </w:r>
          </w:p>
        </w:tc>
        <w:tc>
          <w:tcPr>
            <w:tcW w:w="2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103,700</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264,190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(17,027)</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247,163</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finite-lived intangible assets resulting from the acquisition of CMW for the three and six month periods ended May 1, 2020 was $3.1 million and $6.3 million, respectively. Estimated amortization expense for the remainder of fiscal 2020 and succeeding fiscal years is as follows: fiscal 2020 (remainder), $6.3 million; fiscal 2021, $12.6 million; fiscal 2022, $11.5 million; fiscal 2023, $10.1 million; fiscal 2024, $9.4 million; fiscal 2025, $7.7 million; and after fiscal 2025, $85.9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CMW's results of operations are included within the company's Professional reportable segment in the company's Condensed Consolidated Financial Statements and the net sales and segment loss amounts for the three and six month periods ended May 3, 2019 reflect one month of CMW's results subsequent to the April 1, 2019 acquisition date. During the three month periods ended May 1, 2020 and May 3, 2019, the company recognized $177.6 million and $70.9 million of net sales from CMW's operations, respectively. During the three month periods ended May 1, 2020 and May 3, 2019, the company recognized $18.6 million of segment earnings and $4.1 million of segment loss from CMW's operations, respectively. During the six month periods ended May 1, 2020 and May 3, 2019, the company recognized $338.5 million and $70.9 million of net sales from CMW's operations. During the six month periods ended May 1, 2020 and May 3, 2019, the company recognized $28.0 million of segment earnings and $4.1 million of segment loss from CMW's operations, respectively.</w:t>
      </w:r>
    </w:p>
    <w:p>
      <w:pPr>
        <w:spacing w:after="0" w:line="377" w:lineRule="exact"/>
        <w:rPr>
          <w:sz w:val="20"/>
          <w:szCs w:val="20"/>
          <w:color w:val="auto"/>
        </w:rPr>
      </w:pPr>
    </w:p>
    <w:p>
      <w:pPr>
        <w:ind w:left="580" w:hanging="545"/>
        <w:spacing w:after="0"/>
        <w:tabs>
          <w:tab w:leader="none" w:pos="580" w:val="left"/>
        </w:tabs>
        <w:numPr>
          <w:ilvl w:val="0"/>
          <w:numId w:val="6"/>
        </w:numPr>
        <w:rPr>
          <w:rFonts w:ascii="Arial" w:cs="Arial" w:eastAsia="Arial" w:hAnsi="Arial"/>
          <w:sz w:val="43"/>
          <w:szCs w:val="43"/>
          <w:b w:val="1"/>
          <w:bCs w:val="1"/>
          <w:color w:val="auto"/>
        </w:rPr>
      </w:pPr>
      <w:r>
        <w:rPr>
          <w:rFonts w:ascii="Arial" w:cs="Arial" w:eastAsia="Arial" w:hAnsi="Arial"/>
          <w:sz w:val="20"/>
          <w:szCs w:val="20"/>
          <w:b w:val="1"/>
          <w:bCs w:val="1"/>
          <w:color w:val="auto"/>
        </w:rPr>
        <w:t>Segment Data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ten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These Other activities consist of the company's wholly-owned domestic distribution companies, the company's corporate activities, and the elimination of intersegment revenues and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and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May 1, 2020</w:t>
            </w:r>
          </w:p>
        </w:tc>
        <w:tc>
          <w:tcPr>
            <w:tcW w:w="1380" w:type="dxa"/>
            <w:vAlign w:val="bottom"/>
          </w:tcPr>
          <w:p>
            <w:pPr>
              <w:spacing w:after="0"/>
              <w:rPr>
                <w:sz w:val="23"/>
                <w:szCs w:val="23"/>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3"/>
                <w:szCs w:val="23"/>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661,087</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261,998</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6,313</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929,398</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16,642</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(16,676)</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106,259</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37,122</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(22,010)</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121,371</w:t>
            </w:r>
          </w:p>
        </w:tc>
      </w:tr>
      <w:tr>
        <w:trPr>
          <w:trHeight w:val="129"/>
        </w:trPr>
        <w:tc>
          <w:tcPr>
            <w:tcW w:w="39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3"/>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Six Months Ended May 1, 2020</w:t>
            </w:r>
          </w:p>
        </w:tc>
        <w:tc>
          <w:tcPr>
            <w:tcW w:w="1380" w:type="dxa"/>
            <w:vAlign w:val="bottom"/>
          </w:tcPr>
          <w:p>
            <w:pPr>
              <w:spacing w:after="0"/>
              <w:rPr>
                <w:sz w:val="23"/>
                <w:szCs w:val="23"/>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3"/>
                <w:szCs w:val="23"/>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1,255,808</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427,846</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13,227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1,696,881</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25,413</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(25,474)</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208,733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58,688</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(59,911)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207,510</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2,052,529</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328,068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430,878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2,811,475</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May 3, 2019</w:t>
            </w:r>
          </w:p>
        </w:tc>
        <w:tc>
          <w:tcPr>
            <w:tcW w:w="1380" w:type="dxa"/>
            <w:vAlign w:val="bottom"/>
          </w:tcPr>
          <w:p>
            <w:pPr>
              <w:spacing w:after="0"/>
              <w:rPr>
                <w:sz w:val="23"/>
                <w:szCs w:val="23"/>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3"/>
                <w:szCs w:val="23"/>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723,506</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232,147</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6,383</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962,036</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23,716</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(23,796)</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150,119</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22,030</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(34,969)</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137,180</w:t>
            </w:r>
          </w:p>
        </w:tc>
      </w:tr>
      <w:tr>
        <w:trPr>
          <w:trHeight w:val="128"/>
        </w:trPr>
        <w:tc>
          <w:tcPr>
            <w:tcW w:w="39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3"/>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Six Months Ended May 3, 2019</w:t>
            </w:r>
          </w:p>
        </w:tc>
        <w:tc>
          <w:tcPr>
            <w:tcW w:w="1380" w:type="dxa"/>
            <w:vAlign w:val="bottom"/>
          </w:tcPr>
          <w:p>
            <w:pPr>
              <w:spacing w:after="0"/>
              <w:rPr>
                <w:sz w:val="23"/>
                <w:szCs w:val="23"/>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3"/>
                <w:szCs w:val="23"/>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1,178,512</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377,305</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9,175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1,564,992</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37,325</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179</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(37,504)</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238,097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35,102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(65,999)</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207,200</w:t>
            </w:r>
          </w:p>
        </w:tc>
      </w:tr>
      <w:tr>
        <w:trPr>
          <w:trHeight w:val="239"/>
        </w:trPr>
        <w:tc>
          <w:tcPr>
            <w:tcW w:w="390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1,848,351</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271,224</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346,425</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2,466,000</w:t>
            </w:r>
          </w:p>
        </w:tc>
      </w:tr>
      <w:tr>
        <w:trPr>
          <w:trHeight w:val="31"/>
        </w:trPr>
        <w:tc>
          <w:tcPr>
            <w:tcW w:w="3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operating loss before income taxes for the company's Other activities: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42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expenses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(34,357)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(47,883)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(62,671)</w:t>
            </w:r>
          </w:p>
        </w:tc>
      </w:tr>
      <w:tr>
        <w:trPr>
          <w:trHeight w:val="239"/>
        </w:trPr>
        <w:tc>
          <w:tcPr>
            <w:tcW w:w="486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(8,659)</w:t>
            </w:r>
          </w:p>
        </w:tc>
        <w:tc>
          <w:tcPr>
            <w:tcW w:w="26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(6,694)</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(16,815)</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(11,436)</w:t>
            </w:r>
          </w:p>
        </w:tc>
      </w:tr>
      <w:tr>
        <w:trPr>
          <w:trHeight w:val="31"/>
        </w:trPr>
        <w:tc>
          <w:tcPr>
            <w:tcW w:w="4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2"/>
        </w:trPr>
        <w:tc>
          <w:tcPr>
            <w:tcW w:w="48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Earnings from wholly-owned domestic distribution companies and</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2"/>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2,090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6,082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4,787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8,108</w:t>
            </w:r>
          </w:p>
        </w:tc>
      </w:tr>
      <w:tr>
        <w:trPr>
          <w:trHeight w:val="233"/>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operating loss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(34,969)</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(59,911)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(65,999)</w:t>
            </w:r>
          </w:p>
        </w:tc>
      </w:tr>
      <w:tr>
        <w:trPr>
          <w:trHeight w:val="31"/>
        </w:trPr>
        <w:tc>
          <w:tcPr>
            <w:tcW w:w="4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hanging="545"/>
        <w:spacing w:after="0"/>
        <w:tabs>
          <w:tab w:leader="none" w:pos="580" w:val="left"/>
        </w:tabs>
        <w:numPr>
          <w:ilvl w:val="0"/>
          <w:numId w:val="7"/>
        </w:numPr>
        <w:rPr>
          <w:rFonts w:ascii="Arial" w:cs="Arial" w:eastAsia="Arial" w:hAnsi="Arial"/>
          <w:sz w:val="43"/>
          <w:szCs w:val="43"/>
          <w:b w:val="1"/>
          <w:bCs w:val="1"/>
          <w:color w:val="auto"/>
        </w:rPr>
      </w:pPr>
      <w:r>
        <w:rPr>
          <w:rFonts w:ascii="Arial" w:cs="Arial" w:eastAsia="Arial" w:hAnsi="Arial"/>
          <w:sz w:val="20"/>
          <w:szCs w:val="20"/>
          <w:b w:val="1"/>
          <w:b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May 1, 2020</w:t>
            </w:r>
          </w:p>
        </w:tc>
        <w:tc>
          <w:tcPr>
            <w:tcW w:w="1460" w:type="dxa"/>
            <w:vAlign w:val="bottom"/>
          </w:tcPr>
          <w:p>
            <w:pPr>
              <w:spacing w:after="0"/>
              <w:rPr>
                <w:sz w:val="19"/>
                <w:szCs w:val="19"/>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19"/>
                <w:szCs w:val="19"/>
                <w:color w:val="auto"/>
              </w:rPr>
            </w:pPr>
          </w:p>
        </w:tc>
        <w:tc>
          <w:tcPr>
            <w:tcW w:w="1160" w:type="dxa"/>
            <w:vAlign w:val="bottom"/>
          </w:tcPr>
          <w:p>
            <w:pPr>
              <w:jc w:val="right"/>
              <w:ind w:right="435"/>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569,143</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257,400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3,835</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830,378</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91,944</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4,598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2,478</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99,020</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661,087</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261,998</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6,313</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929,398</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509,277</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231,764</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6,313</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747,354</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151,810</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30,234</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182,044</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661,087</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261,998</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6,313</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929,398</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3"/>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Six Months Ended May 1, 2020</w:t>
            </w:r>
          </w:p>
        </w:tc>
        <w:tc>
          <w:tcPr>
            <w:tcW w:w="146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0"/>
                <w:szCs w:val="20"/>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0"/>
                <w:szCs w:val="20"/>
                <w:color w:val="auto"/>
              </w:rPr>
            </w:pPr>
          </w:p>
        </w:tc>
        <w:tc>
          <w:tcPr>
            <w:tcW w:w="1160" w:type="dxa"/>
            <w:vAlign w:val="bottom"/>
          </w:tcPr>
          <w:p>
            <w:pPr>
              <w:jc w:val="right"/>
              <w:ind w:right="435"/>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1,093,052</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409,858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9,360</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1,512,270</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162,756</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17,988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3,867</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184,611</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1,255,808</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427,846</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13,227</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1,696,881</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963,565</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362,102</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13,227</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1,338,894</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292,243</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65,744</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357,987</w:t>
            </w:r>
          </w:p>
        </w:tc>
      </w:tr>
      <w:tr>
        <w:trPr>
          <w:trHeight w:val="232"/>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1,255,808</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427,846</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13,227</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1,696,881</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3"/>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May 3, 2019</w:t>
            </w:r>
          </w:p>
        </w:tc>
        <w:tc>
          <w:tcPr>
            <w:tcW w:w="146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0"/>
                <w:szCs w:val="20"/>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0"/>
                <w:szCs w:val="20"/>
                <w:color w:val="auto"/>
              </w:rPr>
            </w:pPr>
          </w:p>
        </w:tc>
        <w:tc>
          <w:tcPr>
            <w:tcW w:w="1160" w:type="dxa"/>
            <w:vAlign w:val="bottom"/>
          </w:tcPr>
          <w:p>
            <w:pPr>
              <w:jc w:val="right"/>
              <w:ind w:right="435"/>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618,099</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225,456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2,661</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846,216</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105,407</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6,691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3,722</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115,820</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723,506</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232,147</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6,383</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962,036</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546,413</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190,163</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6,383</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742,959</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177,093</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41,984</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219,077</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723,506</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232,147</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6,383</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962,036</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6"/>
        </w:trPr>
        <w:tc>
          <w:tcPr>
            <w:tcW w:w="38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2"/>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Six Months Ended May 3, 2019</w:t>
            </w:r>
          </w:p>
        </w:tc>
        <w:tc>
          <w:tcPr>
            <w:tcW w:w="146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Professional</w:t>
            </w:r>
          </w:p>
        </w:tc>
        <w:tc>
          <w:tcPr>
            <w:tcW w:w="300" w:type="dxa"/>
            <w:vAlign w:val="bottom"/>
          </w:tcPr>
          <w:p>
            <w:pPr>
              <w:spacing w:after="0"/>
              <w:rPr>
                <w:sz w:val="20"/>
                <w:szCs w:val="20"/>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400" w:type="dxa"/>
            <w:vAlign w:val="bottom"/>
          </w:tcPr>
          <w:p>
            <w:pPr>
              <w:spacing w:after="0"/>
              <w:rPr>
                <w:sz w:val="20"/>
                <w:szCs w:val="20"/>
                <w:color w:val="auto"/>
              </w:rPr>
            </w:pPr>
          </w:p>
        </w:tc>
        <w:tc>
          <w:tcPr>
            <w:tcW w:w="1160" w:type="dxa"/>
            <w:vAlign w:val="bottom"/>
          </w:tcPr>
          <w:p>
            <w:pPr>
              <w:jc w:val="right"/>
              <w:ind w:right="435"/>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1,005,649</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358,966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4,630</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1,369,245</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172,863</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18,339</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4,545</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195,747</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1,178,512</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377,305</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9,175</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1,564,992</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8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894,517</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300,678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9,175</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1,204,370</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283,995</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76,627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360,622</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1,178,512</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377,305</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9,175</w:t>
            </w:r>
          </w:p>
        </w:tc>
        <w:tc>
          <w:tcPr>
            <w:tcW w:w="4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1,564,992</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w:t>
      </w:r>
    </w:p>
    <w:p>
      <w:pPr>
        <w:sectPr>
          <w:pgSz w:w="11900" w:h="16838" w:orient="portrait"/>
          <w:cols w:equalWidth="0" w:num="1">
            <w:col w:w="11240"/>
          </w:cols>
          <w:pgMar w:left="320" w:top="125"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control at the time a product is shipped. As of May 1, 2020 and October 31, 2019, $21.6 million and $22.0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1, 2020, the company recognized $2.9 million and $6.4 million, respectively, of the October 31, 2019 deferred revenue balance within net sales in the Condensed Consolidated Statements of Earnings. The company expects to recognize approximately $4.2 million of the October 31, 2019 deferred revenue amount within net sales throughout the remainder of fiscal 2020, $6.4 million in fiscal 2021, and $5.0 million thereafter.</w:t>
      </w:r>
    </w:p>
    <w:p>
      <w:pPr>
        <w:spacing w:after="0" w:line="363" w:lineRule="exact"/>
        <w:rPr>
          <w:sz w:val="20"/>
          <w:szCs w:val="20"/>
          <w:color w:val="auto"/>
        </w:rPr>
      </w:pPr>
    </w:p>
    <w:p>
      <w:pPr>
        <w:ind w:left="580" w:hanging="545"/>
        <w:spacing w:after="0"/>
        <w:tabs>
          <w:tab w:leader="none" w:pos="580" w:val="left"/>
        </w:tabs>
        <w:numPr>
          <w:ilvl w:val="0"/>
          <w:numId w:val="8"/>
        </w:numPr>
        <w:rPr>
          <w:rFonts w:ascii="Arial" w:cs="Arial" w:eastAsia="Arial" w:hAnsi="Arial"/>
          <w:sz w:val="43"/>
          <w:szCs w:val="43"/>
          <w:b w:val="1"/>
          <w:bCs w:val="1"/>
          <w:color w:val="auto"/>
        </w:rPr>
      </w:pPr>
      <w:r>
        <w:rPr>
          <w:rFonts w:ascii="Arial" w:cs="Arial" w:eastAsia="Arial" w:hAnsi="Arial"/>
          <w:sz w:val="20"/>
          <w:szCs w:val="20"/>
          <w:b w:val="1"/>
          <w:bCs w:val="1"/>
          <w:color w:val="auto"/>
        </w:rPr>
        <w:t>Goodwill and Other Intangible Assets,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acquisition of Venture Products on March 2, 2020 resulted in the recognition of $65.2 million and $75.3 million of preliminary goodwill and other intangible assets, respectively. For additional information on the company's acquisition of Venture Products, refer to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first six months of fiscal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460" w:type="dxa"/>
            <w:vAlign w:val="bottom"/>
          </w:tcPr>
          <w:p>
            <w:pPr>
              <w:spacing w:after="0"/>
              <w:rPr>
                <w:sz w:val="19"/>
                <w:szCs w:val="19"/>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w w:val="94"/>
              </w:rPr>
              <w:t>Professional</w:t>
            </w:r>
          </w:p>
        </w:tc>
        <w:tc>
          <w:tcPr>
            <w:tcW w:w="280" w:type="dxa"/>
            <w:vAlign w:val="bottom"/>
          </w:tcPr>
          <w:p>
            <w:pPr>
              <w:spacing w:after="0"/>
              <w:rPr>
                <w:sz w:val="19"/>
                <w:szCs w:val="19"/>
                <w:color w:val="auto"/>
              </w:rPr>
            </w:pPr>
          </w:p>
        </w:tc>
        <w:tc>
          <w:tcPr>
            <w:tcW w:w="1300" w:type="dxa"/>
            <w:vAlign w:val="bottom"/>
          </w:tcPr>
          <w:p>
            <w:pPr>
              <w:jc w:val="right"/>
              <w:ind w:right="295"/>
              <w:spacing w:after="0"/>
              <w:rPr>
                <w:sz w:val="20"/>
                <w:szCs w:val="20"/>
                <w:color w:val="auto"/>
              </w:rPr>
            </w:pPr>
            <w:r>
              <w:rPr>
                <w:rFonts w:ascii="Arial" w:cs="Arial" w:eastAsia="Arial" w:hAnsi="Arial"/>
                <w:sz w:val="17"/>
                <w:szCs w:val="17"/>
                <w:b w:val="1"/>
                <w:bCs w:val="1"/>
                <w:color w:val="auto"/>
                <w:w w:val="99"/>
              </w:rPr>
              <w:t>Residential</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Other</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350,250</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10,469</w:t>
            </w:r>
          </w:p>
        </w:tc>
        <w:tc>
          <w:tcPr>
            <w:tcW w:w="102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1,534</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3820" w:type="dxa"/>
            <w:vAlign w:val="bottom"/>
          </w:tcPr>
          <w:p>
            <w:pPr>
              <w:ind w:left="40"/>
              <w:spacing w:after="0"/>
              <w:rPr>
                <w:sz w:val="20"/>
                <w:szCs w:val="20"/>
                <w:color w:val="auto"/>
              </w:rPr>
            </w:pPr>
            <w:r>
              <w:rPr>
                <w:rFonts w:ascii="Arial" w:cs="Arial" w:eastAsia="Arial" w:hAnsi="Arial"/>
                <w:sz w:val="17"/>
                <w:szCs w:val="17"/>
                <w:color w:val="auto"/>
              </w:rPr>
              <w:t>Goodwill acquired</w:t>
            </w:r>
          </w:p>
        </w:tc>
        <w:tc>
          <w:tcPr>
            <w:tcW w:w="146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65,185</w:t>
            </w:r>
          </w:p>
        </w:tc>
        <w:tc>
          <w:tcPr>
            <w:tcW w:w="28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65,185</w:t>
            </w:r>
          </w:p>
        </w:tc>
      </w:tr>
      <w:tr>
        <w:trPr>
          <w:trHeight w:val="31"/>
        </w:trPr>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 price allocation adjustment</w:t>
            </w: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(866)</w:t>
            </w:r>
          </w:p>
        </w:tc>
      </w:tr>
      <w:tr>
        <w:trPr>
          <w:trHeight w:val="239"/>
        </w:trPr>
        <w:tc>
          <w:tcPr>
            <w:tcW w:w="3820" w:type="dxa"/>
            <w:vAlign w:val="bottom"/>
          </w:tcPr>
          <w:p>
            <w:pPr>
              <w:ind w:left="40"/>
              <w:spacing w:after="0"/>
              <w:rPr>
                <w:sz w:val="20"/>
                <w:szCs w:val="20"/>
                <w:color w:val="auto"/>
              </w:rPr>
            </w:pPr>
            <w:r>
              <w:rPr>
                <w:rFonts w:ascii="Arial" w:cs="Arial" w:eastAsia="Arial" w:hAnsi="Arial"/>
                <w:sz w:val="17"/>
                <w:szCs w:val="17"/>
                <w:color w:val="auto"/>
              </w:rPr>
              <w:t>Translation adjustments</w:t>
            </w:r>
          </w:p>
        </w:tc>
        <w:tc>
          <w:tcPr>
            <w:tcW w:w="1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(318)</w:t>
            </w:r>
          </w:p>
        </w:tc>
        <w:tc>
          <w:tcPr>
            <w:tcW w:w="2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(79)</w:t>
            </w:r>
          </w:p>
        </w:tc>
        <w:tc>
          <w:tcPr>
            <w:tcW w:w="102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31"/>
        </w:trPr>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1,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414,251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10,390</w:t>
            </w:r>
          </w:p>
        </w:tc>
        <w:tc>
          <w:tcPr>
            <w:tcW w:w="102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1,534</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426,175</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May 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920" w:type="dxa"/>
            <w:vAlign w:val="bottom"/>
          </w:tcPr>
          <w:p>
            <w:pPr>
              <w:jc w:val="right"/>
              <w:ind w:right="35"/>
              <w:spacing w:after="0"/>
              <w:rPr>
                <w:sz w:val="20"/>
                <w:szCs w:val="20"/>
                <w:color w:val="auto"/>
              </w:rPr>
            </w:pPr>
            <w:r>
              <w:rPr>
                <w:rFonts w:ascii="Arial" w:cs="Arial" w:eastAsia="Arial" w:hAnsi="Arial"/>
                <w:sz w:val="17"/>
                <w:szCs w:val="17"/>
                <w:b w:val="1"/>
                <w:bCs w:val="1"/>
                <w:color w:val="auto"/>
              </w:rPr>
              <w:t>Weighted-Average</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7"/>
                <w:szCs w:val="17"/>
                <w:b w:val="1"/>
                <w:bCs w:val="1"/>
                <w:color w:val="auto"/>
                <w:w w:val="93"/>
              </w:rPr>
              <w:t>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20" w:type="dxa"/>
            <w:vAlign w:val="bottom"/>
          </w:tcPr>
          <w:p>
            <w:pPr>
              <w:jc w:val="right"/>
              <w:ind w:right="295"/>
              <w:spacing w:after="0"/>
              <w:rPr>
                <w:sz w:val="20"/>
                <w:szCs w:val="20"/>
                <w:color w:val="auto"/>
              </w:rPr>
            </w:pPr>
            <w:r>
              <w:rPr>
                <w:rFonts w:ascii="Arial" w:cs="Arial" w:eastAsia="Arial" w:hAnsi="Arial"/>
                <w:sz w:val="17"/>
                <w:szCs w:val="17"/>
                <w:b w:val="1"/>
                <w:bCs w:val="1"/>
                <w:color w:val="auto"/>
              </w:rPr>
              <w:t>Useful Life</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2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(13,494)</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4,733</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6,865</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(6,794)</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239,383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(40,555)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198,828</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51,854</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(33,199)</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18,655</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7,476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(2,304)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5,172</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Backlog and other</w:t>
            </w:r>
          </w:p>
        </w:tc>
        <w:tc>
          <w:tcPr>
            <w:tcW w:w="2920" w:type="dxa"/>
            <w:vAlign w:val="bottom"/>
          </w:tcPr>
          <w:p>
            <w:pPr>
              <w:jc w:val="right"/>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4,390</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(4,390)</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finite-lived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328,195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(100,736)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227,459</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190,427</w:t>
            </w:r>
          </w:p>
        </w:tc>
        <w:tc>
          <w:tcPr>
            <w:tcW w:w="2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190,427</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518,622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(100,736)</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417,886</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May 3,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920" w:type="dxa"/>
            <w:vAlign w:val="bottom"/>
          </w:tcPr>
          <w:p>
            <w:pPr>
              <w:jc w:val="right"/>
              <w:ind w:right="35"/>
              <w:spacing w:after="0"/>
              <w:rPr>
                <w:sz w:val="20"/>
                <w:szCs w:val="20"/>
                <w:color w:val="auto"/>
              </w:rPr>
            </w:pPr>
            <w:r>
              <w:rPr>
                <w:rFonts w:ascii="Arial" w:cs="Arial" w:eastAsia="Arial" w:hAnsi="Arial"/>
                <w:sz w:val="17"/>
                <w:szCs w:val="17"/>
                <w:b w:val="1"/>
                <w:bCs w:val="1"/>
                <w:color w:val="auto"/>
              </w:rPr>
              <w:t>Weighted-Average</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7"/>
                <w:szCs w:val="17"/>
                <w:b w:val="1"/>
                <w:bCs w:val="1"/>
                <w:color w:val="auto"/>
                <w:w w:val="93"/>
              </w:rPr>
              <w:t>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20" w:type="dxa"/>
            <w:vAlign w:val="bottom"/>
          </w:tcPr>
          <w:p>
            <w:pPr>
              <w:jc w:val="right"/>
              <w:ind w:right="295"/>
              <w:spacing w:after="0"/>
              <w:rPr>
                <w:sz w:val="20"/>
                <w:szCs w:val="20"/>
                <w:color w:val="auto"/>
              </w:rPr>
            </w:pPr>
            <w:r>
              <w:rPr>
                <w:rFonts w:ascii="Arial" w:cs="Arial" w:eastAsia="Arial" w:hAnsi="Arial"/>
                <w:sz w:val="17"/>
                <w:szCs w:val="17"/>
                <w:b w:val="1"/>
                <w:bCs w:val="1"/>
                <w:color w:val="auto"/>
              </w:rPr>
              <w:t>Useful Life</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2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(12,728)</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5,526</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6,889</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(6,797)</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201,022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(26,719)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174,303</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50,338</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(29,292)</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21,046</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7,599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(1,903)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5,696</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Other</w:t>
            </w:r>
          </w:p>
        </w:tc>
        <w:tc>
          <w:tcPr>
            <w:tcW w:w="2920" w:type="dxa"/>
            <w:vAlign w:val="bottom"/>
          </w:tcPr>
          <w:p>
            <w:pPr>
              <w:jc w:val="right"/>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7,380</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(1,897)</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5,483</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finite-lived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291,482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(79,336)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212,146</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121,031</w:t>
            </w:r>
          </w:p>
        </w:tc>
        <w:tc>
          <w:tcPr>
            <w:tcW w:w="2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121,031</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412,513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(79,336)</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333,177</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39"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939"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October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920" w:type="dxa"/>
            <w:vAlign w:val="bottom"/>
          </w:tcPr>
          <w:p>
            <w:pPr>
              <w:jc w:val="right"/>
              <w:ind w:right="35"/>
              <w:spacing w:after="0"/>
              <w:rPr>
                <w:sz w:val="20"/>
                <w:szCs w:val="20"/>
                <w:color w:val="auto"/>
              </w:rPr>
            </w:pPr>
            <w:r>
              <w:rPr>
                <w:rFonts w:ascii="Arial" w:cs="Arial" w:eastAsia="Arial" w:hAnsi="Arial"/>
                <w:sz w:val="17"/>
                <w:szCs w:val="17"/>
                <w:b w:val="1"/>
                <w:bCs w:val="1"/>
                <w:color w:val="auto"/>
              </w:rPr>
              <w:t>Weighted-Average</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7"/>
                <w:szCs w:val="17"/>
                <w:b w:val="1"/>
                <w:bCs w:val="1"/>
                <w:color w:val="auto"/>
                <w:w w:val="93"/>
              </w:rPr>
              <w:t>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20" w:type="dxa"/>
            <w:vAlign w:val="bottom"/>
          </w:tcPr>
          <w:p>
            <w:pPr>
              <w:jc w:val="right"/>
              <w:ind w:right="295"/>
              <w:spacing w:after="0"/>
              <w:rPr>
                <w:sz w:val="20"/>
                <w:szCs w:val="20"/>
                <w:color w:val="auto"/>
              </w:rPr>
            </w:pPr>
            <w:r>
              <w:rPr>
                <w:rFonts w:ascii="Arial" w:cs="Arial" w:eastAsia="Arial" w:hAnsi="Arial"/>
                <w:sz w:val="17"/>
                <w:szCs w:val="17"/>
                <w:b w:val="1"/>
                <w:bCs w:val="1"/>
                <w:color w:val="auto"/>
              </w:rPr>
              <w:t>Useful Life</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2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(13,102)</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5,128</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6,868</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(6,786)</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82</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220,390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(33,547)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186,843</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51,911</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(31,289)</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20,622</w:t>
            </w:r>
          </w:p>
        </w:tc>
      </w:tr>
      <w:tr>
        <w:trPr>
          <w:trHeight w:val="31"/>
        </w:trPr>
        <w:tc>
          <w:tcPr>
            <w:tcW w:w="3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7,496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5,387</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Other</w:t>
            </w:r>
          </w:p>
        </w:tc>
        <w:tc>
          <w:tcPr>
            <w:tcW w:w="2920" w:type="dxa"/>
            <w:vAlign w:val="bottom"/>
          </w:tcPr>
          <w:p>
            <w:pPr>
              <w:jc w:val="right"/>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4,390</w:t>
            </w:r>
          </w:p>
        </w:tc>
        <w:tc>
          <w:tcPr>
            <w:tcW w:w="28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(4,390)</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finite-lived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309,285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(91,223)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218,062</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134,312</w:t>
            </w:r>
          </w:p>
        </w:tc>
        <w:tc>
          <w:tcPr>
            <w:tcW w:w="2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134,312</w:t>
            </w:r>
          </w:p>
        </w:tc>
      </w:tr>
      <w:tr>
        <w:trPr>
          <w:trHeight w:val="31"/>
        </w:trPr>
        <w:tc>
          <w:tcPr>
            <w:tcW w:w="3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443,597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(91,223)</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352,374</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finite-lived intangible assets during the second quarter of fiscal 2020 and fiscal 2019 was $4.9 million and $3.7 million, respectively. Amortization expense for finite-lived intangible assets during the first six months of fiscal 2020 and 2019 was $9.6 million and $5.5 million, respectively. Estimated amortization expense for the remainder of fiscal 2020 and succeeding fiscal years is as follows: fiscal 2020 (remainder), $9.9 million; fiscal 2021, $19.5 million; fiscal 2022, $18.2 million; fiscal 2023, $16.5 million; fiscal 2024, $15.4 million; fiscal 2025, $13.8 million; and after fiscal 2025, $134.2 million.</w:t>
      </w:r>
    </w:p>
    <w:p>
      <w:pPr>
        <w:spacing w:after="0" w:line="373" w:lineRule="exact"/>
        <w:rPr>
          <w:sz w:val="20"/>
          <w:szCs w:val="20"/>
          <w:color w:val="auto"/>
        </w:rPr>
      </w:pPr>
    </w:p>
    <w:p>
      <w:pPr>
        <w:ind w:left="580" w:hanging="545"/>
        <w:spacing w:after="0"/>
        <w:tabs>
          <w:tab w:leader="none" w:pos="580" w:val="left"/>
        </w:tabs>
        <w:numPr>
          <w:ilvl w:val="0"/>
          <w:numId w:val="9"/>
        </w:numPr>
        <w:rPr>
          <w:rFonts w:ascii="Arial" w:cs="Arial" w:eastAsia="Arial" w:hAnsi="Arial"/>
          <w:sz w:val="43"/>
          <w:szCs w:val="43"/>
          <w:b w:val="1"/>
          <w:bCs w:val="1"/>
          <w:color w:val="auto"/>
        </w:rPr>
      </w:pPr>
      <w:r>
        <w:rPr>
          <w:rFonts w:ascii="Arial" w:cs="Arial" w:eastAsia="Arial" w:hAnsi="Arial"/>
          <w:sz w:val="20"/>
          <w:szCs w:val="20"/>
          <w:b w:val="1"/>
          <w:bCs w:val="1"/>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19"/>
                <w:szCs w:val="19"/>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19"/>
                <w:szCs w:val="19"/>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3, 2019</w:t>
            </w:r>
          </w:p>
        </w:tc>
        <w:tc>
          <w:tcPr>
            <w:tcW w:w="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5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Revolving credit facility</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5780" w:type="dxa"/>
            <w:vAlign w:val="bottom"/>
          </w:tcPr>
          <w:p>
            <w:pPr>
              <w:ind w:left="40"/>
              <w:spacing w:after="0"/>
              <w:rPr>
                <w:sz w:val="20"/>
                <w:szCs w:val="20"/>
                <w:color w:val="auto"/>
              </w:rPr>
            </w:pPr>
            <w:r>
              <w:rPr>
                <w:rFonts w:ascii="Arial" w:cs="Arial" w:eastAsia="Arial" w:hAnsi="Arial"/>
                <w:sz w:val="17"/>
                <w:szCs w:val="17"/>
                <w:color w:val="auto"/>
              </w:rPr>
              <w:t>$200 million term loan</w:t>
            </w:r>
          </w:p>
        </w:tc>
        <w:tc>
          <w:tcPr>
            <w:tcW w:w="10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100,000</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200,000</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100,000</w:t>
            </w:r>
          </w:p>
        </w:tc>
      </w:tr>
      <w:tr>
        <w:trPr>
          <w:trHeight w:val="31"/>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$300 million term loan</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180,000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300,000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180,000</w:t>
            </w:r>
          </w:p>
        </w:tc>
      </w:tr>
      <w:tr>
        <w:trPr>
          <w:trHeight w:val="239"/>
        </w:trPr>
        <w:tc>
          <w:tcPr>
            <w:tcW w:w="5780" w:type="dxa"/>
            <w:vAlign w:val="bottom"/>
          </w:tcPr>
          <w:p>
            <w:pPr>
              <w:ind w:left="40"/>
              <w:spacing w:after="0"/>
              <w:rPr>
                <w:sz w:val="20"/>
                <w:szCs w:val="20"/>
                <w:color w:val="auto"/>
              </w:rPr>
            </w:pPr>
            <w:r>
              <w:rPr>
                <w:rFonts w:ascii="Arial" w:cs="Arial" w:eastAsia="Arial" w:hAnsi="Arial"/>
                <w:sz w:val="17"/>
                <w:szCs w:val="17"/>
                <w:color w:val="auto"/>
              </w:rPr>
              <w:t>$190 million term loan</w:t>
            </w:r>
          </w:p>
        </w:tc>
        <w:tc>
          <w:tcPr>
            <w:tcW w:w="10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190,000</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3.81% series A senior notes</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100,000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100,000</w:t>
            </w:r>
          </w:p>
        </w:tc>
      </w:tr>
      <w:tr>
        <w:trPr>
          <w:trHeight w:val="239"/>
        </w:trPr>
        <w:tc>
          <w:tcPr>
            <w:tcW w:w="5780" w:type="dxa"/>
            <w:vAlign w:val="bottom"/>
          </w:tcPr>
          <w:p>
            <w:pPr>
              <w:ind w:left="40"/>
              <w:spacing w:after="0"/>
              <w:rPr>
                <w:sz w:val="20"/>
                <w:szCs w:val="20"/>
                <w:color w:val="auto"/>
              </w:rPr>
            </w:pPr>
            <w:r>
              <w:rPr>
                <w:rFonts w:ascii="Arial" w:cs="Arial" w:eastAsia="Arial" w:hAnsi="Arial"/>
                <w:sz w:val="17"/>
                <w:szCs w:val="17"/>
                <w:color w:val="auto"/>
              </w:rPr>
              <w:t>3.91% series B senior notes</w:t>
            </w:r>
          </w:p>
        </w:tc>
        <w:tc>
          <w:tcPr>
            <w:tcW w:w="10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100,000</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100,000</w:t>
            </w:r>
          </w:p>
        </w:tc>
      </w:tr>
      <w:tr>
        <w:trPr>
          <w:trHeight w:val="31"/>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7.800% debentures</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100,000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100,000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100,000</w:t>
            </w:r>
          </w:p>
        </w:tc>
      </w:tr>
      <w:tr>
        <w:trPr>
          <w:trHeight w:val="239"/>
        </w:trPr>
        <w:tc>
          <w:tcPr>
            <w:tcW w:w="5780" w:type="dxa"/>
            <w:vAlign w:val="bottom"/>
          </w:tcPr>
          <w:p>
            <w:pPr>
              <w:ind w:left="40"/>
              <w:spacing w:after="0"/>
              <w:rPr>
                <w:sz w:val="20"/>
                <w:szCs w:val="20"/>
                <w:color w:val="auto"/>
              </w:rPr>
            </w:pPr>
            <w:r>
              <w:rPr>
                <w:rFonts w:ascii="Arial" w:cs="Arial" w:eastAsia="Arial" w:hAnsi="Arial"/>
                <w:sz w:val="17"/>
                <w:szCs w:val="17"/>
                <w:color w:val="auto"/>
              </w:rPr>
              <w:t>6.625% senior notes</w:t>
            </w:r>
          </w:p>
        </w:tc>
        <w:tc>
          <w:tcPr>
            <w:tcW w:w="10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123,947</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123,885</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123,916</w:t>
            </w:r>
          </w:p>
        </w:tc>
      </w:tr>
      <w:tr>
        <w:trPr>
          <w:trHeight w:val="31"/>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unamortized discounts, debt issuance costs, and deferred charges</w:t>
            </w:r>
          </w:p>
        </w:tc>
        <w:tc>
          <w:tcPr>
            <w:tcW w:w="10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(3,171)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(3,103)</w:t>
            </w:r>
          </w:p>
        </w:tc>
      </w:tr>
      <w:tr>
        <w:trPr>
          <w:trHeight w:val="233"/>
        </w:trPr>
        <w:tc>
          <w:tcPr>
            <w:tcW w:w="578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long-term debt</w:t>
            </w:r>
          </w:p>
        </w:tc>
        <w:tc>
          <w:tcPr>
            <w:tcW w:w="10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890,776</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811,079</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700,813</w:t>
            </w:r>
          </w:p>
        </w:tc>
      </w:tr>
      <w:tr>
        <w:trPr>
          <w:trHeight w:val="31"/>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current portion of long-term debt</w:t>
            </w:r>
          </w:p>
        </w:tc>
        <w:tc>
          <w:tcPr>
            <w:tcW w:w="10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99,868</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90,000</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79,914</w:t>
            </w:r>
          </w:p>
        </w:tc>
      </w:tr>
      <w:tr>
        <w:trPr>
          <w:trHeight w:val="233"/>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Long-term debt, less current portion</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790,908</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721,079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620,899</w:t>
            </w:r>
          </w:p>
        </w:tc>
      </w:tr>
      <w:tr>
        <w:trPr>
          <w:trHeight w:val="31"/>
        </w:trPr>
        <w:tc>
          <w:tcPr>
            <w:tcW w:w="5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Principal payments required on the company's outstanding indebtedness, based on the maturity dates defined within the company's debt arrangements, for the remainder of fiscal 2020 and succeeding five fiscal years are as follows: fiscal 2020 (remainder), $0.0 million; fiscal 2021, $28.5 million; fiscal 2022, $161.3 million; fiscal 2023, $127.2 million; fiscal 2024, $153.0 million; fiscal 2025, $0.0 million; and after fiscal 2025, $425.0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an unsecured senior five-year revolving credit facility with a borrowing capacity of $600.0 million that expires in June 2023. Included in the company's $600.0 million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 In connection with the entry into the revolving credit facility during June 2018, the company incurred approximately $1.9 million of debt issuance costs, which are being amortized over the life of the revolving credit facility under the straight-line method as the results obtained</w:t>
      </w:r>
    </w:p>
    <w:p>
      <w:pPr>
        <w:sectPr>
          <w:pgSz w:w="11900" w:h="16838" w:orient="portrait"/>
          <w:cols w:equalWidth="0" w:num="1">
            <w:col w:w="11240"/>
          </w:cols>
          <w:pgMar w:left="320" w:top="12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are not materially different from those that would result from the use of the effective interest method. The company classifies the debt issuance costs related to its revolving credit facility within other assets on the Condensed Consolidated Balance Sheets, regardless of whether the company has any outstanding borrowings on the revolving credit facility.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May 1, 2020, the company had no borrowings under the revolving credit facility, but did have $1.9 million outstanding under the sublimit for standby letters of credit, which resulted in $598.1 million of unutilized availability under the revolving credit facility. As of May 3, 2019, the company had $90.0 million outstanding under the revolving credit facility, $1.9 million outstanding under the sublimit for standby letters of credit, and $508.1 million of unutilized availability under the revolving credit facility. As of October 31, 2019, the company had no borrowings under the revolving credit facility but did have $1.9 million outstanding under the sublimit for standby letters of credit, which resulted in $598.1 million of unutilized availability under the revolving credit facility. Typically, the company's revolving credit facility is classified as long-term debt within the company's Condensed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that portion of outstanding borrowings under the revolving credit facility to current portion of long-term debt within the Condensed Consolidated Balance Sheets. As of May 1, 2020 and October 31, 2019, no outstanding borrowings under the company's revolving credit facility were classified as current portion of long-term debt within the Condensed Consolidated Balance Sheets. As of May 3, 2019, the $90.0 million of outstanding borrowings under the company's revolving credit facility was classified as long-term debt within the company's Condensed Consolidated Balance Sheets.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May 1, 2020, May 3, 2019, and October 31, 2019.</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three and six month periods ended May 1, 2020, the company incurred interest expense of approximately $0.7 million and $0.8 million, respectively, under the revolving credit facility. For the three and six month periods ended May 3, 2019, the company incurred interest expense of approximately $1.0 million and $1.8 million, respectively, under the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$500.0 Million Term Loan Credit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2019, the company entered into a term loan credit agreement with a syndicate of financial institutions for the purpose of partially funding the purchase price of the company's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(collectively, the "$500.0 million term loan"). The funds under the $500.0 million term loan were received on April 1, 2019 in connection with the closing of the company's acquisition of CMW. There are no scheduled principal amortization payments prior to maturity on the $200.0 million three year unsecured senior term loan facility. For the $300.0 million five year unsecured senior term loan facility, the company is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the company's election at any time without penalty or premium.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1, 2020, the company had prepaid $100.0 million and $120.0 million against the outstanding principal balances of the $200.0 million three year unsecured senior term loan facility and $300.0 million five year unsecured senior term loan facility, respectively. Thus, as of May 1, 2020, there were $100.0 million and $180.0 million of outstanding borrowings under the $500.0 million term loan for the $200.0 million three year unsecured senior term loan facility and the $300.0 million five year unsecured senior term loan facility,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company's entry into the $500.0 million term loan in March 2019, the company incurred approximately $0.6 million of debt issuance costs, which are being amortized over the life of the respective term loans under the straight-line method as the results obtained are not materially different from those that would result from the use of the effective interest method.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Unamortized deferred debt issuance costs are netted against the outstanding borrowings under the $500.0 million term loan on the company's Condensed Consolidated Balance Sheets.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$500.0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$500.0 million term loan as of May 1, 2020. Outstanding borrowings under the $500.0 million term loan bear interest at a variable rate based on LIBOR or an alternative variable rate, subject to an additional basis point spread as defined in the $500.0 million loan credit agreement. Interest is payable quarterly in arrears. For the three and six month periods ended May 1, 2020, the company incurred interest expense of approximately $1.5 million and $3.4 million, respectively, on the outstanding borrowings under the $500.0 million term loan. For the three and six month periods ended May 3, 2019, the company incurred interest expense of approximately $1.6 million on the outstanding borrowings under the $500.0 million term loan.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$190.0 Million Term Loan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30, 2020, the company entered into a term loan credit agreement ("$190.0 million term loan") with certain financial institutions for the purpose of refinancing certain of its outstanding borrowings incurred in connection with the company's acquisition of Venture Products on March 2, 2020, as well as a precautionary measure to increase the company's liquidity and preserve financial flexibility in light of the current uncertainty in the global financial and commercial markets as a result of COVID-19. The $190.0 million term loan provided for a $190.0 million three year unsecured senior term loan facility maturing on June 19, 2023. In connection with the company's entry into the $190.0 million term loan, the company incurred immaterial debt issuance costs, which are being deferred and amortized over the life of the $190.0 million term loan and are netted against the outstanding borrowings under the $190.0 million term loan on the company's Condensed Consolidated Balance Sheets.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Beginning with the last business day of March 2021, the company is required to make quarterly amortization payments on the $190.0 million term loan equal to 5.0% for the first four payments and 7.5% thereafter of the original aggregate principal amount reduced by any applicable prepayments. The $190.0 million term loan may be prepaid and terminated at the company's election at any time without penalty or premium. Amounts repaid or prepaid may not be reborrowed. As of May 1, 2020, there was $190.0 million of outstanding borrowings under the $190.0 million term loan and the company has reclassified $99.9 million of the remaining outstanding principal balance under the $190.0 million term loan, net of the related proportionate share of deferred debt issuance costs, to current portion of long-term debt within the Condensed Consolidated Balance Sheets as the company intends to prepay such amount utilizing anticipated cash flows from operations within the next twelve months.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$190.0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$190.0 million term loan as of May 1, 2020. Outstanding borrowings under the$190.0 million term loan bear interest at a variable rate based on LIBOR or an alternative variable rate with a minimum rate of 0.75 percent, subject to an additional basis point spread as defined in the term credit loan agreement. Interest is payable quarterly in arrears. For the three and six month periods ended May 1, 2020, the company incurred interest expense of approximately $0.4 million on the outstanding borrowings under the $190.0 million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the right to prepay all or a portion of either series of the Senior Notes in an amount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100.0 percent of the principal amount so prepaid, plus accrued and unpaid interest, if any, to the date of prepayment. Upon the occurrence of certain change of control events, the company is required to prepay all of the Senior Notes for the principal amount thereof plus accrued and unpaid interest, if any, to the date of prepayment.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May 1, 2020.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company's issuance of the Senior Notes in June 2019, the company incurred approximately $0.7 million of debt issuance costs, which are being amortized over the life of the respective Senior Notes under the straight-line method as the results obtained are not materially different from those that would result from the use of the effective interest method. Unamortized deferred debt issuance costs are netted against the outstanding borrowings under the respective Senior Notes on the company's Condensed Consolidated Balance Sheets.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For the three and six month periods ended May 1, 2020, the company incurred interest expense of approximately $1.9 million and $3.9 million, respectively, on the outstanding borrowings under the private placement note purchase agreement relating to the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 Debentures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 the debentures is payable semiannually on the 15th day of June and December in each year. For the three and six month periods ended May 1, 2020 and May 3, 2019, the company incurred interest expense of approximately $2.0 million and $4.0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26, 2007, the company issued $125.0 million in aggregate principal amount of 6.625 percent senior notes due May 1, 2037 and priced at 98.513 percent of par value. The resulting discount of $1.9 million and the underwriting fee and direct debt issuance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 Interest on the senior notes is payable semiannually on the 1st day of May and November in each year. For the three and six month periods ended May 1, 2020 and May 3, 2019, the company incurred interest expense of approximately $2.1 million and $4.2 million, respectively.</w:t>
      </w:r>
    </w:p>
    <w:p>
      <w:pPr>
        <w:spacing w:after="0" w:line="356" w:lineRule="exact"/>
        <w:rPr>
          <w:sz w:val="20"/>
          <w:szCs w:val="20"/>
          <w:color w:val="auto"/>
        </w:rPr>
      </w:pPr>
    </w:p>
    <w:p>
      <w:pPr>
        <w:ind w:left="580" w:hanging="545"/>
        <w:spacing w:after="0"/>
        <w:tabs>
          <w:tab w:leader="none" w:pos="580" w:val="left"/>
        </w:tabs>
        <w:numPr>
          <w:ilvl w:val="0"/>
          <w:numId w:val="10"/>
        </w:numPr>
        <w:rPr>
          <w:rFonts w:ascii="Arial" w:cs="Arial" w:eastAsia="Arial" w:hAnsi="Arial"/>
          <w:sz w:val="43"/>
          <w:szCs w:val="43"/>
          <w:b w:val="1"/>
          <w:bCs w:val="1"/>
          <w:color w:val="auto"/>
        </w:rPr>
      </w:pPr>
      <w:r>
        <w:rPr>
          <w:rFonts w:ascii="Arial" w:cs="Arial" w:eastAsia="Arial" w:hAnsi="Arial"/>
          <w:sz w:val="20"/>
          <w:szCs w:val="20"/>
          <w:b w:val="1"/>
          <w:bCs w:val="1"/>
          <w:color w:val="auto"/>
        </w:rPr>
        <w:t>Management Actions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 2019, during the company's fiscal 2019 third quarter, the company announced a plan to wind down its Toro-branded large directional drill and riding trencher product categories within its Professional segment product portfolio ("Toro underground wind down"). As of May 1, 2020, the company continues to expect to incur total pretax charges of approximately $10.0 million to $11.0 million related to the Toro underground wind down. The majority of such charges have already been incurred and substantially all remaining anticipated costs are expected to be incurred by the end of fiscal 2020. For the three and six month periods ended May 1, 2020, the company incurred $0.9 million of pre-tax charges related to inventory write-downs to net realizable value. During fiscal 2019, the company recorded pre-tax charges of $10.0 million as a result of the Toro underground wind down related to inventory write-downs to net realizable value, accelerated depreciation on fixed assets that will no longer be used, and</w:t>
      </w:r>
    </w:p>
    <w:p>
      <w:pPr>
        <w:sectPr>
          <w:pgSz w:w="11900" w:h="16838" w:orient="portrait"/>
          <w:cols w:equalWidth="0" w:num="1">
            <w:col w:w="11240"/>
          </w:cols>
          <w:pgMar w:left="320" w:top="125" w:right="33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anticipated inventory retail support activities. As of May 1, 2020, the company had a remaining accrual balance of $0.9 million related to the anticipated inventory retail support activities within accrued liabilities in the Condensed Consolidated Balance Sheet. The remainder of the estimated pre-tax charges are anticipated to be primarily comprised of costs related to the write-down of future component parts inventory purchases to finalize assembly of the company's remaining Toro-branded large directional drill and riding trencher inventory.</w:t>
      </w:r>
    </w:p>
    <w:p>
      <w:pPr>
        <w:spacing w:after="0" w:line="372" w:lineRule="exact"/>
        <w:rPr>
          <w:sz w:val="20"/>
          <w:szCs w:val="20"/>
          <w:color w:val="auto"/>
        </w:rPr>
      </w:pPr>
    </w:p>
    <w:p>
      <w:pPr>
        <w:ind w:left="580" w:hanging="545"/>
        <w:spacing w:after="0"/>
        <w:tabs>
          <w:tab w:leader="none" w:pos="580" w:val="left"/>
        </w:tabs>
        <w:numPr>
          <w:ilvl w:val="0"/>
          <w:numId w:val="11"/>
        </w:numPr>
        <w:rPr>
          <w:rFonts w:ascii="Arial" w:cs="Arial" w:eastAsia="Arial" w:hAnsi="Arial"/>
          <w:sz w:val="43"/>
          <w:szCs w:val="43"/>
          <w:b w:val="1"/>
          <w:bCs w:val="1"/>
          <w:color w:val="auto"/>
        </w:rPr>
      </w:pPr>
      <w:r>
        <w:rPr>
          <w:rFonts w:ascii="Arial" w:cs="Arial" w:eastAsia="Arial" w:hAnsi="Arial"/>
          <w:sz w:val="20"/>
          <w:szCs w:val="20"/>
          <w:b w:val="1"/>
          <w:bCs w:val="1"/>
          <w:color w:val="auto"/>
        </w:rPr>
        <w:t>Inventories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method for a majority of the company's inventories and the last-in, first-out ("LIFO") and average cost methods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On March 2, 2020, with the acquisition of Venture Products, the company acquired $23.0 million of inventory, based on preliminary fair value purchase accounting adjustments. For additional information on the company's acquisition of Venture Products,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280" w:type="dxa"/>
            <w:vAlign w:val="bottom"/>
          </w:tcPr>
          <w:p>
            <w:pPr>
              <w:spacing w:after="0"/>
              <w:rPr>
                <w:sz w:val="19"/>
                <w:szCs w:val="19"/>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300" w:type="dxa"/>
            <w:vAlign w:val="bottom"/>
          </w:tcPr>
          <w:p>
            <w:pPr>
              <w:spacing w:after="0"/>
              <w:rPr>
                <w:sz w:val="19"/>
                <w:szCs w:val="19"/>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3, 2019</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4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Raw materials and work in process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198,807</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186,065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179,967</w:t>
            </w:r>
          </w:p>
        </w:tc>
      </w:tr>
      <w:tr>
        <w:trPr>
          <w:trHeight w:val="239"/>
        </w:trPr>
        <w:tc>
          <w:tcPr>
            <w:tcW w:w="4560" w:type="dxa"/>
            <w:vAlign w:val="bottom"/>
          </w:tcPr>
          <w:p>
            <w:pPr>
              <w:ind w:left="40"/>
              <w:spacing w:after="0"/>
              <w:rPr>
                <w:sz w:val="20"/>
                <w:szCs w:val="20"/>
                <w:color w:val="auto"/>
              </w:rPr>
            </w:pPr>
            <w:r>
              <w:rPr>
                <w:rFonts w:ascii="Arial" w:cs="Arial" w:eastAsia="Arial" w:hAnsi="Arial"/>
                <w:sz w:val="17"/>
                <w:szCs w:val="17"/>
                <w:color w:val="auto"/>
              </w:rPr>
              <w:t>Finished goods and service parts</w:t>
            </w:r>
          </w:p>
        </w:tc>
        <w:tc>
          <w:tcPr>
            <w:tcW w:w="22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597,431</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497,467</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553,767</w:t>
            </w:r>
          </w:p>
        </w:tc>
      </w:tr>
      <w:tr>
        <w:trPr>
          <w:trHeight w:val="31"/>
        </w:trPr>
        <w:tc>
          <w:tcPr>
            <w:tcW w:w="4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FIFO value</w:t>
            </w:r>
          </w:p>
        </w:tc>
        <w:tc>
          <w:tcPr>
            <w:tcW w:w="2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796,238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683,532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733,734</w:t>
            </w:r>
          </w:p>
        </w:tc>
      </w:tr>
      <w:tr>
        <w:trPr>
          <w:trHeight w:val="239"/>
        </w:trPr>
        <w:tc>
          <w:tcPr>
            <w:tcW w:w="4560" w:type="dxa"/>
            <w:vAlign w:val="bottom"/>
          </w:tcPr>
          <w:p>
            <w:pPr>
              <w:ind w:left="40"/>
              <w:spacing w:after="0"/>
              <w:rPr>
                <w:sz w:val="20"/>
                <w:szCs w:val="20"/>
                <w:color w:val="auto"/>
              </w:rPr>
            </w:pPr>
            <w:r>
              <w:rPr>
                <w:rFonts w:ascii="Arial" w:cs="Arial" w:eastAsia="Arial" w:hAnsi="Arial"/>
                <w:sz w:val="17"/>
                <w:szCs w:val="17"/>
                <w:color w:val="auto"/>
              </w:rPr>
              <w:t>Less: adjustment to LIFO value</w:t>
            </w:r>
          </w:p>
        </w:tc>
        <w:tc>
          <w:tcPr>
            <w:tcW w:w="22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82,071</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72,201</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82,071</w:t>
            </w:r>
          </w:p>
        </w:tc>
      </w:tr>
      <w:tr>
        <w:trPr>
          <w:trHeight w:val="31"/>
        </w:trPr>
        <w:tc>
          <w:tcPr>
            <w:tcW w:w="4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inventories, net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714,167</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611,331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651,663</w:t>
            </w:r>
          </w:p>
        </w:tc>
      </w:tr>
      <w:tr>
        <w:trPr>
          <w:trHeight w:val="20"/>
        </w:trPr>
        <w:tc>
          <w:tcPr>
            <w:tcW w:w="45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hanging="545"/>
        <w:spacing w:after="0"/>
        <w:tabs>
          <w:tab w:leader="none" w:pos="580" w:val="left"/>
        </w:tabs>
        <w:numPr>
          <w:ilvl w:val="0"/>
          <w:numId w:val="12"/>
        </w:numPr>
        <w:rPr>
          <w:rFonts w:ascii="Arial" w:cs="Arial" w:eastAsia="Arial" w:hAnsi="Arial"/>
          <w:sz w:val="43"/>
          <w:szCs w:val="43"/>
          <w:b w:val="1"/>
          <w:bCs w:val="1"/>
          <w:color w:val="auto"/>
        </w:rPr>
      </w:pPr>
      <w:r>
        <w:rPr>
          <w:rFonts w:ascii="Arial" w:cs="Arial" w:eastAsia="Arial" w:hAnsi="Arial"/>
          <w:sz w:val="20"/>
          <w:szCs w:val="20"/>
          <w:b w:val="1"/>
          <w:bCs w:val="1"/>
          <w:color w:val="auto"/>
        </w:rPr>
        <w:t>Property and Depreciation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Property, plant, and equipment assets are carried at cost less accumulated depreciation. The company provides for depreciation of property, plant, and equipment utilizing the straight-line method over the estimated useful lives of the assets. Buildings, land improvements,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March 2, 2020, with the acquisition of Venture Products, the company acquired $27.0 million of property, plant, and equipment, based on preliminary fair value purchase accounting adjustments. For additional information on the company's acquisition of Venture Products, refer to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140" w:type="dxa"/>
            <w:vAlign w:val="bottom"/>
          </w:tcPr>
          <w:p>
            <w:pPr>
              <w:spacing w:after="0"/>
              <w:rPr>
                <w:sz w:val="19"/>
                <w:szCs w:val="19"/>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300" w:type="dxa"/>
            <w:vAlign w:val="bottom"/>
          </w:tcPr>
          <w:p>
            <w:pPr>
              <w:spacing w:after="0"/>
              <w:rPr>
                <w:sz w:val="19"/>
                <w:szCs w:val="19"/>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3, 2019</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47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Land and land improvements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55,298</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53,123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55,613</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Buildings and leasehold improvements</w:t>
            </w:r>
          </w:p>
        </w:tc>
        <w:tc>
          <w:tcPr>
            <w:tcW w:w="21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287,303</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263,103</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276,556</w:t>
            </w:r>
          </w:p>
        </w:tc>
      </w:tr>
      <w:tr>
        <w:trPr>
          <w:trHeight w:val="31"/>
        </w:trPr>
        <w:tc>
          <w:tcPr>
            <w:tcW w:w="4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Machinery and equipment</w:t>
            </w:r>
          </w:p>
        </w:tc>
        <w:tc>
          <w:tcPr>
            <w:tcW w:w="2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466,388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421,927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453,314</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Tooling</w:t>
            </w:r>
          </w:p>
        </w:tc>
        <w:tc>
          <w:tcPr>
            <w:tcW w:w="21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216,177</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223,621</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226,870</w:t>
            </w:r>
          </w:p>
        </w:tc>
      </w:tr>
      <w:tr>
        <w:trPr>
          <w:trHeight w:val="31"/>
        </w:trPr>
        <w:tc>
          <w:tcPr>
            <w:tcW w:w="4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hardware and software</w:t>
            </w:r>
          </w:p>
        </w:tc>
        <w:tc>
          <w:tcPr>
            <w:tcW w:w="2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94,026</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91,353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94,409</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Construction in process</w:t>
            </w:r>
          </w:p>
        </w:tc>
        <w:tc>
          <w:tcPr>
            <w:tcW w:w="21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71,309</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55,851</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34,937</w:t>
            </w:r>
          </w:p>
        </w:tc>
      </w:tr>
      <w:tr>
        <w:trPr>
          <w:trHeight w:val="31"/>
        </w:trPr>
        <w:tc>
          <w:tcPr>
            <w:tcW w:w="47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plant, and equipment, gross</w:t>
            </w:r>
          </w:p>
        </w:tc>
        <w:tc>
          <w:tcPr>
            <w:tcW w:w="2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1,190,501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1,108,978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1,141,699</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Less: accumulated depreciation</w:t>
            </w:r>
          </w:p>
        </w:tc>
        <w:tc>
          <w:tcPr>
            <w:tcW w:w="21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736,740</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683,597</w:t>
            </w: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704,382</w:t>
            </w:r>
          </w:p>
        </w:tc>
      </w:tr>
      <w:tr>
        <w:trPr>
          <w:trHeight w:val="31"/>
        </w:trPr>
        <w:tc>
          <w:tcPr>
            <w:tcW w:w="47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453,761</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425,381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437,317</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9"/>
          <w:szCs w:val="19"/>
          <w:b w:val="1"/>
          <w:bCs w:val="1"/>
          <w:color w:val="auto"/>
        </w:rPr>
        <w:t>Warranty Guarantees</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For additional information on the contract liabilities associated with the company's separately priced extended warranties,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3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33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90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3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96,623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76,745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96,604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76,214</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Provisions</w:t>
            </w:r>
          </w:p>
        </w:tc>
        <w:tc>
          <w:tcPr>
            <w:tcW w:w="190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17,072</w:t>
            </w:r>
          </w:p>
        </w:tc>
        <w:tc>
          <w:tcPr>
            <w:tcW w:w="2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17,946</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31,103</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28,502</w:t>
            </w:r>
          </w:p>
        </w:tc>
      </w:tr>
      <w:tr>
        <w:trPr>
          <w:trHeight w:val="31"/>
        </w:trPr>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2,557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14,272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2,557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14,272</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Claims</w:t>
            </w:r>
          </w:p>
        </w:tc>
        <w:tc>
          <w:tcPr>
            <w:tcW w:w="19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(16,927)</w:t>
            </w:r>
          </w:p>
        </w:tc>
        <w:tc>
          <w:tcPr>
            <w:tcW w:w="26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(11,356)</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(31,630)</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(22,171)</w:t>
            </w:r>
          </w:p>
        </w:tc>
      </w:tr>
      <w:tr>
        <w:trPr>
          <w:trHeight w:val="31"/>
        </w:trPr>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Changes in estimates</w:t>
            </w:r>
          </w:p>
        </w:tc>
        <w:tc>
          <w:tcPr>
            <w:tcW w:w="1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3,559</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(1,855)</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4,250</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r>
      <w:tr>
        <w:trPr>
          <w:trHeight w:val="233"/>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Ending balance</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102,884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95,752</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102,884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95,752</w:t>
            </w:r>
          </w:p>
        </w:tc>
      </w:tr>
      <w:tr>
        <w:trPr>
          <w:trHeight w:val="31"/>
        </w:trPr>
        <w:tc>
          <w:tcPr>
            <w:tcW w:w="3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9"/>
          <w:szCs w:val="19"/>
          <w:b w:val="1"/>
          <w:bCs w:val="1"/>
          <w:color w:val="auto"/>
        </w:rPr>
        <w:t>Investment in Finance Affiliate</w:t>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2009, the company and TCF Inventory Finance, Inc. ("TCFIF"), a subsidiary of TCF National Bank, established the Red Iron joint venture to primarily provide inventory financing to certain distributors and dealers of certain of the company’s products in the U.S. Under such joint venture, the company owns 45 percent of Red Iron and TCFIF owns 55 percent of Red Iron. Under a separate agreement, TCF Commercial Finance Canada, Inc. ("TCFCFC") provides inventory financing to dealers of the company's products in Canada. On December 20, 2019, during the first quarter of fiscal 2020, the company amended certain agreements pertaining to the Red Iron joint venture. The purpose of these amendments was, among other things, to: (i) adjust certain rates under the floor plan financing rate structure charged to the company’s distributors and dealers participating in financing arrangements through the Red Iron joint venture; (ii) extend the term of the Red Iron joint venture from October 31, 2024 to October 31, 2026, subject to two-year extensions thereafter unless either the company or TCFIF provides written notice to the other party of non-renewal at least one year prior to the end of the then-current term; (iii) amend certain exclusivity-related provisions, including the definition of the company's products that are subject to exclusivity, inclusion of a two-year review period by the company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the company received from TCFIF in 2016; (iv) extend the maturity date of the revolving credit facility used by Red Iron primarily to finance the acquisition of inventory from the company by its distributors and dealers from October 31, 2024 to October 31, 2026 and to increase the amount available under such revolving credit facility from $550 million to $625 million; and (v) memorialize certain other non-material amendments.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w:t>
      </w:r>
    </w:p>
    <w:p>
      <w:pPr>
        <w:sectPr>
          <w:pgSz w:w="11900" w:h="16838" w:orient="portrait"/>
          <w:cols w:equalWidth="0" w:num="1">
            <w:col w:w="11240"/>
          </w:cols>
          <w:pgMar w:left="320" w:top="12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TCFIF. The company’s total investment in Red Iron as of May 1, 2020, May 3, 2019, and October 31, 2019 was $27.8 million, $30.1 million, and $24.1 million, respectively. The company has not guaranteed the outstanding indebtedness of Red Iron.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financing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and TCFCFC. Under such limited inventory repurchase agreement, the company has agreed to repurchase products repossessed by Red Iron and TCFCFC, up to a maximum aggregate amount of $7.5 million in a calendar year. The company's financial exposure under this limited inventory repurchase agreement is limited to the difference between the amount paid to Red Iron and TCFCFC for repurchases of repossessed product and the amount received upon the subsequent resale of the repossessed product. The company has repurchased immaterial amounts of inventory under this limited inventory repurchase agreement for the six months ended May 1, 2020 and May 3, 2019.</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May 1, 2020 and May 3, 2019 were $886.4 million and $1,031.3 million, respectively. As of May 1, 2020, Red Iron’s total assets were $555.0 million and total liabilities were $493.1 million. The total amount of receivables due from Red Iron to the company as of May 1, 2020, May 3, 2019, and October 31, 2019 were $23.3 million, $38.7 million and $21.7 million, respectively.</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9"/>
          <w:szCs w:val="19"/>
          <w:b w:val="1"/>
          <w:bCs w:val="1"/>
          <w:color w:val="auto"/>
        </w:rPr>
        <w:t>Stock-Based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related to stock-based awards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40" w:type="dxa"/>
            <w:vAlign w:val="bottom"/>
            <w:gridSpan w:val="3"/>
          </w:tcPr>
          <w:p>
            <w:pPr>
              <w:jc w:val="right"/>
              <w:ind w:right="655"/>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2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30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Unrestricted common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592</w:t>
            </w:r>
          </w:p>
        </w:tc>
      </w:tr>
      <w:tr>
        <w:trPr>
          <w:trHeight w:val="239"/>
        </w:trPr>
        <w:tc>
          <w:tcPr>
            <w:tcW w:w="4220" w:type="dxa"/>
            <w:vAlign w:val="bottom"/>
          </w:tcPr>
          <w:p>
            <w:pPr>
              <w:ind w:left="40"/>
              <w:spacing w:after="0"/>
              <w:rPr>
                <w:sz w:val="20"/>
                <w:szCs w:val="20"/>
                <w:color w:val="auto"/>
              </w:rPr>
            </w:pPr>
            <w:r>
              <w:rPr>
                <w:rFonts w:ascii="Arial" w:cs="Arial" w:eastAsia="Arial" w:hAnsi="Arial"/>
                <w:sz w:val="17"/>
                <w:szCs w:val="17"/>
                <w:color w:val="auto"/>
              </w:rPr>
              <w:t>Stock option awards</w:t>
            </w:r>
          </w:p>
        </w:tc>
        <w:tc>
          <w:tcPr>
            <w:tcW w:w="106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2,316</w:t>
            </w:r>
          </w:p>
        </w:tc>
        <w:tc>
          <w:tcPr>
            <w:tcW w:w="26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1,328</w:t>
            </w:r>
          </w:p>
        </w:tc>
        <w:tc>
          <w:tcPr>
            <w:tcW w:w="3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4,094</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3,163</w:t>
            </w:r>
          </w:p>
        </w:tc>
      </w:tr>
      <w:tr>
        <w:trPr>
          <w:trHeight w:val="31"/>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Performance share awards</w:t>
            </w: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1,014</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1,818</w:t>
            </w:r>
          </w:p>
        </w:tc>
      </w:tr>
      <w:tr>
        <w:trPr>
          <w:trHeight w:val="239"/>
        </w:trPr>
        <w:tc>
          <w:tcPr>
            <w:tcW w:w="4220" w:type="dxa"/>
            <w:vAlign w:val="bottom"/>
          </w:tcPr>
          <w:p>
            <w:pPr>
              <w:ind w:left="40"/>
              <w:spacing w:after="0"/>
              <w:rPr>
                <w:sz w:val="20"/>
                <w:szCs w:val="20"/>
                <w:color w:val="auto"/>
              </w:rPr>
            </w:pPr>
            <w:r>
              <w:rPr>
                <w:rFonts w:ascii="Arial" w:cs="Arial" w:eastAsia="Arial" w:hAnsi="Arial"/>
                <w:sz w:val="17"/>
                <w:szCs w:val="17"/>
                <w:color w:val="auto"/>
              </w:rPr>
              <w:t>Restricted stock unit awards</w:t>
            </w:r>
          </w:p>
        </w:tc>
        <w:tc>
          <w:tcPr>
            <w:tcW w:w="106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976</w:t>
            </w:r>
          </w:p>
        </w:tc>
        <w:tc>
          <w:tcPr>
            <w:tcW w:w="26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759</w:t>
            </w:r>
          </w:p>
        </w:tc>
        <w:tc>
          <w:tcPr>
            <w:tcW w:w="3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1,918</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1,452</w:t>
            </w:r>
          </w:p>
        </w:tc>
      </w:tr>
      <w:tr>
        <w:trPr>
          <w:trHeight w:val="31"/>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compensation cost for stock-based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3,101</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5,367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7,025</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fiscal 2020, in response to COVID-19 and its impact on the company's Consolidated Financial Position, Results of Operations, and Cash Flows, the probability of achieving the company's performance goals was revised. Such revision impacted the company's performance share awards, which resulted in a reduction in the cumulative expense recorded for such awards within selling, general and administrative expense in the Condensed Consolidated Statements of Earnings for the three and six month periods ended May 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Common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six months of fiscal years 2020 and 2019, 8,920 and 10,090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 No shares of fully vested unrestricted common stock awards were granted during the second quarter of fiscal years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vesting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director has served on the company’s Board of Directors for ten full</w:t>
      </w:r>
    </w:p>
    <w:p>
      <w:pPr>
        <w:sectPr>
          <w:pgSz w:w="11900" w:h="16838" w:orient="portrait"/>
          <w:cols w:equalWidth="0" w:num="1">
            <w:col w:w="11240"/>
          </w:cols>
          <w:pgMar w:left="320" w:top="125"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fiscal years or more, the awards vest immediately upon retirement, and therefore, the fair value of the options granted is fully expensed on the date of the grant.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weighted-average valuation assumptions for options granted in the first six months of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3600" w:type="dxa"/>
            <w:vAlign w:val="bottom"/>
          </w:tcPr>
          <w:p>
            <w:pPr>
              <w:ind w:left="2420"/>
              <w:spacing w:after="0"/>
              <w:rPr>
                <w:sz w:val="20"/>
                <w:szCs w:val="20"/>
                <w:color w:val="auto"/>
              </w:rPr>
            </w:pPr>
            <w:r>
              <w:rPr>
                <w:rFonts w:ascii="Arial" w:cs="Arial" w:eastAsia="Arial" w:hAnsi="Arial"/>
                <w:sz w:val="17"/>
                <w:szCs w:val="17"/>
                <w:b w:val="1"/>
                <w:bCs w:val="1"/>
                <w:color w:val="auto"/>
              </w:rPr>
              <w:t>Fiscal 2020</w:t>
            </w:r>
          </w:p>
        </w:tc>
        <w:tc>
          <w:tcPr>
            <w:tcW w:w="1520" w:type="dxa"/>
            <w:vAlign w:val="bottom"/>
          </w:tcPr>
          <w:p>
            <w:pPr>
              <w:ind w:left="380"/>
              <w:spacing w:after="0"/>
              <w:rPr>
                <w:sz w:val="20"/>
                <w:szCs w:val="20"/>
                <w:color w:val="auto"/>
              </w:rPr>
            </w:pPr>
            <w:r>
              <w:rPr>
                <w:rFonts w:ascii="Arial" w:cs="Arial" w:eastAsia="Arial" w:hAnsi="Arial"/>
                <w:sz w:val="17"/>
                <w:szCs w:val="17"/>
                <w:b w:val="1"/>
                <w:bCs w:val="1"/>
                <w:color w:val="auto"/>
              </w:rPr>
              <w:t>Fiscal 2019</w:t>
            </w:r>
          </w:p>
        </w:tc>
      </w:tr>
      <w:tr>
        <w:trPr>
          <w:trHeight w:val="31"/>
        </w:trPr>
        <w:tc>
          <w:tcPr>
            <w:tcW w:w="6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life of option in years</w:t>
            </w:r>
          </w:p>
        </w:tc>
        <w:tc>
          <w:tcPr>
            <w:tcW w:w="3600" w:type="dxa"/>
            <w:vAlign w:val="bottom"/>
            <w:tcBorders>
              <w:bottom w:val="single" w:sz="8" w:color="CCEEFF"/>
            </w:tcBorders>
            <w:shd w:val="clear" w:color="auto" w:fill="CCEEFF"/>
          </w:tcPr>
          <w:p>
            <w:pPr>
              <w:jc w:val="center"/>
              <w:ind w:left="1975"/>
              <w:spacing w:after="0"/>
              <w:rPr>
                <w:sz w:val="20"/>
                <w:szCs w:val="20"/>
                <w:color w:val="auto"/>
              </w:rPr>
            </w:pPr>
            <w:r>
              <w:rPr>
                <w:rFonts w:ascii="Arial" w:cs="Arial" w:eastAsia="Arial" w:hAnsi="Arial"/>
                <w:sz w:val="17"/>
                <w:szCs w:val="17"/>
                <w:color w:val="auto"/>
                <w:w w:val="90"/>
              </w:rPr>
              <w:t>6.31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6.31</w:t>
            </w:r>
          </w:p>
        </w:tc>
      </w:tr>
      <w:tr>
        <w:trPr>
          <w:trHeight w:val="239"/>
        </w:trPr>
        <w:tc>
          <w:tcPr>
            <w:tcW w:w="6120" w:type="dxa"/>
            <w:vAlign w:val="bottom"/>
          </w:tcPr>
          <w:p>
            <w:pPr>
              <w:ind w:left="40"/>
              <w:spacing w:after="0"/>
              <w:rPr>
                <w:sz w:val="20"/>
                <w:szCs w:val="20"/>
                <w:color w:val="auto"/>
              </w:rPr>
            </w:pPr>
            <w:r>
              <w:rPr>
                <w:rFonts w:ascii="Arial" w:cs="Arial" w:eastAsia="Arial" w:hAnsi="Arial"/>
                <w:sz w:val="17"/>
                <w:szCs w:val="17"/>
                <w:color w:val="auto"/>
              </w:rPr>
              <w:t>Expected stock price volatility</w:t>
            </w:r>
          </w:p>
        </w:tc>
        <w:tc>
          <w:tcPr>
            <w:tcW w:w="3600" w:type="dxa"/>
            <w:vAlign w:val="bottom"/>
          </w:tcPr>
          <w:p>
            <w:pPr>
              <w:jc w:val="center"/>
              <w:ind w:left="1955"/>
              <w:spacing w:after="0"/>
              <w:rPr>
                <w:sz w:val="20"/>
                <w:szCs w:val="20"/>
                <w:color w:val="auto"/>
              </w:rPr>
            </w:pPr>
            <w:r>
              <w:rPr>
                <w:rFonts w:ascii="Arial" w:cs="Arial" w:eastAsia="Arial" w:hAnsi="Arial"/>
                <w:sz w:val="17"/>
                <w:szCs w:val="17"/>
                <w:color w:val="auto"/>
                <w:w w:val="90"/>
              </w:rPr>
              <w:t>19.38%</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19.84%</w:t>
            </w:r>
          </w:p>
        </w:tc>
      </w:tr>
      <w:tr>
        <w:trPr>
          <w:trHeight w:val="31"/>
        </w:trPr>
        <w:tc>
          <w:tcPr>
            <w:tcW w:w="6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3600" w:type="dxa"/>
            <w:vAlign w:val="bottom"/>
            <w:tcBorders>
              <w:bottom w:val="single" w:sz="8" w:color="CCEEFF"/>
            </w:tcBorders>
            <w:shd w:val="clear" w:color="auto" w:fill="CCEEFF"/>
          </w:tcPr>
          <w:p>
            <w:pPr>
              <w:jc w:val="center"/>
              <w:ind w:left="1955"/>
              <w:spacing w:after="0"/>
              <w:rPr>
                <w:sz w:val="20"/>
                <w:szCs w:val="20"/>
                <w:color w:val="auto"/>
              </w:rPr>
            </w:pPr>
            <w:r>
              <w:rPr>
                <w:rFonts w:ascii="Arial" w:cs="Arial" w:eastAsia="Arial" w:hAnsi="Arial"/>
                <w:sz w:val="17"/>
                <w:szCs w:val="17"/>
                <w:color w:val="auto"/>
                <w:w w:val="91"/>
              </w:rPr>
              <w:t>1.79%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2.77%</w:t>
            </w:r>
          </w:p>
        </w:tc>
      </w:tr>
      <w:tr>
        <w:trPr>
          <w:trHeight w:val="239"/>
        </w:trPr>
        <w:tc>
          <w:tcPr>
            <w:tcW w:w="612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3600" w:type="dxa"/>
            <w:vAlign w:val="bottom"/>
          </w:tcPr>
          <w:p>
            <w:pPr>
              <w:jc w:val="center"/>
              <w:ind w:left="1955"/>
              <w:spacing w:after="0"/>
              <w:rPr>
                <w:sz w:val="20"/>
                <w:szCs w:val="20"/>
                <w:color w:val="auto"/>
              </w:rPr>
            </w:pPr>
            <w:r>
              <w:rPr>
                <w:rFonts w:ascii="Arial" w:cs="Arial" w:eastAsia="Arial" w:hAnsi="Arial"/>
                <w:sz w:val="17"/>
                <w:szCs w:val="17"/>
                <w:color w:val="auto"/>
                <w:w w:val="91"/>
              </w:rPr>
              <w:t>0.98%</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1.18%</w:t>
            </w:r>
          </w:p>
        </w:tc>
      </w:tr>
      <w:tr>
        <w:trPr>
          <w:trHeight w:val="31"/>
        </w:trPr>
        <w:tc>
          <w:tcPr>
            <w:tcW w:w="6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 share weighted-average fair value at date of grant</w:t>
            </w:r>
          </w:p>
        </w:tc>
        <w:tc>
          <w:tcPr>
            <w:tcW w:w="3600" w:type="dxa"/>
            <w:vAlign w:val="bottom"/>
            <w:tcBorders>
              <w:bottom w:val="single" w:sz="8" w:color="CCEEFF"/>
            </w:tcBorders>
            <w:shd w:val="clear" w:color="auto" w:fill="CCEEFF"/>
          </w:tcPr>
          <w:p>
            <w:pPr>
              <w:jc w:val="center"/>
              <w:ind w:left="1975"/>
              <w:spacing w:after="0"/>
              <w:rPr>
                <w:sz w:val="20"/>
                <w:szCs w:val="20"/>
                <w:color w:val="auto"/>
              </w:rPr>
            </w:pPr>
            <w:r>
              <w:rPr>
                <w:rFonts w:ascii="Arial" w:cs="Arial" w:eastAsia="Arial" w:hAnsi="Arial"/>
                <w:sz w:val="17"/>
                <w:szCs w:val="17"/>
                <w:color w:val="auto"/>
                <w:w w:val="88"/>
              </w:rPr>
              <w:t>$15.36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$12.82</w:t>
            </w:r>
          </w:p>
        </w:tc>
      </w:tr>
      <w:tr>
        <w:trPr>
          <w:trHeight w:val="20"/>
        </w:trPr>
        <w:tc>
          <w:tcPr>
            <w:tcW w:w="612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2020 and 2019 was $77.33 and $59.58, respectively. No performance share awards were granted during the second quarter of fiscal 2020 and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six months of fiscal 2020 and 2019 was $76.12 and $64.75,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9"/>
          <w:szCs w:val="19"/>
          <w:b w:val="1"/>
          <w:bCs w:val="1"/>
          <w:color w:val="auto"/>
        </w:rPr>
        <w:t>Stockholders' Equity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Components of accumulated other comprehensive loss ("AOCL"), net of tax, within the Condensed Consolidated Statements of Stockholders' Equity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960" w:type="dxa"/>
            <w:vAlign w:val="bottom"/>
          </w:tcPr>
          <w:p>
            <w:pPr>
              <w:spacing w:after="0"/>
              <w:rPr>
                <w:sz w:val="19"/>
                <w:szCs w:val="19"/>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19"/>
                <w:szCs w:val="19"/>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3, 2019</w:t>
            </w:r>
          </w:p>
        </w:tc>
        <w:tc>
          <w:tcPr>
            <w:tcW w:w="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4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36,916</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30,047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31,025</w:t>
            </w:r>
          </w:p>
        </w:tc>
      </w:tr>
      <w:tr>
        <w:trPr>
          <w:trHeight w:val="239"/>
        </w:trPr>
        <w:tc>
          <w:tcPr>
            <w:tcW w:w="4880" w:type="dxa"/>
            <w:vAlign w:val="bottom"/>
          </w:tcPr>
          <w:p>
            <w:pPr>
              <w:ind w:left="40"/>
              <w:spacing w:after="0"/>
              <w:rPr>
                <w:sz w:val="20"/>
                <w:szCs w:val="20"/>
                <w:color w:val="auto"/>
              </w:rPr>
            </w:pPr>
            <w:r>
              <w:rPr>
                <w:rFonts w:ascii="Arial" w:cs="Arial" w:eastAsia="Arial" w:hAnsi="Arial"/>
                <w:sz w:val="17"/>
                <w:szCs w:val="17"/>
                <w:color w:val="auto"/>
              </w:rPr>
              <w:t>Pension and post-retirement benefits</w:t>
            </w:r>
          </w:p>
        </w:tc>
        <w:tc>
          <w:tcPr>
            <w:tcW w:w="19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3,949</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561</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4,861</w:t>
            </w:r>
          </w:p>
        </w:tc>
      </w:tr>
      <w:tr>
        <w:trPr>
          <w:trHeight w:val="31"/>
        </w:trPr>
        <w:tc>
          <w:tcPr>
            <w:tcW w:w="4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 derivative instruments</w:t>
            </w:r>
          </w:p>
        </w:tc>
        <w:tc>
          <w:tcPr>
            <w:tcW w:w="19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(7,163)</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(5,492)</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(3,837)</w:t>
            </w:r>
          </w:p>
        </w:tc>
      </w:tr>
      <w:tr>
        <w:trPr>
          <w:trHeight w:val="233"/>
        </w:trPr>
        <w:tc>
          <w:tcPr>
            <w:tcW w:w="48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accumulated other comprehensive loss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33,702</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25,116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32,049</w:t>
            </w:r>
          </w:p>
        </w:tc>
      </w:tr>
      <w:tr>
        <w:trPr>
          <w:trHeight w:val="31"/>
        </w:trPr>
        <w:tc>
          <w:tcPr>
            <w:tcW w:w="4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net of tax, for the three and six month periods ended May 1, 2020 and May 3,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Foreign</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Cash Flow</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Currency</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Pension and</w:t>
            </w: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Hedging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Translation</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Post-Retirement</w:t>
            </w:r>
          </w:p>
        </w:tc>
        <w:tc>
          <w:tcPr>
            <w:tcW w:w="260" w:type="dxa"/>
            <w:vAlign w:val="bottom"/>
          </w:tcPr>
          <w:p>
            <w:pPr>
              <w:spacing w:after="0"/>
              <w:rPr>
                <w:sz w:val="17"/>
                <w:szCs w:val="17"/>
                <w:color w:val="auto"/>
              </w:rPr>
            </w:pPr>
          </w:p>
        </w:tc>
        <w:tc>
          <w:tcPr>
            <w:tcW w:w="1300" w:type="dxa"/>
            <w:vAlign w:val="bottom"/>
          </w:tcPr>
          <w:p>
            <w:pPr>
              <w:jc w:val="center"/>
              <w:ind w:right="175"/>
              <w:spacing w:after="0"/>
              <w:rPr>
                <w:sz w:val="20"/>
                <w:szCs w:val="20"/>
                <w:color w:val="auto"/>
              </w:rPr>
            </w:pPr>
            <w:r>
              <w:rPr>
                <w:rFonts w:ascii="Arial" w:cs="Arial" w:eastAsia="Arial" w:hAnsi="Arial"/>
                <w:sz w:val="17"/>
                <w:szCs w:val="17"/>
                <w:b w:val="1"/>
                <w:bCs w:val="1"/>
                <w:color w:val="auto"/>
                <w:w w:val="93"/>
              </w:rPr>
              <w:t>Derivative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46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68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Adjustments</w:t>
            </w:r>
          </w:p>
        </w:tc>
        <w:tc>
          <w:tcPr>
            <w:tcW w:w="22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Benefits</w:t>
            </w:r>
          </w:p>
        </w:tc>
        <w:tc>
          <w:tcPr>
            <w:tcW w:w="260" w:type="dxa"/>
            <w:vAlign w:val="bottom"/>
          </w:tcPr>
          <w:p>
            <w:pPr>
              <w:spacing w:after="0"/>
              <w:rPr>
                <w:sz w:val="19"/>
                <w:szCs w:val="19"/>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Instruments</w:t>
            </w:r>
          </w:p>
        </w:tc>
        <w:tc>
          <w:tcPr>
            <w:tcW w:w="38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January 31,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31,749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4,861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(4,489)</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r>
      <w:tr>
        <w:trPr>
          <w:trHeight w:val="239"/>
        </w:trPr>
        <w:tc>
          <w:tcPr>
            <w:tcW w:w="4600" w:type="dxa"/>
            <w:vAlign w:val="bottom"/>
          </w:tcPr>
          <w:p>
            <w:pPr>
              <w:ind w:left="40"/>
              <w:spacing w:after="0"/>
              <w:rPr>
                <w:sz w:val="20"/>
                <w:szCs w:val="20"/>
                <w:color w:val="auto"/>
              </w:rPr>
            </w:pPr>
            <w:r>
              <w:rPr>
                <w:rFonts w:ascii="Arial" w:cs="Arial" w:eastAsia="Arial" w:hAnsi="Arial"/>
                <w:sz w:val="17"/>
                <w:szCs w:val="17"/>
                <w:color w:val="auto"/>
              </w:rPr>
              <w:t>Other comprehensive (income) loss before reclassifications</w:t>
            </w:r>
          </w:p>
        </w:tc>
        <w:tc>
          <w:tcPr>
            <w:tcW w:w="6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5,167</w:t>
            </w:r>
          </w:p>
        </w:tc>
        <w:tc>
          <w:tcPr>
            <w:tcW w:w="220" w:type="dxa"/>
            <w:vAlign w:val="bottom"/>
          </w:tcPr>
          <w:p>
            <w:pPr>
              <w:spacing w:after="0"/>
              <w:rPr>
                <w:sz w:val="20"/>
                <w:szCs w:val="20"/>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(194)</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4,973</w:t>
            </w:r>
          </w:p>
        </w:tc>
      </w:tr>
      <w:tr>
        <w:trPr>
          <w:trHeight w:val="31"/>
        </w:trPr>
        <w:tc>
          <w:tcPr>
            <w:tcW w:w="4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reclassified from AOCL</w:t>
            </w: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(2,480)</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(3,392)</w:t>
            </w:r>
          </w:p>
        </w:tc>
      </w:tr>
      <w:tr>
        <w:trPr>
          <w:trHeight w:val="233"/>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current period other comprehensive (income) loss</w:t>
            </w:r>
          </w:p>
        </w:tc>
        <w:tc>
          <w:tcPr>
            <w:tcW w:w="6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5,167</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(912)</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(2,674)</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1,581</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3,949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(7,163)</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33,702</w:t>
            </w:r>
          </w:p>
        </w:tc>
      </w:tr>
      <w:tr>
        <w:trPr>
          <w:trHeight w:val="20"/>
        </w:trPr>
        <w:tc>
          <w:tcPr>
            <w:tcW w:w="4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01"/>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Foreign</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Cash Flow</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Currency</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Pension and</w:t>
            </w: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Hedging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Translation</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Post-Retirement</w:t>
            </w:r>
          </w:p>
        </w:tc>
        <w:tc>
          <w:tcPr>
            <w:tcW w:w="260" w:type="dxa"/>
            <w:vAlign w:val="bottom"/>
          </w:tcPr>
          <w:p>
            <w:pPr>
              <w:spacing w:after="0"/>
              <w:rPr>
                <w:sz w:val="17"/>
                <w:szCs w:val="17"/>
                <w:color w:val="auto"/>
              </w:rPr>
            </w:pPr>
          </w:p>
        </w:tc>
        <w:tc>
          <w:tcPr>
            <w:tcW w:w="1300" w:type="dxa"/>
            <w:vAlign w:val="bottom"/>
          </w:tcPr>
          <w:p>
            <w:pPr>
              <w:jc w:val="center"/>
              <w:ind w:right="175"/>
              <w:spacing w:after="0"/>
              <w:rPr>
                <w:sz w:val="20"/>
                <w:szCs w:val="20"/>
                <w:color w:val="auto"/>
              </w:rPr>
            </w:pPr>
            <w:r>
              <w:rPr>
                <w:rFonts w:ascii="Arial" w:cs="Arial" w:eastAsia="Arial" w:hAnsi="Arial"/>
                <w:sz w:val="17"/>
                <w:szCs w:val="17"/>
                <w:b w:val="1"/>
                <w:bCs w:val="1"/>
                <w:color w:val="auto"/>
                <w:w w:val="93"/>
              </w:rPr>
              <w:t>Derivative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46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68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Adjustments</w:t>
            </w:r>
          </w:p>
        </w:tc>
        <w:tc>
          <w:tcPr>
            <w:tcW w:w="22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Benefits</w:t>
            </w:r>
          </w:p>
        </w:tc>
        <w:tc>
          <w:tcPr>
            <w:tcW w:w="260" w:type="dxa"/>
            <w:vAlign w:val="bottom"/>
          </w:tcPr>
          <w:p>
            <w:pPr>
              <w:spacing w:after="0"/>
              <w:rPr>
                <w:sz w:val="19"/>
                <w:szCs w:val="19"/>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Instruments</w:t>
            </w:r>
          </w:p>
        </w:tc>
        <w:tc>
          <w:tcPr>
            <w:tcW w:w="38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31,025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4,861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32,049</w:t>
            </w:r>
          </w:p>
        </w:tc>
      </w:tr>
      <w:tr>
        <w:trPr>
          <w:trHeight w:val="239"/>
        </w:trPr>
        <w:tc>
          <w:tcPr>
            <w:tcW w:w="4600" w:type="dxa"/>
            <w:vAlign w:val="bottom"/>
          </w:tcPr>
          <w:p>
            <w:pPr>
              <w:ind w:left="40"/>
              <w:spacing w:after="0"/>
              <w:rPr>
                <w:sz w:val="20"/>
                <w:szCs w:val="20"/>
                <w:color w:val="auto"/>
              </w:rPr>
            </w:pPr>
            <w:r>
              <w:rPr>
                <w:rFonts w:ascii="Arial" w:cs="Arial" w:eastAsia="Arial" w:hAnsi="Arial"/>
                <w:sz w:val="17"/>
                <w:szCs w:val="17"/>
                <w:color w:val="auto"/>
              </w:rPr>
              <w:t>Other comprehensive loss before reclassifications</w:t>
            </w:r>
          </w:p>
        </w:tc>
        <w:tc>
          <w:tcPr>
            <w:tcW w:w="6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5,891</w:t>
            </w:r>
          </w:p>
        </w:tc>
        <w:tc>
          <w:tcPr>
            <w:tcW w:w="220" w:type="dxa"/>
            <w:vAlign w:val="bottom"/>
          </w:tcPr>
          <w:p>
            <w:pPr>
              <w:spacing w:after="0"/>
              <w:rPr>
                <w:sz w:val="20"/>
                <w:szCs w:val="20"/>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691</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6,582</w:t>
            </w:r>
          </w:p>
        </w:tc>
      </w:tr>
      <w:tr>
        <w:trPr>
          <w:trHeight w:val="31"/>
        </w:trPr>
        <w:tc>
          <w:tcPr>
            <w:tcW w:w="4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reclassified from AOCL</w:t>
            </w: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(4,017)</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(4,929)</w:t>
            </w:r>
          </w:p>
        </w:tc>
      </w:tr>
      <w:tr>
        <w:trPr>
          <w:trHeight w:val="233"/>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current period other comprehensive (income) loss</w:t>
            </w:r>
          </w:p>
        </w:tc>
        <w:tc>
          <w:tcPr>
            <w:tcW w:w="6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5,891</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(912)</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(3,326)</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1,653</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3,949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(7,163)</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33,702</w:t>
            </w:r>
          </w:p>
        </w:tc>
      </w:tr>
      <w:tr>
        <w:trPr>
          <w:trHeight w:val="20"/>
        </w:trPr>
        <w:tc>
          <w:tcPr>
            <w:tcW w:w="4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01"/>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Foreign</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Cash Flow</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Currency</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Pension and</w:t>
            </w:r>
          </w:p>
        </w:tc>
        <w:tc>
          <w:tcPr>
            <w:tcW w:w="26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Hedging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Translation</w:t>
            </w:r>
          </w:p>
        </w:tc>
        <w:tc>
          <w:tcPr>
            <w:tcW w:w="22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Post-Retirement</w:t>
            </w:r>
          </w:p>
        </w:tc>
        <w:tc>
          <w:tcPr>
            <w:tcW w:w="260" w:type="dxa"/>
            <w:vAlign w:val="bottom"/>
          </w:tcPr>
          <w:p>
            <w:pPr>
              <w:spacing w:after="0"/>
              <w:rPr>
                <w:sz w:val="17"/>
                <w:szCs w:val="17"/>
                <w:color w:val="auto"/>
              </w:rPr>
            </w:pPr>
          </w:p>
        </w:tc>
        <w:tc>
          <w:tcPr>
            <w:tcW w:w="1300" w:type="dxa"/>
            <w:vAlign w:val="bottom"/>
          </w:tcPr>
          <w:p>
            <w:pPr>
              <w:jc w:val="center"/>
              <w:ind w:right="175"/>
              <w:spacing w:after="0"/>
              <w:rPr>
                <w:sz w:val="20"/>
                <w:szCs w:val="20"/>
                <w:color w:val="auto"/>
              </w:rPr>
            </w:pPr>
            <w:r>
              <w:rPr>
                <w:rFonts w:ascii="Arial" w:cs="Arial" w:eastAsia="Arial" w:hAnsi="Arial"/>
                <w:sz w:val="17"/>
                <w:szCs w:val="17"/>
                <w:b w:val="1"/>
                <w:bCs w:val="1"/>
                <w:color w:val="auto"/>
                <w:w w:val="93"/>
              </w:rPr>
              <w:t>Derivative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46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68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Adjustments</w:t>
            </w:r>
          </w:p>
        </w:tc>
        <w:tc>
          <w:tcPr>
            <w:tcW w:w="22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Benefits</w:t>
            </w:r>
          </w:p>
        </w:tc>
        <w:tc>
          <w:tcPr>
            <w:tcW w:w="260" w:type="dxa"/>
            <w:vAlign w:val="bottom"/>
          </w:tcPr>
          <w:p>
            <w:pPr>
              <w:spacing w:after="0"/>
              <w:rPr>
                <w:sz w:val="19"/>
                <w:szCs w:val="19"/>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Instruments</w:t>
            </w:r>
          </w:p>
        </w:tc>
        <w:tc>
          <w:tcPr>
            <w:tcW w:w="38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February 1,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26,280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561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(2,326)</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24,515</w:t>
            </w:r>
          </w:p>
        </w:tc>
      </w:tr>
      <w:tr>
        <w:trPr>
          <w:trHeight w:val="239"/>
        </w:trPr>
        <w:tc>
          <w:tcPr>
            <w:tcW w:w="4600" w:type="dxa"/>
            <w:vAlign w:val="bottom"/>
          </w:tcPr>
          <w:p>
            <w:pPr>
              <w:ind w:left="40"/>
              <w:spacing w:after="0"/>
              <w:rPr>
                <w:sz w:val="20"/>
                <w:szCs w:val="20"/>
                <w:color w:val="auto"/>
              </w:rPr>
            </w:pPr>
            <w:r>
              <w:rPr>
                <w:rFonts w:ascii="Arial" w:cs="Arial" w:eastAsia="Arial" w:hAnsi="Arial"/>
                <w:sz w:val="17"/>
                <w:szCs w:val="17"/>
                <w:color w:val="auto"/>
              </w:rPr>
              <w:t>Other comprehensive (income) loss before reclassifications</w:t>
            </w:r>
          </w:p>
        </w:tc>
        <w:tc>
          <w:tcPr>
            <w:tcW w:w="6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3,767</w:t>
            </w:r>
          </w:p>
        </w:tc>
        <w:tc>
          <w:tcPr>
            <w:tcW w:w="220" w:type="dxa"/>
            <w:vAlign w:val="bottom"/>
          </w:tcPr>
          <w:p>
            <w:pPr>
              <w:spacing w:after="0"/>
              <w:rPr>
                <w:sz w:val="20"/>
                <w:szCs w:val="20"/>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(1,812)</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1,955</w:t>
            </w:r>
          </w:p>
        </w:tc>
      </w:tr>
      <w:tr>
        <w:trPr>
          <w:trHeight w:val="31"/>
        </w:trPr>
        <w:tc>
          <w:tcPr>
            <w:tcW w:w="4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reclassified from AOCL</w:t>
            </w: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(1,354)</w:t>
            </w:r>
          </w:p>
        </w:tc>
      </w:tr>
      <w:tr>
        <w:trPr>
          <w:trHeight w:val="233"/>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current period other comprehensive (income) loss</w:t>
            </w:r>
          </w:p>
        </w:tc>
        <w:tc>
          <w:tcPr>
            <w:tcW w:w="6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3,767</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(3,166)</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601</w:t>
            </w:r>
          </w:p>
        </w:tc>
      </w:tr>
      <w:tr>
        <w:trPr>
          <w:trHeight w:val="31"/>
        </w:trPr>
        <w:tc>
          <w:tcPr>
            <w:tcW w:w="4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3,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561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(5,492)</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25,116</w:t>
            </w:r>
          </w:p>
        </w:tc>
      </w:tr>
      <w:tr>
        <w:trPr>
          <w:trHeight w:val="20"/>
        </w:trPr>
        <w:tc>
          <w:tcPr>
            <w:tcW w:w="4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Foreign</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Cash Flow</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Currency</w:t>
            </w:r>
          </w:p>
        </w:tc>
        <w:tc>
          <w:tcPr>
            <w:tcW w:w="22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Arial" w:cs="Arial" w:eastAsia="Arial" w:hAnsi="Arial"/>
                <w:sz w:val="17"/>
                <w:szCs w:val="17"/>
                <w:b w:val="1"/>
                <w:bCs w:val="1"/>
                <w:color w:val="auto"/>
                <w:w w:val="87"/>
              </w:rPr>
              <w:t>Pension and</w:t>
            </w:r>
          </w:p>
        </w:tc>
        <w:tc>
          <w:tcPr>
            <w:tcW w:w="300" w:type="dxa"/>
            <w:vAlign w:val="bottom"/>
          </w:tcPr>
          <w:p>
            <w:pPr>
              <w:spacing w:after="0"/>
              <w:rPr>
                <w:sz w:val="17"/>
                <w:szCs w:val="17"/>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Hedging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Translation</w:t>
            </w:r>
          </w:p>
        </w:tc>
        <w:tc>
          <w:tcPr>
            <w:tcW w:w="22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Post-Retirement</w:t>
            </w:r>
          </w:p>
        </w:tc>
        <w:tc>
          <w:tcPr>
            <w:tcW w:w="300" w:type="dxa"/>
            <w:vAlign w:val="bottom"/>
          </w:tcPr>
          <w:p>
            <w:pPr>
              <w:spacing w:after="0"/>
              <w:rPr>
                <w:sz w:val="17"/>
                <w:szCs w:val="17"/>
                <w:color w:val="auto"/>
              </w:rPr>
            </w:pPr>
          </w:p>
        </w:tc>
        <w:tc>
          <w:tcPr>
            <w:tcW w:w="1300" w:type="dxa"/>
            <w:vAlign w:val="bottom"/>
          </w:tcPr>
          <w:p>
            <w:pPr>
              <w:jc w:val="center"/>
              <w:ind w:right="175"/>
              <w:spacing w:after="0"/>
              <w:rPr>
                <w:sz w:val="20"/>
                <w:szCs w:val="20"/>
                <w:color w:val="auto"/>
              </w:rPr>
            </w:pPr>
            <w:r>
              <w:rPr>
                <w:rFonts w:ascii="Arial" w:cs="Arial" w:eastAsia="Arial" w:hAnsi="Arial"/>
                <w:sz w:val="17"/>
                <w:szCs w:val="17"/>
                <w:b w:val="1"/>
                <w:bCs w:val="1"/>
                <w:color w:val="auto"/>
                <w:w w:val="93"/>
              </w:rPr>
              <w:t>Derivative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42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0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Adjustments</w:t>
            </w:r>
          </w:p>
        </w:tc>
        <w:tc>
          <w:tcPr>
            <w:tcW w:w="220" w:type="dxa"/>
            <w:vAlign w:val="bottom"/>
          </w:tcPr>
          <w:p>
            <w:pPr>
              <w:spacing w:after="0"/>
              <w:rPr>
                <w:sz w:val="19"/>
                <w:szCs w:val="19"/>
                <w:color w:val="auto"/>
              </w:rPr>
            </w:pPr>
          </w:p>
        </w:tc>
        <w:tc>
          <w:tcPr>
            <w:tcW w:w="1340" w:type="dxa"/>
            <w:vAlign w:val="bottom"/>
          </w:tcPr>
          <w:p>
            <w:pPr>
              <w:jc w:val="center"/>
              <w:ind w:right="55"/>
              <w:spacing w:after="0"/>
              <w:rPr>
                <w:sz w:val="20"/>
                <w:szCs w:val="20"/>
                <w:color w:val="auto"/>
              </w:rPr>
            </w:pPr>
            <w:r>
              <w:rPr>
                <w:rFonts w:ascii="Arial" w:cs="Arial" w:eastAsia="Arial" w:hAnsi="Arial"/>
                <w:sz w:val="17"/>
                <w:szCs w:val="17"/>
                <w:b w:val="1"/>
                <w:bCs w:val="1"/>
                <w:color w:val="auto"/>
                <w:w w:val="89"/>
              </w:rPr>
              <w:t>Benefits</w:t>
            </w:r>
          </w:p>
        </w:tc>
        <w:tc>
          <w:tcPr>
            <w:tcW w:w="300" w:type="dxa"/>
            <w:vAlign w:val="bottom"/>
          </w:tcPr>
          <w:p>
            <w:pPr>
              <w:spacing w:after="0"/>
              <w:rPr>
                <w:sz w:val="19"/>
                <w:szCs w:val="19"/>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Instruments</w:t>
            </w:r>
          </w:p>
        </w:tc>
        <w:tc>
          <w:tcPr>
            <w:tcW w:w="38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29,711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(6,335)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23,937</w:t>
            </w:r>
          </w:p>
        </w:tc>
      </w:tr>
      <w:tr>
        <w:trPr>
          <w:trHeight w:val="239"/>
        </w:trPr>
        <w:tc>
          <w:tcPr>
            <w:tcW w:w="4280" w:type="dxa"/>
            <w:vAlign w:val="bottom"/>
          </w:tcPr>
          <w:p>
            <w:pPr>
              <w:ind w:left="40"/>
              <w:spacing w:after="0"/>
              <w:rPr>
                <w:sz w:val="20"/>
                <w:szCs w:val="20"/>
                <w:color w:val="auto"/>
              </w:rPr>
            </w:pPr>
            <w:r>
              <w:rPr>
                <w:rFonts w:ascii="Arial" w:cs="Arial" w:eastAsia="Arial" w:hAnsi="Arial"/>
                <w:sz w:val="17"/>
                <w:szCs w:val="17"/>
                <w:color w:val="auto"/>
              </w:rPr>
              <w:t>Other comprehensive loss before reclassifications</w:t>
            </w:r>
          </w:p>
        </w:tc>
        <w:tc>
          <w:tcPr>
            <w:tcW w:w="10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336</w:t>
            </w:r>
          </w:p>
        </w:tc>
        <w:tc>
          <w:tcPr>
            <w:tcW w:w="22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3,678</w:t>
            </w:r>
          </w:p>
        </w:tc>
        <w:tc>
          <w:tcPr>
            <w:tcW w:w="3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4,014</w:t>
            </w:r>
          </w:p>
        </w:tc>
      </w:tr>
      <w:tr>
        <w:trPr>
          <w:trHeight w:val="31"/>
        </w:trPr>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reclassified from AOCL</w:t>
            </w:r>
          </w:p>
        </w:tc>
        <w:tc>
          <w:tcPr>
            <w:tcW w:w="10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(2,835)</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(2,835)</w:t>
            </w:r>
          </w:p>
        </w:tc>
      </w:tr>
      <w:tr>
        <w:trPr>
          <w:trHeight w:val="233"/>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current period other comprehensive loss</w:t>
            </w:r>
          </w:p>
        </w:tc>
        <w:tc>
          <w:tcPr>
            <w:tcW w:w="10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336</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843</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1,179</w:t>
            </w:r>
          </w:p>
        </w:tc>
      </w:tr>
      <w:tr>
        <w:trPr>
          <w:trHeight w:val="31"/>
        </w:trPr>
        <w:tc>
          <w:tcPr>
            <w:tcW w:w="4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May 3,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(5,492)</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25,116</w:t>
            </w:r>
          </w:p>
        </w:tc>
      </w:tr>
      <w:tr>
        <w:trPr>
          <w:trHeight w:val="20"/>
        </w:trPr>
        <w:tc>
          <w:tcPr>
            <w:tcW w:w="4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9"/>
          <w:szCs w:val="19"/>
          <w:b w:val="1"/>
          <w:bCs w:val="1"/>
          <w:color w:val="auto"/>
        </w:rPr>
        <w:t>Per Share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80" w:type="dxa"/>
            <w:vAlign w:val="bottom"/>
            <w:gridSpan w:val="2"/>
          </w:tcPr>
          <w:p>
            <w:pPr>
              <w:jc w:val="right"/>
              <w:ind w:right="795"/>
              <w:spacing w:after="0"/>
              <w:rPr>
                <w:sz w:val="20"/>
                <w:szCs w:val="20"/>
                <w:color w:val="auto"/>
              </w:rPr>
            </w:pPr>
            <w:r>
              <w:rPr>
                <w:rFonts w:ascii="Arial" w:cs="Arial" w:eastAsia="Arial" w:hAnsi="Arial"/>
                <w:sz w:val="17"/>
                <w:szCs w:val="17"/>
                <w:b w:val="1"/>
                <w:bCs w:val="1"/>
                <w:color w:val="auto"/>
              </w:rPr>
              <w:t>Three Months Ended</w:t>
            </w:r>
          </w:p>
        </w:tc>
        <w:tc>
          <w:tcPr>
            <w:tcW w:w="2960" w:type="dxa"/>
            <w:vAlign w:val="bottom"/>
            <w:gridSpan w:val="2"/>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3"/>
        </w:trPr>
        <w:tc>
          <w:tcPr>
            <w:tcW w:w="4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7"/>
                <w:szCs w:val="17"/>
                <w:b w:val="1"/>
                <w:bCs w:val="1"/>
                <w:color w:val="auto"/>
              </w:rPr>
              <w:t>(Shares in thousands)</w:t>
            </w:r>
          </w:p>
        </w:tc>
        <w:tc>
          <w:tcPr>
            <w:tcW w:w="1700" w:type="dxa"/>
            <w:vAlign w:val="bottom"/>
          </w:tcPr>
          <w:p>
            <w:pPr>
              <w:jc w:val="right"/>
              <w:ind w:right="355"/>
              <w:spacing w:after="0"/>
              <w:rPr>
                <w:sz w:val="20"/>
                <w:szCs w:val="20"/>
                <w:color w:val="auto"/>
              </w:rPr>
            </w:pPr>
            <w:r>
              <w:rPr>
                <w:rFonts w:ascii="Arial" w:cs="Arial" w:eastAsia="Arial" w:hAnsi="Arial"/>
                <w:sz w:val="17"/>
                <w:szCs w:val="17"/>
                <w:b w:val="1"/>
                <w:bCs w:val="1"/>
                <w:color w:val="auto"/>
              </w:rPr>
              <w:t>May 1, 2020</w:t>
            </w:r>
          </w:p>
        </w:tc>
        <w:tc>
          <w:tcPr>
            <w:tcW w:w="1580" w:type="dxa"/>
            <w:vAlign w:val="bottom"/>
          </w:tcPr>
          <w:p>
            <w:pPr>
              <w:jc w:val="right"/>
              <w:ind w:right="355"/>
              <w:spacing w:after="0"/>
              <w:rPr>
                <w:sz w:val="20"/>
                <w:szCs w:val="20"/>
                <w:color w:val="auto"/>
              </w:rPr>
            </w:pPr>
            <w:r>
              <w:rPr>
                <w:rFonts w:ascii="Arial" w:cs="Arial" w:eastAsia="Arial" w:hAnsi="Arial"/>
                <w:sz w:val="17"/>
                <w:szCs w:val="17"/>
                <w:b w:val="1"/>
                <w:bCs w:val="1"/>
                <w:color w:val="auto"/>
              </w:rPr>
              <w:t>May 3, 2019</w:t>
            </w:r>
          </w:p>
        </w:tc>
        <w:tc>
          <w:tcPr>
            <w:tcW w:w="1540" w:type="dxa"/>
            <w:vAlign w:val="bottom"/>
          </w:tcPr>
          <w:p>
            <w:pPr>
              <w:jc w:val="right"/>
              <w:ind w:right="335"/>
              <w:spacing w:after="0"/>
              <w:rPr>
                <w:sz w:val="20"/>
                <w:szCs w:val="20"/>
                <w:color w:val="auto"/>
              </w:rPr>
            </w:pPr>
            <w:r>
              <w:rPr>
                <w:rFonts w:ascii="Arial" w:cs="Arial" w:eastAsia="Arial" w:hAnsi="Arial"/>
                <w:sz w:val="17"/>
                <w:szCs w:val="17"/>
                <w:b w:val="1"/>
                <w:bCs w:val="1"/>
                <w:color w:val="auto"/>
              </w:rPr>
              <w:t>May 1, 2020</w:t>
            </w:r>
          </w:p>
        </w:tc>
        <w:tc>
          <w:tcPr>
            <w:tcW w:w="142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496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i w:val="1"/>
                <w:iCs w:val="1"/>
                <w:color w:val="auto"/>
              </w:rPr>
              <w:t>Basic</w:t>
            </w:r>
          </w:p>
        </w:tc>
        <w:tc>
          <w:tcPr>
            <w:tcW w:w="17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60" w:type="dxa"/>
            <w:vAlign w:val="bottom"/>
            <w:tcBorders>
              <w:top w:val="single" w:sz="8" w:color="CCEEFF"/>
            </w:tcBorders>
            <w:shd w:val="clear" w:color="auto" w:fill="CCEEFF"/>
          </w:tcPr>
          <w:p>
            <w:pPr>
              <w:spacing w:after="0"/>
              <w:rPr>
                <w:sz w:val="5"/>
                <w:szCs w:val="5"/>
                <w:color w:val="auto"/>
              </w:rPr>
            </w:pPr>
          </w:p>
        </w:tc>
        <w:tc>
          <w:tcPr>
            <w:tcW w:w="170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r>
      <w:tr>
        <w:trPr>
          <w:trHeight w:val="239"/>
        </w:trPr>
        <w:tc>
          <w:tcPr>
            <w:tcW w:w="4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Weighted-average number of shares of common stock</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107,552</w:t>
            </w:r>
          </w:p>
        </w:tc>
        <w:tc>
          <w:tcPr>
            <w:tcW w:w="1580" w:type="dxa"/>
            <w:vAlign w:val="bottom"/>
          </w:tcPr>
          <w:p>
            <w:pPr>
              <w:jc w:val="right"/>
              <w:ind w:right="175"/>
              <w:spacing w:after="0"/>
              <w:rPr>
                <w:sz w:val="20"/>
                <w:szCs w:val="20"/>
                <w:color w:val="auto"/>
              </w:rPr>
            </w:pPr>
            <w:r>
              <w:rPr>
                <w:rFonts w:ascii="Arial" w:cs="Arial" w:eastAsia="Arial" w:hAnsi="Arial"/>
                <w:sz w:val="17"/>
                <w:szCs w:val="17"/>
                <w:color w:val="auto"/>
              </w:rPr>
              <w:t>106,679</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107,466</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106,445</w:t>
            </w:r>
          </w:p>
        </w:tc>
      </w:tr>
      <w:tr>
        <w:trPr>
          <w:trHeight w:val="31"/>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Assumed issuance of contingent shares</w:t>
            </w:r>
          </w:p>
        </w:tc>
        <w:tc>
          <w:tcPr>
            <w:tcW w:w="170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21</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05"/>
        </w:trPr>
        <w:tc>
          <w:tcPr>
            <w:tcW w:w="40" w:type="dxa"/>
            <w:vAlign w:val="bottom"/>
            <w:tcBorders>
              <w:top w:val="single" w:sz="8" w:color="auto"/>
            </w:tcBorders>
          </w:tcPr>
          <w:p>
            <w:pPr>
              <w:spacing w:after="0"/>
              <w:rPr>
                <w:sz w:val="17"/>
                <w:szCs w:val="17"/>
                <w:color w:val="auto"/>
              </w:rPr>
            </w:pPr>
          </w:p>
        </w:tc>
        <w:tc>
          <w:tcPr>
            <w:tcW w:w="49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w w:val="95"/>
              </w:rPr>
              <w:t>Weighted-average number of shares of common stock and assumed</w:t>
            </w:r>
          </w:p>
        </w:tc>
        <w:tc>
          <w:tcPr>
            <w:tcW w:w="17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issuance of contingent shares</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107,552</w:t>
            </w:r>
          </w:p>
        </w:tc>
        <w:tc>
          <w:tcPr>
            <w:tcW w:w="1580" w:type="dxa"/>
            <w:vAlign w:val="bottom"/>
          </w:tcPr>
          <w:p>
            <w:pPr>
              <w:jc w:val="right"/>
              <w:ind w:right="175"/>
              <w:spacing w:after="0"/>
              <w:rPr>
                <w:sz w:val="20"/>
                <w:szCs w:val="20"/>
                <w:color w:val="auto"/>
              </w:rPr>
            </w:pPr>
            <w:r>
              <w:rPr>
                <w:rFonts w:ascii="Arial" w:cs="Arial" w:eastAsia="Arial" w:hAnsi="Arial"/>
                <w:sz w:val="17"/>
                <w:szCs w:val="17"/>
                <w:color w:val="auto"/>
              </w:rPr>
              <w:t>106,679</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107,487</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106,466</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9"/>
        </w:trPr>
        <w:tc>
          <w:tcPr>
            <w:tcW w:w="40" w:type="dxa"/>
            <w:vAlign w:val="bottom"/>
            <w:shd w:val="clear" w:color="auto" w:fill="CCEEFF"/>
          </w:tcPr>
          <w:p>
            <w:pPr>
              <w:spacing w:after="0"/>
              <w:rPr>
                <w:sz w:val="16"/>
                <w:szCs w:val="16"/>
                <w:color w:val="auto"/>
              </w:rPr>
            </w:pPr>
          </w:p>
        </w:tc>
        <w:tc>
          <w:tcPr>
            <w:tcW w:w="49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Diluted</w:t>
            </w:r>
          </w:p>
        </w:tc>
        <w:tc>
          <w:tcPr>
            <w:tcW w:w="17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60" w:type="dxa"/>
            <w:vAlign w:val="bottom"/>
            <w:tcBorders>
              <w:top w:val="single" w:sz="8" w:color="CCEEFF"/>
            </w:tcBorders>
            <w:shd w:val="clear" w:color="auto" w:fill="CCEEFF"/>
          </w:tcPr>
          <w:p>
            <w:pPr>
              <w:spacing w:after="0"/>
              <w:rPr>
                <w:sz w:val="5"/>
                <w:szCs w:val="5"/>
                <w:color w:val="auto"/>
              </w:rPr>
            </w:pPr>
          </w:p>
        </w:tc>
        <w:tc>
          <w:tcPr>
            <w:tcW w:w="170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r>
      <w:tr>
        <w:trPr>
          <w:trHeight w:val="212"/>
        </w:trPr>
        <w:tc>
          <w:tcPr>
            <w:tcW w:w="4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w w:val="95"/>
              </w:rPr>
              <w:t>Weighted-average number of shares of common stock and assumed</w:t>
            </w: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issuance of contingent shares</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107,552</w:t>
            </w:r>
          </w:p>
        </w:tc>
        <w:tc>
          <w:tcPr>
            <w:tcW w:w="1580" w:type="dxa"/>
            <w:vAlign w:val="bottom"/>
          </w:tcPr>
          <w:p>
            <w:pPr>
              <w:jc w:val="right"/>
              <w:ind w:right="175"/>
              <w:spacing w:after="0"/>
              <w:rPr>
                <w:sz w:val="20"/>
                <w:szCs w:val="20"/>
                <w:color w:val="auto"/>
              </w:rPr>
            </w:pPr>
            <w:r>
              <w:rPr>
                <w:rFonts w:ascii="Arial" w:cs="Arial" w:eastAsia="Arial" w:hAnsi="Arial"/>
                <w:sz w:val="17"/>
                <w:szCs w:val="17"/>
                <w:color w:val="auto"/>
              </w:rPr>
              <w:t>106,679</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107,487</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106,466</w:t>
            </w:r>
          </w:p>
        </w:tc>
      </w:tr>
      <w:tr>
        <w:trPr>
          <w:trHeight w:val="31"/>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170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948</w:t>
            </w:r>
          </w:p>
        </w:tc>
        <w:tc>
          <w:tcPr>
            <w:tcW w:w="15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1,328</w:t>
            </w:r>
          </w:p>
        </w:tc>
        <w:tc>
          <w:tcPr>
            <w:tcW w:w="1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1,094</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1,443</w:t>
            </w:r>
          </w:p>
        </w:tc>
      </w:tr>
      <w:tr>
        <w:trPr>
          <w:trHeight w:val="205"/>
        </w:trPr>
        <w:tc>
          <w:tcPr>
            <w:tcW w:w="40" w:type="dxa"/>
            <w:vAlign w:val="bottom"/>
            <w:tcBorders>
              <w:top w:val="single" w:sz="8" w:color="auto"/>
            </w:tcBorders>
          </w:tcPr>
          <w:p>
            <w:pPr>
              <w:spacing w:after="0"/>
              <w:rPr>
                <w:sz w:val="17"/>
                <w:szCs w:val="17"/>
                <w:color w:val="auto"/>
              </w:rPr>
            </w:pPr>
          </w:p>
        </w:tc>
        <w:tc>
          <w:tcPr>
            <w:tcW w:w="49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Weighted-average number of shares of common stock, assumed</w:t>
            </w:r>
          </w:p>
        </w:tc>
        <w:tc>
          <w:tcPr>
            <w:tcW w:w="17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issuance of contingent shares, and effect of dilutive securities</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108,500</w:t>
            </w:r>
          </w:p>
        </w:tc>
        <w:tc>
          <w:tcPr>
            <w:tcW w:w="1580" w:type="dxa"/>
            <w:vAlign w:val="bottom"/>
          </w:tcPr>
          <w:p>
            <w:pPr>
              <w:jc w:val="right"/>
              <w:ind w:right="175"/>
              <w:spacing w:after="0"/>
              <w:rPr>
                <w:sz w:val="20"/>
                <w:szCs w:val="20"/>
                <w:color w:val="auto"/>
              </w:rPr>
            </w:pPr>
            <w:r>
              <w:rPr>
                <w:rFonts w:ascii="Arial" w:cs="Arial" w:eastAsia="Arial" w:hAnsi="Arial"/>
                <w:sz w:val="17"/>
                <w:szCs w:val="17"/>
                <w:color w:val="auto"/>
              </w:rPr>
              <w:t>108,007</w:t>
            </w:r>
          </w:p>
        </w:tc>
        <w:tc>
          <w:tcPr>
            <w:tcW w:w="1540" w:type="dxa"/>
            <w:vAlign w:val="bottom"/>
          </w:tcPr>
          <w:p>
            <w:pPr>
              <w:jc w:val="right"/>
              <w:ind w:right="155"/>
              <w:spacing w:after="0"/>
              <w:rPr>
                <w:sz w:val="20"/>
                <w:szCs w:val="20"/>
                <w:color w:val="auto"/>
              </w:rPr>
            </w:pPr>
            <w:r>
              <w:rPr>
                <w:rFonts w:ascii="Arial" w:cs="Arial" w:eastAsia="Arial" w:hAnsi="Arial"/>
                <w:sz w:val="17"/>
                <w:szCs w:val="17"/>
                <w:color w:val="auto"/>
              </w:rPr>
              <w:t>108,581</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107,909</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615,344 and 757,083 shares of common stock during the second quarter of fiscal 2020 and 2019, respectively, were excluded from diluted net earnings per share because they were anti-dilutive. Options to purchase 442,321 and 837,936 shares of common stock during the first six months of fiscal 2020 and 2019, respectively, were excluded from diluted net earnings per share because they were anti-dilutive.</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9"/>
          <w:szCs w:val="19"/>
          <w:b w:val="1"/>
          <w:bCs w:val="1"/>
          <w:color w:val="auto"/>
        </w:rPr>
        <w:t>Contingencies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ectPr>
          <w:pgSz w:w="11900" w:h="16838" w:orient="portrait"/>
          <w:cols w:equalWidth="0" w:num="1">
            <w:col w:w="11240"/>
          </w:cols>
          <w:pgMar w:left="320" w:top="125" w:right="339" w:bottom="1114"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114"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16 </w:t>
      </w:r>
      <w:r>
        <w:rPr>
          <w:rFonts w:ascii="Arial" w:cs="Arial" w:eastAsia="Arial" w:hAnsi="Arial"/>
          <w:sz w:val="19"/>
          <w:szCs w:val="19"/>
          <w:b w:val="1"/>
          <w:bCs w:val="1"/>
          <w:color w:val="auto"/>
        </w:rPr>
        <w:t>Leases</w:t>
      </w: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lease term begins and is determined upon lease commencement, which is the point in time when the company takes possession of the identified asset, and includes all non-cancelable periods. Additionally,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expense incurred on the company’s operating, short-term, and variable leases: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Three Months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8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Ended</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80" w:type="dxa"/>
            <w:vAlign w:val="bottom"/>
          </w:tcPr>
          <w:p>
            <w:pPr>
              <w:spacing w:after="0"/>
              <w:rPr>
                <w:sz w:val="20"/>
                <w:szCs w:val="20"/>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May 1, 2020</w:t>
            </w:r>
          </w:p>
        </w:tc>
        <w:tc>
          <w:tcPr>
            <w:tcW w:w="30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1, 2020</w:t>
            </w:r>
          </w:p>
        </w:tc>
      </w:tr>
      <w:tr>
        <w:trPr>
          <w:trHeight w:val="31"/>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expense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5,383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10,217</w:t>
            </w:r>
          </w:p>
        </w:tc>
      </w:tr>
      <w:tr>
        <w:trPr>
          <w:trHeight w:val="239"/>
        </w:trPr>
        <w:tc>
          <w:tcPr>
            <w:tcW w:w="8000" w:type="dxa"/>
            <w:vAlign w:val="bottom"/>
          </w:tcPr>
          <w:p>
            <w:pPr>
              <w:ind w:left="40"/>
              <w:spacing w:after="0"/>
              <w:rPr>
                <w:sz w:val="20"/>
                <w:szCs w:val="20"/>
                <w:color w:val="auto"/>
              </w:rPr>
            </w:pPr>
            <w:r>
              <w:rPr>
                <w:rFonts w:ascii="Arial" w:cs="Arial" w:eastAsia="Arial" w:hAnsi="Arial"/>
                <w:sz w:val="17"/>
                <w:szCs w:val="17"/>
                <w:color w:val="auto"/>
              </w:rPr>
              <w:t>Short-term lease expense</w:t>
            </w: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646</w:t>
            </w:r>
          </w:p>
        </w:tc>
        <w:tc>
          <w:tcPr>
            <w:tcW w:w="30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1,328</w:t>
            </w:r>
          </w:p>
        </w:tc>
      </w:tr>
      <w:tr>
        <w:trPr>
          <w:trHeight w:val="31"/>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Variable lease expense</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w:t>
            </w:r>
          </w:p>
        </w:tc>
      </w:tr>
      <w:tr>
        <w:trPr>
          <w:trHeight w:val="233"/>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lease expense</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6,088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11,641</w:t>
            </w:r>
          </w:p>
        </w:tc>
      </w:tr>
      <w:tr>
        <w:trPr>
          <w:trHeight w:val="31"/>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8000" w:type="dxa"/>
            <w:vAlign w:val="bottom"/>
          </w:tcPr>
          <w:p>
            <w:pPr>
              <w:spacing w:after="0"/>
              <w:rPr>
                <w:sz w:val="20"/>
                <w:szCs w:val="20"/>
                <w:color w:val="auto"/>
              </w:rPr>
            </w:pPr>
            <w:r>
              <w:rPr>
                <w:rFonts w:ascii="Arial" w:cs="Arial" w:eastAsia="Arial" w:hAnsi="Arial"/>
                <w:sz w:val="18"/>
                <w:szCs w:val="18"/>
                <w:color w:val="auto"/>
                <w:w w:val="93"/>
              </w:rPr>
              <w:t>The following table presents supplemental cash flow information related to the company's operating leases: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Three Months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6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Ended</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6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69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460" w:type="dxa"/>
            <w:vAlign w:val="bottom"/>
          </w:tcPr>
          <w:p>
            <w:pPr>
              <w:spacing w:after="0"/>
              <w:rPr>
                <w:sz w:val="20"/>
                <w:szCs w:val="20"/>
                <w:color w:val="auto"/>
              </w:rPr>
            </w:pPr>
          </w:p>
        </w:tc>
        <w:tc>
          <w:tcPr>
            <w:tcW w:w="130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May 1, 2020</w:t>
            </w:r>
          </w:p>
        </w:tc>
        <w:tc>
          <w:tcPr>
            <w:tcW w:w="30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1, 2020</w:t>
            </w:r>
          </w:p>
        </w:tc>
      </w:tr>
      <w:tr>
        <w:trPr>
          <w:trHeight w:val="31"/>
        </w:trPr>
        <w:tc>
          <w:tcPr>
            <w:tcW w:w="6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cash flows for amounts included in the measurement of lease liabilities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5,525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10,266</w:t>
            </w:r>
          </w:p>
        </w:tc>
      </w:tr>
      <w:tr>
        <w:trPr>
          <w:trHeight w:val="239"/>
        </w:trPr>
        <w:tc>
          <w:tcPr>
            <w:tcW w:w="6920" w:type="dxa"/>
            <w:vAlign w:val="bottom"/>
          </w:tcPr>
          <w:p>
            <w:pPr>
              <w:ind w:left="40"/>
              <w:spacing w:after="0"/>
              <w:rPr>
                <w:sz w:val="20"/>
                <w:szCs w:val="20"/>
                <w:color w:val="auto"/>
              </w:rPr>
            </w:pPr>
            <w:r>
              <w:rPr>
                <w:rFonts w:ascii="Arial" w:cs="Arial" w:eastAsia="Arial" w:hAnsi="Arial"/>
                <w:sz w:val="17"/>
                <w:szCs w:val="17"/>
                <w:color w:val="auto"/>
              </w:rPr>
              <w:t>Right-of-use assets obtained in exchange for lease obligations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10,909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17,042</w:t>
            </w:r>
          </w:p>
        </w:tc>
      </w:tr>
      <w:tr>
        <w:trPr>
          <w:trHeight w:val="31"/>
        </w:trPr>
        <w:tc>
          <w:tcPr>
            <w:tcW w:w="6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lease information related to the company's operating leases as of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9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r>
      <w:tr>
        <w:trPr>
          <w:trHeight w:val="31"/>
        </w:trPr>
        <w:tc>
          <w:tcPr>
            <w:tcW w:w="73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43"/>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Weighted-average remaining lease term of operating leases in years</w:t>
            </w:r>
          </w:p>
        </w:tc>
        <w:tc>
          <w:tcPr>
            <w:tcW w:w="3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7.4</w:t>
            </w:r>
          </w:p>
        </w:tc>
      </w:tr>
      <w:tr>
        <w:trPr>
          <w:trHeight w:val="239"/>
        </w:trPr>
        <w:tc>
          <w:tcPr>
            <w:tcW w:w="7340" w:type="dxa"/>
            <w:vAlign w:val="bottom"/>
          </w:tcPr>
          <w:p>
            <w:pPr>
              <w:ind w:left="40"/>
              <w:spacing w:after="0"/>
              <w:rPr>
                <w:sz w:val="20"/>
                <w:szCs w:val="20"/>
                <w:color w:val="auto"/>
              </w:rPr>
            </w:pPr>
            <w:r>
              <w:rPr>
                <w:rFonts w:ascii="Arial" w:cs="Arial" w:eastAsia="Arial" w:hAnsi="Arial"/>
                <w:sz w:val="17"/>
                <w:szCs w:val="17"/>
                <w:color w:val="auto"/>
              </w:rPr>
              <w:t>Weighted-average discount rate of operating leases</w:t>
            </w:r>
          </w:p>
        </w:tc>
        <w:tc>
          <w:tcPr>
            <w:tcW w:w="390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31"/>
        </w:trPr>
        <w:tc>
          <w:tcPr>
            <w:tcW w:w="73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42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1, 2020</w:t>
            </w:r>
          </w:p>
        </w:tc>
      </w:tr>
      <w:tr>
        <w:trPr>
          <w:trHeight w:val="31"/>
        </w:trPr>
        <w:tc>
          <w:tcPr>
            <w:tcW w:w="65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 (remaining)</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24,263</w:t>
            </w:r>
          </w:p>
        </w:tc>
      </w:tr>
      <w:tr>
        <w:trPr>
          <w:trHeight w:val="239"/>
        </w:trPr>
        <w:tc>
          <w:tcPr>
            <w:tcW w:w="6560" w:type="dxa"/>
            <w:vAlign w:val="bottom"/>
          </w:tcPr>
          <w:p>
            <w:pPr>
              <w:ind w:left="40"/>
              <w:spacing w:after="0"/>
              <w:rPr>
                <w:sz w:val="20"/>
                <w:szCs w:val="20"/>
                <w:color w:val="auto"/>
              </w:rPr>
            </w:pPr>
            <w:r>
              <w:rPr>
                <w:rFonts w:ascii="Arial" w:cs="Arial" w:eastAsia="Arial" w:hAnsi="Arial"/>
                <w:sz w:val="17"/>
                <w:szCs w:val="17"/>
                <w:color w:val="auto"/>
              </w:rPr>
              <w:t>2021</w:t>
            </w:r>
          </w:p>
        </w:tc>
        <w:tc>
          <w:tcPr>
            <w:tcW w:w="34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17,253</w:t>
            </w:r>
          </w:p>
        </w:tc>
      </w:tr>
      <w:tr>
        <w:trPr>
          <w:trHeight w:val="31"/>
        </w:trPr>
        <w:tc>
          <w:tcPr>
            <w:tcW w:w="6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3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14,698</w:t>
            </w:r>
          </w:p>
        </w:tc>
      </w:tr>
      <w:tr>
        <w:trPr>
          <w:trHeight w:val="239"/>
        </w:trPr>
        <w:tc>
          <w:tcPr>
            <w:tcW w:w="6560" w:type="dxa"/>
            <w:vAlign w:val="bottom"/>
          </w:tcPr>
          <w:p>
            <w:pPr>
              <w:ind w:left="40"/>
              <w:spacing w:after="0"/>
              <w:rPr>
                <w:sz w:val="20"/>
                <w:szCs w:val="20"/>
                <w:color w:val="auto"/>
              </w:rPr>
            </w:pPr>
            <w:r>
              <w:rPr>
                <w:rFonts w:ascii="Arial" w:cs="Arial" w:eastAsia="Arial" w:hAnsi="Arial"/>
                <w:sz w:val="17"/>
                <w:szCs w:val="17"/>
                <w:color w:val="auto"/>
              </w:rPr>
              <w:t>2023</w:t>
            </w:r>
          </w:p>
        </w:tc>
        <w:tc>
          <w:tcPr>
            <w:tcW w:w="34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11,761</w:t>
            </w:r>
          </w:p>
        </w:tc>
      </w:tr>
      <w:tr>
        <w:trPr>
          <w:trHeight w:val="31"/>
        </w:trPr>
        <w:tc>
          <w:tcPr>
            <w:tcW w:w="6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3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10,569</w:t>
            </w:r>
          </w:p>
        </w:tc>
      </w:tr>
      <w:tr>
        <w:trPr>
          <w:trHeight w:val="239"/>
        </w:trPr>
        <w:tc>
          <w:tcPr>
            <w:tcW w:w="656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4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33,394</w:t>
            </w:r>
          </w:p>
        </w:tc>
      </w:tr>
      <w:tr>
        <w:trPr>
          <w:trHeight w:val="31"/>
        </w:trPr>
        <w:tc>
          <w:tcPr>
            <w:tcW w:w="65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future minimum operating lease payments</w:t>
            </w:r>
          </w:p>
        </w:tc>
        <w:tc>
          <w:tcPr>
            <w:tcW w:w="3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111,938</w:t>
            </w:r>
          </w:p>
        </w:tc>
      </w:tr>
      <w:tr>
        <w:trPr>
          <w:trHeight w:val="239"/>
        </w:trPr>
        <w:tc>
          <w:tcPr>
            <w:tcW w:w="6560" w:type="dxa"/>
            <w:vAlign w:val="bottom"/>
          </w:tcPr>
          <w:p>
            <w:pPr>
              <w:ind w:left="180"/>
              <w:spacing w:after="0"/>
              <w:rPr>
                <w:sz w:val="20"/>
                <w:szCs w:val="20"/>
                <w:color w:val="auto"/>
              </w:rPr>
            </w:pPr>
            <w:r>
              <w:rPr>
                <w:rFonts w:ascii="Arial" w:cs="Arial" w:eastAsia="Arial" w:hAnsi="Arial"/>
                <w:sz w:val="17"/>
                <w:szCs w:val="17"/>
                <w:color w:val="auto"/>
              </w:rPr>
              <w:t>Less: imputed interest</w:t>
            </w:r>
          </w:p>
        </w:tc>
        <w:tc>
          <w:tcPr>
            <w:tcW w:w="34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25,698</w:t>
            </w:r>
          </w:p>
        </w:tc>
      </w:tr>
      <w:tr>
        <w:trPr>
          <w:trHeight w:val="31"/>
        </w:trPr>
        <w:tc>
          <w:tcPr>
            <w:tcW w:w="65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Present value of operating lease liabilities</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86,240</w:t>
            </w:r>
          </w:p>
        </w:tc>
      </w:tr>
      <w:tr>
        <w:trPr>
          <w:trHeight w:val="20"/>
        </w:trPr>
        <w:tc>
          <w:tcPr>
            <w:tcW w:w="65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table presents future minimum operating lease payments by respective fiscal year for non-cancelable operating leases under the legacy lease accounting guidance at ASC Topic 840, </w:t>
      </w:r>
      <w:r>
        <w:rPr>
          <w:rFonts w:ascii="Arial" w:cs="Arial" w:eastAsia="Arial" w:hAnsi="Arial"/>
          <w:sz w:val="18"/>
          <w:szCs w:val="18"/>
          <w:i w:val="1"/>
          <w:iCs w:val="1"/>
          <w:color w:val="auto"/>
        </w:rPr>
        <w:t>Leases</w:t>
      </w:r>
      <w:r>
        <w:rPr>
          <w:rFonts w:ascii="Arial" w:cs="Arial" w:eastAsia="Arial" w:hAnsi="Arial"/>
          <w:sz w:val="18"/>
          <w:szCs w:val="18"/>
          <w:color w:val="auto"/>
        </w:rPr>
        <w:t>,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6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62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17,135</w:t>
            </w:r>
          </w:p>
        </w:tc>
      </w:tr>
      <w:tr>
        <w:trPr>
          <w:trHeight w:val="239"/>
        </w:trPr>
        <w:tc>
          <w:tcPr>
            <w:tcW w:w="6220" w:type="dxa"/>
            <w:vAlign w:val="bottom"/>
          </w:tcPr>
          <w:p>
            <w:pPr>
              <w:ind w:left="40"/>
              <w:spacing w:after="0"/>
              <w:rPr>
                <w:sz w:val="20"/>
                <w:szCs w:val="20"/>
                <w:color w:val="auto"/>
              </w:rPr>
            </w:pPr>
            <w:r>
              <w:rPr>
                <w:rFonts w:ascii="Arial" w:cs="Arial" w:eastAsia="Arial" w:hAnsi="Arial"/>
                <w:sz w:val="17"/>
                <w:szCs w:val="17"/>
                <w:color w:val="auto"/>
              </w:rPr>
              <w:t>2021</w:t>
            </w:r>
          </w:p>
        </w:tc>
        <w:tc>
          <w:tcPr>
            <w:tcW w:w="36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15,764</w:t>
            </w:r>
          </w:p>
        </w:tc>
      </w:tr>
      <w:tr>
        <w:trPr>
          <w:trHeight w:val="31"/>
        </w:trPr>
        <w:tc>
          <w:tcPr>
            <w:tcW w:w="62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3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12,806</w:t>
            </w:r>
          </w:p>
        </w:tc>
      </w:tr>
      <w:tr>
        <w:trPr>
          <w:trHeight w:val="239"/>
        </w:trPr>
        <w:tc>
          <w:tcPr>
            <w:tcW w:w="6220" w:type="dxa"/>
            <w:vAlign w:val="bottom"/>
          </w:tcPr>
          <w:p>
            <w:pPr>
              <w:ind w:left="40"/>
              <w:spacing w:after="0"/>
              <w:rPr>
                <w:sz w:val="20"/>
                <w:szCs w:val="20"/>
                <w:color w:val="auto"/>
              </w:rPr>
            </w:pPr>
            <w:r>
              <w:rPr>
                <w:rFonts w:ascii="Arial" w:cs="Arial" w:eastAsia="Arial" w:hAnsi="Arial"/>
                <w:sz w:val="17"/>
                <w:szCs w:val="17"/>
                <w:color w:val="auto"/>
              </w:rPr>
              <w:t>2023</w:t>
            </w:r>
          </w:p>
        </w:tc>
        <w:tc>
          <w:tcPr>
            <w:tcW w:w="36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9,772</w:t>
            </w:r>
          </w:p>
        </w:tc>
      </w:tr>
      <w:tr>
        <w:trPr>
          <w:trHeight w:val="31"/>
        </w:trPr>
        <w:tc>
          <w:tcPr>
            <w:tcW w:w="62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3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8,863</w:t>
            </w:r>
          </w:p>
        </w:tc>
      </w:tr>
      <w:tr>
        <w:trPr>
          <w:trHeight w:val="239"/>
        </w:trPr>
        <w:tc>
          <w:tcPr>
            <w:tcW w:w="622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6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18,732</w:t>
            </w:r>
          </w:p>
        </w:tc>
      </w:tr>
      <w:tr>
        <w:trPr>
          <w:trHeight w:val="31"/>
        </w:trPr>
        <w:tc>
          <w:tcPr>
            <w:tcW w:w="62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83,072</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804"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804"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9"/>
          <w:szCs w:val="19"/>
          <w:b w:val="1"/>
          <w:bCs w:val="1"/>
          <w:color w:val="auto"/>
        </w:rPr>
        <w:t>Derivative Instruments and Hedging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May 1, 2020, the notional amount outstanding of forward contracts designated as cash flow hedging instruments was $248.6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20" w:type="dxa"/>
            <w:vAlign w:val="bottom"/>
          </w:tcPr>
          <w:p>
            <w:pPr>
              <w:spacing w:after="0"/>
              <w:rPr>
                <w:sz w:val="19"/>
                <w:szCs w:val="19"/>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300" w:type="dxa"/>
            <w:vAlign w:val="bottom"/>
          </w:tcPr>
          <w:p>
            <w:pPr>
              <w:spacing w:after="0"/>
              <w:rPr>
                <w:sz w:val="19"/>
                <w:szCs w:val="19"/>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3, 2019</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5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assets: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18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380"/>
              <w:spacing w:after="0"/>
              <w:rPr>
                <w:sz w:val="20"/>
                <w:szCs w:val="20"/>
                <w:color w:val="auto"/>
              </w:rPr>
            </w:pPr>
            <w:r>
              <w:rPr>
                <w:rFonts w:ascii="Arial" w:cs="Arial" w:eastAsia="Arial" w:hAnsi="Arial"/>
                <w:sz w:val="17"/>
                <w:szCs w:val="17"/>
                <w:color w:val="auto"/>
              </w:rPr>
              <w:t>Forward currency contracts</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13,303</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8,980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8,642</w:t>
            </w: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Forward currency contracts</w:t>
            </w:r>
          </w:p>
        </w:tc>
        <w:tc>
          <w:tcPr>
            <w:tcW w:w="1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7,270</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3,881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2,256</w:t>
            </w:r>
          </w:p>
        </w:tc>
      </w:tr>
      <w:tr>
        <w:trPr>
          <w:trHeight w:val="233"/>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20,573</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12,861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10,898</w:t>
            </w:r>
          </w:p>
        </w:tc>
      </w:tr>
      <w:tr>
        <w:trPr>
          <w:trHeight w:val="31"/>
        </w:trPr>
        <w:tc>
          <w:tcPr>
            <w:tcW w:w="5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5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18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Accrued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380"/>
              <w:spacing w:after="0"/>
              <w:rPr>
                <w:sz w:val="20"/>
                <w:szCs w:val="20"/>
                <w:color w:val="auto"/>
              </w:rPr>
            </w:pPr>
            <w:r>
              <w:rPr>
                <w:rFonts w:ascii="Arial" w:cs="Arial" w:eastAsia="Arial" w:hAnsi="Arial"/>
                <w:sz w:val="17"/>
                <w:szCs w:val="17"/>
                <w:color w:val="auto"/>
              </w:rPr>
              <w:t>Forward currency contracts</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5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Forward currency contracts</w:t>
            </w:r>
          </w:p>
        </w:tc>
        <w:tc>
          <w:tcPr>
            <w:tcW w:w="1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r>
      <w:tr>
        <w:trPr>
          <w:trHeight w:val="233"/>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259</w:t>
            </w:r>
          </w:p>
        </w:tc>
        <w:tc>
          <w:tcPr>
            <w:tcW w:w="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w:t>
            </w:r>
          </w:p>
        </w:tc>
      </w:tr>
      <w:tr>
        <w:trPr>
          <w:trHeight w:val="31"/>
        </w:trPr>
        <w:tc>
          <w:tcPr>
            <w:tcW w:w="5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effects of the master netting arrangements on the fair value of the company’s derivative instruments that are recorded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640" w:type="dxa"/>
            <w:vAlign w:val="bottom"/>
          </w:tcPr>
          <w:p>
            <w:pPr>
              <w:spacing w:after="0"/>
              <w:rPr>
                <w:sz w:val="19"/>
                <w:szCs w:val="19"/>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19"/>
                <w:szCs w:val="19"/>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3, 2019</w:t>
            </w:r>
          </w:p>
        </w:tc>
        <w:tc>
          <w:tcPr>
            <w:tcW w:w="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October 31, 2019</w:t>
            </w:r>
          </w:p>
        </w:tc>
      </w:tr>
      <w:tr>
        <w:trPr>
          <w:trHeight w:val="31"/>
        </w:trPr>
        <w:tc>
          <w:tcPr>
            <w:tcW w:w="6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assets:</w:t>
            </w: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6200" w:type="dxa"/>
            <w:vAlign w:val="bottom"/>
          </w:tcPr>
          <w:p>
            <w:pPr>
              <w:ind w:left="40"/>
              <w:spacing w:after="0"/>
              <w:rPr>
                <w:sz w:val="20"/>
                <w:szCs w:val="20"/>
                <w:color w:val="auto"/>
              </w:rPr>
            </w:pPr>
            <w:r>
              <w:rPr>
                <w:rFonts w:ascii="Arial" w:cs="Arial" w:eastAsia="Arial" w:hAnsi="Arial"/>
                <w:sz w:val="17"/>
                <w:szCs w:val="17"/>
                <w:i w:val="1"/>
                <w:iCs w:val="1"/>
                <w:color w:val="auto"/>
              </w:rPr>
              <w:t>Forward currency contracts:</w:t>
            </w: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amounts of recognized assets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20,662</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12,861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11,056</w:t>
            </w:r>
          </w:p>
        </w:tc>
      </w:tr>
      <w:tr>
        <w:trPr>
          <w:trHeight w:val="239"/>
        </w:trPr>
        <w:tc>
          <w:tcPr>
            <w:tcW w:w="6200" w:type="dxa"/>
            <w:vAlign w:val="bottom"/>
          </w:tcPr>
          <w:p>
            <w:pPr>
              <w:ind w:left="180"/>
              <w:spacing w:after="0"/>
              <w:rPr>
                <w:sz w:val="20"/>
                <w:szCs w:val="20"/>
                <w:color w:val="auto"/>
              </w:rPr>
            </w:pPr>
            <w:r>
              <w:rPr>
                <w:rFonts w:ascii="Arial" w:cs="Arial" w:eastAsia="Arial" w:hAnsi="Arial"/>
                <w:sz w:val="17"/>
                <w:szCs w:val="17"/>
                <w:color w:val="auto"/>
              </w:rPr>
              <w:t>Gross liabilities offset in the Condensed Consolidated Balance Sheets</w:t>
            </w:r>
          </w:p>
        </w:tc>
        <w:tc>
          <w:tcPr>
            <w:tcW w:w="64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(89)</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31"/>
        </w:trPr>
        <w:tc>
          <w:tcPr>
            <w:tcW w:w="6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Net amounts of assets presented in the Condensed Consolidated Balance Sheets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20,573</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12,861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10,898</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6200" w:type="dxa"/>
            <w:vAlign w:val="bottom"/>
          </w:tcPr>
          <w:p>
            <w:pPr>
              <w:ind w:left="40"/>
              <w:spacing w:after="0"/>
              <w:rPr>
                <w:sz w:val="20"/>
                <w:szCs w:val="20"/>
                <w:color w:val="auto"/>
              </w:rPr>
            </w:pPr>
            <w:r>
              <w:rPr>
                <w:rFonts w:ascii="Arial" w:cs="Arial" w:eastAsia="Arial" w:hAnsi="Arial"/>
                <w:sz w:val="17"/>
                <w:szCs w:val="17"/>
                <w:i w:val="1"/>
                <w:iCs w:val="1"/>
                <w:color w:val="auto"/>
              </w:rPr>
              <w:t>Forward currency contracts:</w:t>
            </w: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amounts of recognized liabilities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9"/>
        </w:trPr>
        <w:tc>
          <w:tcPr>
            <w:tcW w:w="6200" w:type="dxa"/>
            <w:vAlign w:val="bottom"/>
          </w:tcPr>
          <w:p>
            <w:pPr>
              <w:ind w:left="180"/>
              <w:spacing w:after="0"/>
              <w:rPr>
                <w:sz w:val="20"/>
                <w:szCs w:val="20"/>
                <w:color w:val="auto"/>
              </w:rPr>
            </w:pPr>
            <w:r>
              <w:rPr>
                <w:rFonts w:ascii="Arial" w:cs="Arial" w:eastAsia="Arial" w:hAnsi="Arial"/>
                <w:sz w:val="17"/>
                <w:szCs w:val="17"/>
                <w:color w:val="auto"/>
              </w:rPr>
              <w:t>Gross assets offset in the Condensed Consolidated Balance Sheets</w:t>
            </w:r>
          </w:p>
        </w:tc>
        <w:tc>
          <w:tcPr>
            <w:tcW w:w="6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7"/>
              </w:rPr>
              <w:t>Net amounts of liabilities presented in the Condensed Consolidated Balance Sheets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present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1, 2020 and May 3,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3"/>
          </w:tcPr>
          <w:p>
            <w:pPr>
              <w:jc w:val="right"/>
              <w:ind w:right="635"/>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1"/>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4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w w:val="94"/>
              </w:rPr>
              <w:t>Gain Reclassified from AOCL into</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4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40" w:type="dxa"/>
            <w:vAlign w:val="bottom"/>
            <w:gridSpan w:val="3"/>
          </w:tcPr>
          <w:p>
            <w:pPr>
              <w:jc w:val="right"/>
              <w:ind w:right="1095"/>
              <w:spacing w:after="0"/>
              <w:rPr>
                <w:sz w:val="20"/>
                <w:szCs w:val="20"/>
                <w:color w:val="auto"/>
              </w:rPr>
            </w:pPr>
            <w:r>
              <w:rPr>
                <w:rFonts w:ascii="Arial" w:cs="Arial" w:eastAsia="Arial" w:hAnsi="Arial"/>
                <w:sz w:val="17"/>
                <w:szCs w:val="17"/>
                <w:b w:val="1"/>
                <w:bCs w:val="1"/>
                <w:color w:val="auto"/>
              </w:rPr>
              <w:t>Earnings</w:t>
            </w:r>
          </w:p>
        </w:tc>
        <w:tc>
          <w:tcPr>
            <w:tcW w:w="3120" w:type="dxa"/>
            <w:vAlign w:val="bottom"/>
            <w:gridSpan w:val="4"/>
          </w:tcPr>
          <w:p>
            <w:pPr>
              <w:jc w:val="right"/>
              <w:spacing w:after="0"/>
              <w:rPr>
                <w:sz w:val="20"/>
                <w:szCs w:val="20"/>
                <w:color w:val="auto"/>
              </w:rPr>
            </w:pPr>
            <w:r>
              <w:rPr>
                <w:rFonts w:ascii="Arial" w:cs="Arial" w:eastAsia="Arial" w:hAnsi="Arial"/>
                <w:sz w:val="17"/>
                <w:szCs w:val="17"/>
                <w:b w:val="1"/>
                <w:bCs w:val="1"/>
                <w:color w:val="auto"/>
                <w:w w:val="96"/>
              </w:rPr>
              <w:t>Gain Recognized in OCI on Derivatives</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5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300" w:type="dxa"/>
            <w:vAlign w:val="bottom"/>
          </w:tcPr>
          <w:p>
            <w:pPr>
              <w:spacing w:after="0"/>
              <w:rPr>
                <w:sz w:val="20"/>
                <w:szCs w:val="20"/>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1, 2020</w:t>
            </w:r>
          </w:p>
        </w:tc>
        <w:tc>
          <w:tcPr>
            <w:tcW w:w="30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2,272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1,240</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2,521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2,766</w:t>
            </w:r>
          </w:p>
        </w:tc>
      </w:tr>
      <w:tr>
        <w:trPr>
          <w:trHeight w:val="239"/>
        </w:trPr>
        <w:tc>
          <w:tcPr>
            <w:tcW w:w="4700" w:type="dxa"/>
            <w:vAlign w:val="bottom"/>
          </w:tcPr>
          <w:p>
            <w:pPr>
              <w:ind w:left="280"/>
              <w:spacing w:after="0"/>
              <w:rPr>
                <w:sz w:val="20"/>
                <w:szCs w:val="20"/>
                <w:color w:val="auto"/>
              </w:rPr>
            </w:pPr>
            <w:r>
              <w:rPr>
                <w:rFonts w:ascii="Arial" w:cs="Arial" w:eastAsia="Arial" w:hAnsi="Arial"/>
                <w:sz w:val="17"/>
                <w:szCs w:val="17"/>
                <w:color w:val="auto"/>
              </w:rPr>
              <w:t>Cost of sales</w:t>
            </w:r>
          </w:p>
        </w:tc>
        <w:tc>
          <w:tcPr>
            <w:tcW w:w="5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208</w:t>
            </w:r>
          </w:p>
        </w:tc>
        <w:tc>
          <w:tcPr>
            <w:tcW w:w="2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114</w:t>
            </w:r>
          </w:p>
        </w:tc>
        <w:tc>
          <w:tcPr>
            <w:tcW w:w="30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153</w:t>
            </w:r>
          </w:p>
        </w:tc>
        <w:tc>
          <w:tcPr>
            <w:tcW w:w="30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400</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Total derivatives designated as cash flow hedging instruments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1,354</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3,166</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7500"/>
        <w:spacing w:after="0"/>
        <w:rPr>
          <w:sz w:val="20"/>
          <w:szCs w:val="20"/>
          <w:color w:val="auto"/>
        </w:rPr>
      </w:pPr>
      <w:r>
        <w:rPr>
          <w:rFonts w:ascii="Arial" w:cs="Arial" w:eastAsia="Arial" w:hAnsi="Arial"/>
          <w:sz w:val="17"/>
          <w:szCs w:val="17"/>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4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w w:val="94"/>
              </w:rPr>
              <w:t>Gain Reclassified from AOCL into</w:t>
            </w:r>
          </w:p>
        </w:tc>
        <w:tc>
          <w:tcPr>
            <w:tcW w:w="280" w:type="dxa"/>
            <w:vAlign w:val="bottom"/>
          </w:tcPr>
          <w:p>
            <w:pPr>
              <w:spacing w:after="0"/>
              <w:rPr>
                <w:sz w:val="17"/>
                <w:szCs w:val="17"/>
                <w:color w:val="auto"/>
              </w:rPr>
            </w:pPr>
          </w:p>
        </w:tc>
        <w:tc>
          <w:tcPr>
            <w:tcW w:w="284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w w:val="94"/>
              </w:rPr>
              <w:t>Gain (Loss) Recognized in OCI on</w:t>
            </w:r>
          </w:p>
        </w:tc>
      </w:tr>
      <w:tr>
        <w:trPr>
          <w:trHeight w:val="220"/>
        </w:trPr>
        <w:tc>
          <w:tcPr>
            <w:tcW w:w="4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40" w:type="dxa"/>
            <w:vAlign w:val="bottom"/>
            <w:gridSpan w:val="3"/>
          </w:tcPr>
          <w:p>
            <w:pPr>
              <w:jc w:val="right"/>
              <w:ind w:right="1095"/>
              <w:spacing w:after="0"/>
              <w:rPr>
                <w:sz w:val="20"/>
                <w:szCs w:val="20"/>
                <w:color w:val="auto"/>
              </w:rPr>
            </w:pPr>
            <w:r>
              <w:rPr>
                <w:rFonts w:ascii="Arial" w:cs="Arial" w:eastAsia="Arial" w:hAnsi="Arial"/>
                <w:sz w:val="17"/>
                <w:szCs w:val="17"/>
                <w:b w:val="1"/>
                <w:bCs w:val="1"/>
                <w:color w:val="auto"/>
              </w:rPr>
              <w:t>Earnings</w:t>
            </w:r>
          </w:p>
        </w:tc>
        <w:tc>
          <w:tcPr>
            <w:tcW w:w="280" w:type="dxa"/>
            <w:vAlign w:val="bottom"/>
          </w:tcPr>
          <w:p>
            <w:pPr>
              <w:spacing w:after="0"/>
              <w:rPr>
                <w:sz w:val="19"/>
                <w:szCs w:val="19"/>
                <w:color w:val="auto"/>
              </w:rPr>
            </w:pPr>
          </w:p>
        </w:tc>
        <w:tc>
          <w:tcPr>
            <w:tcW w:w="2840" w:type="dxa"/>
            <w:vAlign w:val="bottom"/>
            <w:gridSpan w:val="3"/>
          </w:tcPr>
          <w:p>
            <w:pPr>
              <w:jc w:val="right"/>
              <w:ind w:right="995"/>
              <w:spacing w:after="0"/>
              <w:rPr>
                <w:sz w:val="20"/>
                <w:szCs w:val="20"/>
                <w:color w:val="auto"/>
              </w:rPr>
            </w:pPr>
            <w:r>
              <w:rPr>
                <w:rFonts w:ascii="Arial" w:cs="Arial" w:eastAsia="Arial" w:hAnsi="Arial"/>
                <w:sz w:val="17"/>
                <w:szCs w:val="17"/>
                <w:b w:val="1"/>
                <w:bCs w:val="1"/>
                <w:color w:val="auto"/>
              </w:rPr>
              <w:t>Derivatives</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5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2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30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3,477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3,105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w:t>
            </w:r>
          </w:p>
        </w:tc>
      </w:tr>
      <w:tr>
        <w:trPr>
          <w:trHeight w:val="239"/>
        </w:trPr>
        <w:tc>
          <w:tcPr>
            <w:tcW w:w="4700" w:type="dxa"/>
            <w:vAlign w:val="bottom"/>
          </w:tcPr>
          <w:p>
            <w:pPr>
              <w:ind w:left="280"/>
              <w:spacing w:after="0"/>
              <w:rPr>
                <w:sz w:val="20"/>
                <w:szCs w:val="20"/>
                <w:color w:val="auto"/>
              </w:rPr>
            </w:pPr>
            <w:r>
              <w:rPr>
                <w:rFonts w:ascii="Arial" w:cs="Arial" w:eastAsia="Arial" w:hAnsi="Arial"/>
                <w:sz w:val="17"/>
                <w:szCs w:val="17"/>
                <w:color w:val="auto"/>
              </w:rPr>
              <w:t>Cost of sales</w:t>
            </w:r>
          </w:p>
        </w:tc>
        <w:tc>
          <w:tcPr>
            <w:tcW w:w="5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540</w:t>
            </w:r>
          </w:p>
        </w:tc>
        <w:tc>
          <w:tcPr>
            <w:tcW w:w="2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357</w:t>
            </w:r>
          </w:p>
        </w:tc>
        <w:tc>
          <w:tcPr>
            <w:tcW w:w="2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221</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31"/>
        </w:trPr>
        <w:tc>
          <w:tcPr>
            <w:tcW w:w="4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Total derivatives designated as cash flow hedging instruments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(843)</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second quarter and first six months of fiscal 2020, the company recognized approximately $0.5 million of gains within other income, net on the Condensed Consolidated Statements of Earnings due to the discontinuance of cash flow hedge accounting on certain forward currency contracts designated as cash flow hedging instruments as a result of the COVID-19 pandemic and its impact to the probability of realizing hedged forecasted transactions. For the second quarter and first six months of fiscal 2019, the company did not discontinue cash flow hedge accounting on any forward currency contracts designated as cash flow hedging instruments. As of May 1, 2020, the company expects to reclassify approximately $6.8 million of gains from AOCL to earnings during the next twelve months.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20" w:type="dxa"/>
            <w:vAlign w:val="bottom"/>
            <w:gridSpan w:val="7"/>
          </w:tcPr>
          <w:p>
            <w:pPr>
              <w:jc w:val="right"/>
              <w:ind w:right="719"/>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r>
      <w:tr>
        <w:trPr>
          <w:trHeight w:val="3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4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May 1, 2020</w:t>
            </w:r>
          </w:p>
        </w:tc>
        <w:tc>
          <w:tcPr>
            <w:tcW w:w="360" w:type="dxa"/>
            <w:vAlign w:val="bottom"/>
          </w:tcPr>
          <w:p>
            <w:pPr>
              <w:spacing w:after="0"/>
              <w:rPr>
                <w:sz w:val="20"/>
                <w:szCs w:val="20"/>
                <w:color w:val="auto"/>
              </w:rPr>
            </w:pPr>
          </w:p>
        </w:tc>
        <w:tc>
          <w:tcPr>
            <w:tcW w:w="292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May 3, 2019</w:t>
            </w:r>
          </w:p>
        </w:tc>
      </w:tr>
      <w:tr>
        <w:trPr>
          <w:trHeight w:val="33"/>
        </w:trPr>
        <w:tc>
          <w:tcPr>
            <w:tcW w:w="4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spacing w:after="0"/>
              <w:rPr>
                <w:sz w:val="20"/>
                <w:szCs w:val="20"/>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w w:val="98"/>
              </w:rPr>
              <w:t>Cost of Sales</w:t>
            </w:r>
          </w:p>
        </w:tc>
        <w:tc>
          <w:tcPr>
            <w:tcW w:w="36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Sales</w:t>
            </w:r>
          </w:p>
        </w:tc>
        <w:tc>
          <w:tcPr>
            <w:tcW w:w="300" w:type="dxa"/>
            <w:vAlign w:val="bottom"/>
          </w:tcPr>
          <w:p>
            <w:pPr>
              <w:spacing w:after="0"/>
              <w:rPr>
                <w:sz w:val="20"/>
                <w:szCs w:val="20"/>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Cost of Sales</w:t>
            </w:r>
          </w:p>
        </w:tc>
      </w:tr>
      <w:tr>
        <w:trPr>
          <w:trHeight w:val="33"/>
        </w:trPr>
        <w:tc>
          <w:tcPr>
            <w:tcW w:w="4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929,398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(622,681)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962,036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(640,738)</w:t>
            </w:r>
          </w:p>
        </w:tc>
      </w:tr>
      <w:tr>
        <w:trPr>
          <w:trHeight w:val="220"/>
        </w:trPr>
        <w:tc>
          <w:tcPr>
            <w:tcW w:w="462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4620" w:type="dxa"/>
            <w:vAlign w:val="bottom"/>
          </w:tcPr>
          <w:p>
            <w:pPr>
              <w:ind w:left="4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Amount of gain reclassified from AOCL into earnings</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2,272</w:t>
            </w:r>
          </w:p>
        </w:tc>
        <w:tc>
          <w:tcPr>
            <w:tcW w:w="3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208</w:t>
            </w:r>
          </w:p>
        </w:tc>
        <w:tc>
          <w:tcPr>
            <w:tcW w:w="3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1,240</w:t>
            </w:r>
          </w:p>
        </w:tc>
        <w:tc>
          <w:tcPr>
            <w:tcW w:w="3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Gain (loss) on components excluded from effectiveness testing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4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20" w:type="dxa"/>
            <w:vAlign w:val="bottom"/>
            <w:gridSpan w:val="7"/>
          </w:tcPr>
          <w:p>
            <w:pPr>
              <w:jc w:val="right"/>
              <w:ind w:right="959"/>
              <w:spacing w:after="0"/>
              <w:rPr>
                <w:sz w:val="20"/>
                <w:szCs w:val="20"/>
                <w:color w:val="auto"/>
              </w:rPr>
            </w:pPr>
            <w:r>
              <w:rPr>
                <w:rFonts w:ascii="Arial" w:cs="Arial" w:eastAsia="Arial" w:hAnsi="Arial"/>
                <w:sz w:val="16"/>
                <w:szCs w:val="16"/>
                <w:b w:val="1"/>
                <w:bCs w:val="1"/>
                <w:color w:val="auto"/>
              </w:rPr>
              <w:t>Gain Recognized in Earnings on Cash Flow Hedging Instruments</w:t>
            </w:r>
          </w:p>
        </w:tc>
      </w:tr>
      <w:tr>
        <w:trPr>
          <w:trHeight w:val="3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4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May 1, 2020</w:t>
            </w:r>
          </w:p>
        </w:tc>
        <w:tc>
          <w:tcPr>
            <w:tcW w:w="360" w:type="dxa"/>
            <w:vAlign w:val="bottom"/>
          </w:tcPr>
          <w:p>
            <w:pPr>
              <w:spacing w:after="0"/>
              <w:rPr>
                <w:sz w:val="20"/>
                <w:szCs w:val="20"/>
                <w:color w:val="auto"/>
              </w:rPr>
            </w:pPr>
          </w:p>
        </w:tc>
        <w:tc>
          <w:tcPr>
            <w:tcW w:w="292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May 3, 2019</w:t>
            </w:r>
          </w:p>
        </w:tc>
      </w:tr>
      <w:tr>
        <w:trPr>
          <w:trHeight w:val="33"/>
        </w:trPr>
        <w:tc>
          <w:tcPr>
            <w:tcW w:w="4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spacing w:after="0"/>
              <w:rPr>
                <w:sz w:val="20"/>
                <w:szCs w:val="20"/>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w w:val="98"/>
              </w:rPr>
              <w:t>Cost of Sales</w:t>
            </w:r>
          </w:p>
        </w:tc>
        <w:tc>
          <w:tcPr>
            <w:tcW w:w="36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Sales</w:t>
            </w:r>
          </w:p>
        </w:tc>
        <w:tc>
          <w:tcPr>
            <w:tcW w:w="300" w:type="dxa"/>
            <w:vAlign w:val="bottom"/>
          </w:tcPr>
          <w:p>
            <w:pPr>
              <w:spacing w:after="0"/>
              <w:rPr>
                <w:sz w:val="20"/>
                <w:szCs w:val="20"/>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Cost of Sales</w:t>
            </w:r>
          </w:p>
        </w:tc>
      </w:tr>
      <w:tr>
        <w:trPr>
          <w:trHeight w:val="33"/>
        </w:trPr>
        <w:tc>
          <w:tcPr>
            <w:tcW w:w="4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1,696,881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(1,102,076)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1,564,992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(1,028,077)</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i w:val="1"/>
                <w:iCs w:val="1"/>
                <w:color w:val="auto"/>
                <w:w w:val="98"/>
              </w:rPr>
              <w:t>Gain on derivatives designated as cash flow hedging instruments: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Amount of gain reclassified from AOCL into earnings</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3,477</w:t>
            </w:r>
          </w:p>
        </w:tc>
        <w:tc>
          <w:tcPr>
            <w:tcW w:w="3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540</w:t>
            </w:r>
          </w:p>
        </w:tc>
        <w:tc>
          <w:tcPr>
            <w:tcW w:w="3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2,478</w:t>
            </w:r>
          </w:p>
        </w:tc>
        <w:tc>
          <w:tcPr>
            <w:tcW w:w="3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components excluded from effectiveness testing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4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3"/>
          </w:tcPr>
          <w:p>
            <w:pPr>
              <w:jc w:val="right"/>
              <w:ind w:right="655"/>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49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6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300" w:type="dxa"/>
            <w:vAlign w:val="bottom"/>
          </w:tcPr>
          <w:p>
            <w:pPr>
              <w:spacing w:after="0"/>
              <w:rPr>
                <w:sz w:val="20"/>
                <w:szCs w:val="20"/>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1, 2020</w:t>
            </w:r>
          </w:p>
        </w:tc>
        <w:tc>
          <w:tcPr>
            <w:tcW w:w="30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w w:val="93"/>
              </w:rPr>
              <w:t>Gain on derivatives not designated as cash flow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492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1,790</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1,777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727</w:t>
            </w:r>
          </w:p>
        </w:tc>
      </w:tr>
      <w:tr>
        <w:trPr>
          <w:trHeight w:val="205"/>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gain on derivatives not designated as cash flow hedging</w:t>
            </w: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4920" w:type="dxa"/>
            <w:vAlign w:val="bottom"/>
          </w:tcPr>
          <w:p>
            <w:pPr>
              <w:ind w:left="40"/>
              <w:spacing w:after="0"/>
              <w:rPr>
                <w:sz w:val="20"/>
                <w:szCs w:val="20"/>
                <w:color w:val="auto"/>
              </w:rPr>
            </w:pPr>
            <w:r>
              <w:rPr>
                <w:rFonts w:ascii="Arial" w:cs="Arial" w:eastAsia="Arial" w:hAnsi="Arial"/>
                <w:sz w:val="17"/>
                <w:szCs w:val="17"/>
                <w:color w:val="auto"/>
              </w:rPr>
              <w:t>instruments</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1,557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1,790</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1,777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727</w:t>
            </w:r>
          </w:p>
        </w:tc>
      </w:tr>
      <w:tr>
        <w:trPr>
          <w:trHeight w:val="31"/>
        </w:trPr>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18 </w:t>
      </w:r>
      <w:r>
        <w:rPr>
          <w:rFonts w:ascii="Arial" w:cs="Arial" w:eastAsia="Arial" w:hAnsi="Arial"/>
          <w:sz w:val="19"/>
          <w:szCs w:val="19"/>
          <w:b w:val="1"/>
          <w:bCs w:val="1"/>
          <w:color w:val="auto"/>
        </w:rPr>
        <w:t>Fair Value Measurements</w:t>
      </w:r>
    </w:p>
    <w:p>
      <w:pPr>
        <w:spacing w:after="0" w:line="2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 There were no transfers between the levels of the fair value hierarchy during the three and six month periods ended May 1, 2020 and May 3, 2019, or the twelve months ended October 31, 2019.</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May 1, 2020, May 3, 2019, and October 31, 2019,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gridSpan w:val="5"/>
          </w:tcPr>
          <w:p>
            <w:pPr>
              <w:jc w:val="center"/>
              <w:ind w:right="195"/>
              <w:spacing w:after="0"/>
              <w:rPr>
                <w:sz w:val="20"/>
                <w:szCs w:val="20"/>
                <w:color w:val="auto"/>
              </w:rPr>
            </w:pPr>
            <w:r>
              <w:rPr>
                <w:rFonts w:ascii="Arial" w:cs="Arial" w:eastAsia="Arial" w:hAnsi="Arial"/>
                <w:sz w:val="17"/>
                <w:szCs w:val="17"/>
                <w:b w:val="1"/>
                <w:bCs w:val="1"/>
                <w:color w:val="auto"/>
                <w:w w:val="90"/>
              </w:rPr>
              <w:t>Fair Value Measurements Using Inputs Considered as:</w:t>
            </w:r>
          </w:p>
        </w:tc>
      </w:tr>
      <w:tr>
        <w:trPr>
          <w:trHeight w:val="31"/>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May 1, 2020</w:t>
            </w:r>
          </w:p>
        </w:tc>
        <w:tc>
          <w:tcPr>
            <w:tcW w:w="1520" w:type="dxa"/>
            <w:vAlign w:val="bottom"/>
          </w:tcPr>
          <w:p>
            <w:pPr>
              <w:spacing w:after="0"/>
              <w:rPr>
                <w:sz w:val="20"/>
                <w:szCs w:val="20"/>
                <w:color w:val="auto"/>
              </w:rPr>
            </w:pPr>
          </w:p>
        </w:tc>
        <w:tc>
          <w:tcPr>
            <w:tcW w:w="1440" w:type="dxa"/>
            <w:vAlign w:val="bottom"/>
          </w:tcPr>
          <w:p>
            <w:pPr>
              <w:jc w:val="right"/>
              <w:ind w:right="435"/>
              <w:spacing w:after="0"/>
              <w:rPr>
                <w:sz w:val="20"/>
                <w:szCs w:val="20"/>
                <w:color w:val="auto"/>
              </w:rPr>
            </w:pPr>
            <w:r>
              <w:rPr>
                <w:rFonts w:ascii="Arial" w:cs="Arial" w:eastAsia="Arial" w:hAnsi="Arial"/>
                <w:sz w:val="17"/>
                <w:szCs w:val="17"/>
                <w:b w:val="1"/>
                <w:bCs w:val="1"/>
                <w:color w:val="auto"/>
              </w:rPr>
              <w:t>Fair Value</w:t>
            </w:r>
          </w:p>
        </w:tc>
        <w:tc>
          <w:tcPr>
            <w:tcW w:w="300" w:type="dxa"/>
            <w:vAlign w:val="bottom"/>
          </w:tcPr>
          <w:p>
            <w:pPr>
              <w:spacing w:after="0"/>
              <w:rPr>
                <w:sz w:val="20"/>
                <w:szCs w:val="20"/>
                <w:color w:val="auto"/>
              </w:rPr>
            </w:pPr>
          </w:p>
        </w:tc>
        <w:tc>
          <w:tcPr>
            <w:tcW w:w="1280" w:type="dxa"/>
            <w:vAlign w:val="bottom"/>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Pr>
          <w:p>
            <w:pPr>
              <w:spacing w:after="0"/>
              <w:rPr>
                <w:sz w:val="20"/>
                <w:szCs w:val="20"/>
                <w:color w:val="auto"/>
              </w:rPr>
            </w:pPr>
          </w:p>
        </w:tc>
        <w:tc>
          <w:tcPr>
            <w:tcW w:w="1260" w:type="dxa"/>
            <w:vAlign w:val="bottom"/>
          </w:tcPr>
          <w:p>
            <w:pPr>
              <w:jc w:val="center"/>
              <w:ind w:right="255"/>
              <w:spacing w:after="0"/>
              <w:rPr>
                <w:sz w:val="20"/>
                <w:szCs w:val="20"/>
                <w:color w:val="auto"/>
              </w:rPr>
            </w:pPr>
            <w:r>
              <w:rPr>
                <w:rFonts w:ascii="Arial" w:cs="Arial" w:eastAsia="Arial" w:hAnsi="Arial"/>
                <w:sz w:val="17"/>
                <w:szCs w:val="17"/>
                <w:b w:val="1"/>
                <w:bCs w:val="1"/>
                <w:color w:val="auto"/>
                <w:w w:val="90"/>
              </w:rPr>
              <w:t>Level 2</w:t>
            </w:r>
          </w:p>
        </w:tc>
        <w:tc>
          <w:tcPr>
            <w:tcW w:w="42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7"/>
                <w:szCs w:val="17"/>
                <w:b w:val="1"/>
                <w:bCs w:val="1"/>
                <w:color w:val="auto"/>
              </w:rPr>
              <w:t>Level 3</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20,573</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20,573</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20,573</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20,573</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259</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259</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259</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top w:val="single" w:sz="8" w:color="auto"/>
              <w:bottom w:val="single" w:sz="8" w:color="auto"/>
            </w:tcBorders>
            <w:gridSpan w:val="5"/>
          </w:tcPr>
          <w:p>
            <w:pPr>
              <w:spacing w:after="0" w:line="20" w:lineRule="exact"/>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gridSpan w:val="5"/>
          </w:tcPr>
          <w:p>
            <w:pPr>
              <w:spacing w:after="0"/>
              <w:rPr>
                <w:sz w:val="10"/>
                <w:szCs w:val="10"/>
                <w:color w:val="auto"/>
              </w:rPr>
            </w:pPr>
          </w:p>
        </w:tc>
      </w:tr>
      <w:tr>
        <w:trPr>
          <w:trHeight w:val="233"/>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gridSpan w:val="5"/>
          </w:tcPr>
          <w:p>
            <w:pPr>
              <w:jc w:val="center"/>
              <w:ind w:right="195"/>
              <w:spacing w:after="0"/>
              <w:rPr>
                <w:sz w:val="20"/>
                <w:szCs w:val="20"/>
                <w:color w:val="auto"/>
              </w:rPr>
            </w:pPr>
            <w:r>
              <w:rPr>
                <w:rFonts w:ascii="Arial" w:cs="Arial" w:eastAsia="Arial" w:hAnsi="Arial"/>
                <w:sz w:val="17"/>
                <w:szCs w:val="17"/>
                <w:b w:val="1"/>
                <w:bCs w:val="1"/>
                <w:color w:val="auto"/>
                <w:w w:val="90"/>
              </w:rPr>
              <w:t>Fair Value Measurements Using Inputs Considered as:</w:t>
            </w:r>
          </w:p>
        </w:tc>
      </w:tr>
      <w:tr>
        <w:trPr>
          <w:trHeight w:val="31"/>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May 3, 2019</w:t>
            </w:r>
          </w:p>
        </w:tc>
        <w:tc>
          <w:tcPr>
            <w:tcW w:w="1520" w:type="dxa"/>
            <w:vAlign w:val="bottom"/>
          </w:tcPr>
          <w:p>
            <w:pPr>
              <w:spacing w:after="0"/>
              <w:rPr>
                <w:sz w:val="20"/>
                <w:szCs w:val="20"/>
                <w:color w:val="auto"/>
              </w:rPr>
            </w:pPr>
          </w:p>
        </w:tc>
        <w:tc>
          <w:tcPr>
            <w:tcW w:w="1440" w:type="dxa"/>
            <w:vAlign w:val="bottom"/>
          </w:tcPr>
          <w:p>
            <w:pPr>
              <w:jc w:val="right"/>
              <w:ind w:right="435"/>
              <w:spacing w:after="0"/>
              <w:rPr>
                <w:sz w:val="20"/>
                <w:szCs w:val="20"/>
                <w:color w:val="auto"/>
              </w:rPr>
            </w:pPr>
            <w:r>
              <w:rPr>
                <w:rFonts w:ascii="Arial" w:cs="Arial" w:eastAsia="Arial" w:hAnsi="Arial"/>
                <w:sz w:val="17"/>
                <w:szCs w:val="17"/>
                <w:b w:val="1"/>
                <w:bCs w:val="1"/>
                <w:color w:val="auto"/>
              </w:rPr>
              <w:t>Fair Value</w:t>
            </w:r>
          </w:p>
        </w:tc>
        <w:tc>
          <w:tcPr>
            <w:tcW w:w="300" w:type="dxa"/>
            <w:vAlign w:val="bottom"/>
          </w:tcPr>
          <w:p>
            <w:pPr>
              <w:spacing w:after="0"/>
              <w:rPr>
                <w:sz w:val="20"/>
                <w:szCs w:val="20"/>
                <w:color w:val="auto"/>
              </w:rPr>
            </w:pPr>
          </w:p>
        </w:tc>
        <w:tc>
          <w:tcPr>
            <w:tcW w:w="1280" w:type="dxa"/>
            <w:vAlign w:val="bottom"/>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Pr>
          <w:p>
            <w:pPr>
              <w:spacing w:after="0"/>
              <w:rPr>
                <w:sz w:val="20"/>
                <w:szCs w:val="20"/>
                <w:color w:val="auto"/>
              </w:rPr>
            </w:pPr>
          </w:p>
        </w:tc>
        <w:tc>
          <w:tcPr>
            <w:tcW w:w="1260" w:type="dxa"/>
            <w:vAlign w:val="bottom"/>
          </w:tcPr>
          <w:p>
            <w:pPr>
              <w:jc w:val="center"/>
              <w:ind w:right="255"/>
              <w:spacing w:after="0"/>
              <w:rPr>
                <w:sz w:val="20"/>
                <w:szCs w:val="20"/>
                <w:color w:val="auto"/>
              </w:rPr>
            </w:pPr>
            <w:r>
              <w:rPr>
                <w:rFonts w:ascii="Arial" w:cs="Arial" w:eastAsia="Arial" w:hAnsi="Arial"/>
                <w:sz w:val="17"/>
                <w:szCs w:val="17"/>
                <w:b w:val="1"/>
                <w:bCs w:val="1"/>
                <w:color w:val="auto"/>
                <w:w w:val="90"/>
              </w:rPr>
              <w:t>Level 2</w:t>
            </w:r>
          </w:p>
        </w:tc>
        <w:tc>
          <w:tcPr>
            <w:tcW w:w="42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7"/>
                <w:szCs w:val="17"/>
                <w:b w:val="1"/>
                <w:bCs w:val="1"/>
                <w:color w:val="auto"/>
              </w:rPr>
              <w:t>Level 3</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12,861</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12,861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12,861</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12,861</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3</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gridSpan w:val="5"/>
          </w:tcPr>
          <w:p>
            <w:pPr>
              <w:ind w:left="1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31"/>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3360" w:type="dxa"/>
            <w:vAlign w:val="bottom"/>
          </w:tcPr>
          <w:p>
            <w:pPr>
              <w:ind w:left="40"/>
              <w:spacing w:after="0"/>
              <w:rPr>
                <w:sz w:val="20"/>
                <w:szCs w:val="20"/>
                <w:color w:val="auto"/>
              </w:rPr>
            </w:pPr>
            <w:r>
              <w:rPr>
                <w:rFonts w:ascii="Arial" w:cs="Arial" w:eastAsia="Arial" w:hAnsi="Arial"/>
                <w:sz w:val="17"/>
                <w:szCs w:val="17"/>
                <w:b w:val="1"/>
                <w:bCs w:val="1"/>
                <w:color w:val="auto"/>
              </w:rPr>
              <w:t>October 31, 2019</w:t>
            </w:r>
          </w:p>
        </w:tc>
        <w:tc>
          <w:tcPr>
            <w:tcW w:w="1520" w:type="dxa"/>
            <w:vAlign w:val="bottom"/>
          </w:tcPr>
          <w:p>
            <w:pPr>
              <w:spacing w:after="0"/>
              <w:rPr>
                <w:sz w:val="20"/>
                <w:szCs w:val="20"/>
                <w:color w:val="auto"/>
              </w:rPr>
            </w:pPr>
          </w:p>
        </w:tc>
        <w:tc>
          <w:tcPr>
            <w:tcW w:w="1440" w:type="dxa"/>
            <w:vAlign w:val="bottom"/>
          </w:tcPr>
          <w:p>
            <w:pPr>
              <w:jc w:val="right"/>
              <w:ind w:right="435"/>
              <w:spacing w:after="0"/>
              <w:rPr>
                <w:sz w:val="20"/>
                <w:szCs w:val="20"/>
                <w:color w:val="auto"/>
              </w:rPr>
            </w:pPr>
            <w:r>
              <w:rPr>
                <w:rFonts w:ascii="Arial" w:cs="Arial" w:eastAsia="Arial" w:hAnsi="Arial"/>
                <w:sz w:val="17"/>
                <w:szCs w:val="17"/>
                <w:b w:val="1"/>
                <w:bCs w:val="1"/>
                <w:color w:val="auto"/>
              </w:rPr>
              <w:t>Fair Value</w:t>
            </w:r>
          </w:p>
        </w:tc>
        <w:tc>
          <w:tcPr>
            <w:tcW w:w="300" w:type="dxa"/>
            <w:vAlign w:val="bottom"/>
          </w:tcPr>
          <w:p>
            <w:pPr>
              <w:spacing w:after="0"/>
              <w:rPr>
                <w:sz w:val="20"/>
                <w:szCs w:val="20"/>
                <w:color w:val="auto"/>
              </w:rPr>
            </w:pPr>
          </w:p>
        </w:tc>
        <w:tc>
          <w:tcPr>
            <w:tcW w:w="1280" w:type="dxa"/>
            <w:vAlign w:val="bottom"/>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Pr>
          <w:p>
            <w:pPr>
              <w:spacing w:after="0"/>
              <w:rPr>
                <w:sz w:val="20"/>
                <w:szCs w:val="20"/>
                <w:color w:val="auto"/>
              </w:rPr>
            </w:pPr>
          </w:p>
        </w:tc>
        <w:tc>
          <w:tcPr>
            <w:tcW w:w="1260" w:type="dxa"/>
            <w:vAlign w:val="bottom"/>
          </w:tcPr>
          <w:p>
            <w:pPr>
              <w:jc w:val="right"/>
              <w:ind w:right="455"/>
              <w:spacing w:after="0"/>
              <w:rPr>
                <w:sz w:val="20"/>
                <w:szCs w:val="20"/>
                <w:color w:val="auto"/>
              </w:rPr>
            </w:pPr>
            <w:r>
              <w:rPr>
                <w:rFonts w:ascii="Arial" w:cs="Arial" w:eastAsia="Arial" w:hAnsi="Arial"/>
                <w:sz w:val="17"/>
                <w:szCs w:val="17"/>
                <w:b w:val="1"/>
                <w:bCs w:val="1"/>
                <w:color w:val="auto"/>
              </w:rPr>
              <w:t>Level 2</w:t>
            </w:r>
          </w:p>
        </w:tc>
        <w:tc>
          <w:tcPr>
            <w:tcW w:w="42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7"/>
                <w:szCs w:val="17"/>
                <w:b w:val="1"/>
                <w:bCs w:val="1"/>
                <w:color w:val="auto"/>
              </w:rPr>
              <w:t>Level 3</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10,898</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10,898</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10,898</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10,898</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336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9</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31"/>
        </w:trPr>
        <w:tc>
          <w:tcPr>
            <w:tcW w:w="3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carrying amounts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1, 2020 and October 31, 2019, the company's long-term debt included $423.9 million of fixed-rate debt that is not subject to variable interest rate fluctuations. The fair value of such long-term debt is determined using Level 2 inputs by discounting the projected cash flows based on quoted market rates at which similar amounts of debt could currently be borrowed. As of May 1, 2020, the estimated fair value of long-term debt with fixed interest rates was $476.3 million compared to its carrying amount of $423.9 million. As of October 31, 2019, the estimated fair value of long-term debt with fixed interest rates was $493.8 million compared to its carrying amount of $423.9 million.</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19 </w:t>
      </w:r>
      <w:r>
        <w:rPr>
          <w:rFonts w:ascii="Arial" w:cs="Arial" w:eastAsia="Arial" w:hAnsi="Arial"/>
          <w:sz w:val="19"/>
          <w:szCs w:val="19"/>
          <w:b w:val="1"/>
          <w:bCs w:val="1"/>
          <w:color w:val="auto"/>
        </w:rPr>
        <w:t>Subsequent Events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9"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2019.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Throughout this MD&amp;A, we have provided non-GAAP financial measures, which are not calculated or presented in accordance with United States ("U.S.") generally accepted accounting principles ("GAAP"), as information supplemental and in addition to the most directly comparable financial measures presented in this report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Reconciliations of non-GAAP financial measures to the most directly comparable reported U.S. GAAP financial measures are included in the section titled "Non-GAAP Financial Measures" within this MD&amp;A. These non-GAAP financial measures, however, should not be considered superior to, as a substitute for, or as an alternative to, and should be considered in conjunction with, the most directly comparable U.S. GAAP financial measures and metrics. Further, these non-GAAP financial measures may differ from similar measures used by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 Such Other activities consist of earnings (loss) from our wholly-owned domestic distribution companies, corporate activities, and the elimination of intersegment revenues and expenses. Unless the context indicates otherwise, the terms "company," "TTC," "we," "our," or "us" refer to The Toro Company and its consolidated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Venture Products, Inc. ("Venture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 2020, we completed the acquisition of Venture Products. Venture Products designs, manufactures, and markets articulating turf, landscape, and snow and ice management equipment for grounds, landscape contractor, golf, municipal, and rural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acreage customers and provides innovative product offerings that broadened and strengthened our Professional segment and expanded our dealer network.</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acquisition of Venture Products was structured as a merger, pursuant to which a wholly-owned subsidiary of TTC merged with and into Venture Products, with Venture Products continuing as the surviving entity and a wholly-owned subsidiary of TTC. As a result of the merger, all of the outstanding equity securities of Venture Products were canceled and now only represent the right to receive the applicable cash consideration as described in the merger agreement. We also acquired from an affiliate of Venture Products the real estate used by Venture Products. The aggregate preliminary consideration for Venture Products and the real estate was $165.9 million, which consisted of a cash payment of $136.4 million and a $29.5 million holdback to satisfy any indemnification or certain other obligations of Venture Products to TTC. The aggregate preliminary consideration remains subject to certain customary adjustments based on, among other things, the amount of actual cash, debt, and working capital in the business of Venture Products as of closing date. These adjustments are expected to be completed during fiscal 2020. The holdback is expected to expire by the end of the fourth quarter of fiscal 2021. We funded the cash payment with borrowings under our existing unsecured senior revolving credit facility. For additional information regarding the Venture Products acquisition and our unsecured senior revolving credit facility utilized to fund the aggregate preliminary consideration, refer to Note 2,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and Note 6,</w:t>
      </w:r>
      <w:r>
        <w:rPr>
          <w:rFonts w:ascii="Arial" w:cs="Arial" w:eastAsia="Arial" w:hAnsi="Arial"/>
          <w:sz w:val="17"/>
          <w:szCs w:val="17"/>
          <w:i w:val="1"/>
          <w:iCs w:val="1"/>
          <w:color w:val="auto"/>
        </w:rPr>
        <w:t xml:space="preserve"> Indebtedness</w:t>
      </w:r>
      <w:r>
        <w:rPr>
          <w:rFonts w:ascii="Arial" w:cs="Arial" w:eastAsia="Arial" w:hAnsi="Arial"/>
          <w:sz w:val="17"/>
          <w:szCs w:val="17"/>
          <w:color w:val="auto"/>
        </w:rPr>
        <w:t>, respectively, in the Notes to Condensed Consolidated Financial Statements included in Part I. Item 1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Charles Machine Works, Inc. ("CMW")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April 1, 2019, we completed our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As of the closing date of the transaction, we paid preliminary merger consideration of $679.3 million that was subject to customary adjustments based on, among other things, the amount of actual cash, debt, and working capital in the business of CMW as of the closing date. During the fourth quarter of fiscal 2019, we finalized the adjustments, which resulted in an aggregate merger consideration of $685.0 million. We funded the purchase price for the acquisition by using a combination of cash proceeds from the issuance of borrowings under our unsecured senior term loan credit agreement and borrowings under our unsecured senior revolving credit facility. For additional information regarding the CMW acquisition and the financing agreements utilized to fund the purchase price,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Note 6, </w:t>
      </w:r>
      <w:r>
        <w:rPr>
          <w:rFonts w:ascii="Arial" w:cs="Arial" w:eastAsia="Arial" w:hAnsi="Arial"/>
          <w:sz w:val="16"/>
          <w:szCs w:val="16"/>
          <w:i w:val="1"/>
          <w:iCs w:val="1"/>
          <w:color w:val="auto"/>
        </w:rPr>
        <w:t>Indebtedness</w:t>
      </w:r>
      <w:r>
        <w:rPr>
          <w:rFonts w:ascii="Arial" w:cs="Arial" w:eastAsia="Arial" w:hAnsi="Arial"/>
          <w:sz w:val="16"/>
          <w:szCs w:val="16"/>
          <w:color w:val="auto"/>
        </w:rPr>
        <w:t>, respectively, in the Notes to Condensed Consolidated Financial Statements included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World Health Organization declared the novel coronavirus ("COVID-19" or "the virus") outbreak a global pandemic. The COVID-19 pandemic has negatively impacted the global economy, disrupted global supply chains, created significant volatility and disruption in financial markets, and has resulted in a global economic slowdown. COVID-19 has resulted in government authorities around the world implementing stringent measures to attempt to help control the spread of the virus, including business shutdowns and curtailments, travel restrictions, prohibitions on group events and gatherings, quarantines, "shelter-in-place" and "stay-at-home" orders, curfews, social distancing, and other measures. The global economic impact of this pandemic has had a material impact on our business, customers, and suppliers and has caused many challenges, which began in the second quarter of fiscal 2020 and steadily increased as the second quarter progressed.</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the events surrounding COVID-19 continued to unfold during the second quarter of fiscal 2020, our main focus was, and will continue to be, the health, safety, and wellbeing of our employees, customers, suppliers and communities around the world. In support of continuing our global manufacturing operations, we have adopted rigorous and meaningful safety measures recommended by the U.S. Centers for Disease Control and Prevention, World Health Organization, and federal, state, local, and foreign authorities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instituting working from home arrangements for those employees that do not need to be physically present at our facilities and sites to perform their job responsibilities, suspending non-essential travel, extensively and frequently disinfecting our facilities and workspaces, suspending all non-essential visitors, and providing or accommodating the wearing of face coverings and other sanitary measures to those employees who must be physically present at our facilities and sites to perform their job responsibilities. We also adopted a special COVID-19 employee leave policy that provides two weeks of pay for employees who have contracted the virus, are involuntarily quarantined because of the virus, or are without work due to changes in our production schedules as a result of the virus. We expect to continue such safety measures until we determine that COVID-19 is adequately contained for purposes of our operations and we may take further actions as government authorities require or recommend or as we determine to be in the best interests of our employees, customers, suppliers, and communities.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been balancing our safety-focused approach with our responsibility to meet the needs of our customers as we supply them with products that are critical to maintaining essential infrastructure globally, agricultural food production, and the enablement of safe areas for outdoor spaces. Government mandated measures providing for business shutdowns or curtailments generally exclude certain essential businesses and services, including businesses that manufacture and sell products that are considered essential to daily lives or otherwise operate in essential or critical sectors. Substantially all of our operations are considered essential under applicable government mandated orders relating to COVID-19 allowing us to continue our global manufacturing and other operations. While we have been able to continue manufacturing substantially all of our products and our facilities have remained operational, we have experienced intermittent partial or full facility closures, reduced levels of production at certain facilities, and manufacturing inefficiencies as a result of these government mandated measures, reduced demand for products in certain of our businesses, and the reconfiguration of certain of our manufacturing processes in order to implement social distancing protocols within our facilities. We have not yet experienced any significant impacts to our global manufacturing operations due to disruptions in our global supply chain as a result of COVID-19. Although we regularly monitor the financial health of the companies in our supply chain, financial hardship or government mandated restrictions on our suppliers caused by COVID-19 could cause a disruption in our ability to procure the commodities, components, and parts required to manufacture our products. Ongoing communications continue with our suppliers in an attempt to identify and mitigate such risks and to proactively manage inventory levels of commodities, components, and parts to align with anticipated reduced levels of production as a result of softened demand for our products and other government actions. While domestic and/or international governmental measures may be modified or extended, we currently expect that our global manufacturing facilities will remain operational, although operating at reduced production capacity at certain of our facilities, during the remainder of fiscal 2020. However, such expectation is dependent upon, among other things, future governmental actions and demand for our products, the stability of our global supply chain, and the ability of carriers to transport procured commodities, components, and parts to our facilities and transport our products to our customers.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global economic slowdown caused by the COVID-19 pandemic, in mid-March 2020, we began experiencing softened demand in certain of our businesses. Within our Professional segment, the majority of our businesses were adversely impacted during our fiscal 2020 second quarter due to reduced demand from channel partners and end-customers. Most notably, our golf and grounds; irrigation; landscape contractor; and rental, specialty, and underground construction businesses were particularly affected by COVID-19. Demand for our golf and grounds and irrigation products decreased as a result of the curtailment and closure of certain business activities for golf courses and municipalities across the globe resulting in lower overall revenues and budget constraints and a preference for repairs and deferrals over new equipment purchases. The decrease in demand for our landscape contractor business was primarily due to channel partners aligning field inventory levels with reduced retail demand from end-customers. Our rental, specialty, and underground construction business experienced reduced demand as a result of curtailed investments by end-customers in the oil and gas and construction industries. We currently expect this reduced demand in our Professional segment business to continue, particularly if adverse economic and recessionary conditions continue or worsen. Contrary to the impact experienced in the majority of our Professional segment businesses, our Residential segment experienced strong retail demand during the second quarter of fiscal 2020 for zero-turn riding mowers and walk power mowers partially due to the impacts of COVID-19 as, among other reasons, end-customers were subject to government mandated "shelter-in-place" and "stay-at-home" orders and experienced favorable spring weather conditions for property enhancement and maintenance activities in key regions of the globe. While the strong retail demand experienced in our Residential segment is a positive event in light of COVID-19, the shift to a greater percentage of Residential segment net sales as a percentage of consolidated net sales adversely impacted our gross margins for the for the three and six month periods ended May 1, 2020 and we expect will continue to adversely impact our gross margins.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an effort to partially mitigate the anticipated adverse impacts of COVID-19 on our fiscal 2020 Results of Operations, Financial Position, or Cash Flows as a result of lower demand we have experienced in certain of our businesses, we have taken and continue to take meaningful cost reduction measures across our organization to align our costs with anticipated lower sales volumes. These cost reduction measures include reducing production levels within our manufacturing facilities to align with anticipated reduced sales volumes; enacting tiered salary reductions and suspending merit-based salary increases and discretionary retirement fund contributions for the remainder of fiscal 2020; reducing discretionary spending; freezing the hiring of new employees; and delaying, reducing, or eliminating purchased services and travel. Additionally, we have proactively managed our working capital through various measures, and we expect to continue to do so, including, but not limited to, refinancing outstanding borrowings on our unsecured senior revolving credit facility with the net proceeds from a new three year term loan for $190.0 million, which also added incremental liquidity; reducing capital expenditures; continuing the curtailment of share repurchases under our Board authorized repurchase plan; reducing production levels within our manufacturing facilities to manage finished goods inventory levels to align with lower sales volumes; deferring receipts of commodities, components, and parts inventory to align with reduced production levels; and monitoring and participating in government economic stabilization efforts and certain legislative provisions, such as deferring certain tax payments, as applicable. We currently expect to continue paying our quarterly cash dividend to shareholders for the remainder of fiscal 2020. As a result of proactively managing our working capital and monitoring government economic stabilization efforts, our balance sheet and liquidity profile remains strong with available liquidity of approximately $798.1 million as of May 1, 2020, consisting of cash and cash equivalents of approximately $200.0 million and availability under our unsecured senior revolving credit facility of $598.1 million.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Significant uncertainty still exists concerning the anticipated future magnitude of the impact and duration of COVID-19. We intend to continue to monitor the rapidly evolving situation and the guidance from global government authorities, as well as federal, state, local and foreign public health authorities, and may take additional meaningful actions based on their requirements and recommendations to attempt to protect the health and wellbeing of our employees, customers, suppliers, and communities. In these circumstances, there may be developments outside our control requiring us to adjust our operating plan and cost reduction measures and such developments could occur rapidly. Given the many evolving COVID-19 related factors, risks, and challenges that could negatively impact our business, we withdrew our fiscal 2020 detailed financial guidance on March 30, 2020. Many of these uncertainties still remain and as a result, we are not in a position to provide detailed financial guidance for our third quarter or full year of fiscal 2020 at this time nor do we have the ability to predict the level of impact of COVID-19 on our business and related Results of Operations, Financial Position, or Cash Flows. We currently believe that the current market trends will continue throughout the remainder of our fiscal year, including customer budget constraints and cash preservation and a preference for repairs and deferrals over new equipment purchases in our Professional segment, as well as higher demand in our Residential segment. We expect that the third quarter of fiscal 2020 will be the most challenging quarter for our business with the most significant year-over-year net sales and diluted earnings per share declines experienced and we currently expect negative year-over-year fourth quarter net sales and diluted earnings per share growth. However, if adverse impacts from COVID-19 continue for an extended period of time or worsen, our business and related Results of Operations, Financial Position, or Cash Flows could continue to be adversely impacted. Sustained adverse impacts to our business and certain suppliers or customers may also affect the future valuation of certain of our assets and therefore, may increase the likelihood of a charge related to an impairment, write-off, or reserve associated with such assets, including, but not limited to, goodwill, indefinite and finite-lived intangible assets, inventories, accounts receivable, deferred income taxes, and property, plant and equipment. Such a charge could be material to our future Results of Operations, Financial Position, or Cash Flows.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information regarding risks associated with COVID-19, refer to the section titled "Forward-Looking Information" located at the end of Part I, Item 2 and the section titled "Risk Factors" located within Part II, Item 1A,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consolidated net sales for the second quarter of fiscal 2020 were $929.4 million, down 3.4 percent compared to $962.0 million in the second quarter of fiscal 2019. For the year-to-date period of fiscal 2020, worldwide consolidated net sales were $1,696.9 million, up 8.4 percent compared to $1,565.0 million from the same period in the prior fiscal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Professional segment net sales for the second quarter of fiscal 2020 were $661.1 million, a decrease of 8.6 percent compared to $723.5 million in the second quarter of the prior fiscal year. This decrease was primarily due to the unfavorable impact of COVID-19 on our Professional businesses, partially offset by incremental net sales as a result of our acquisitions of CMW and Venture Products. For the year-to-date period of fiscal 2020, Professional segment net sales were $1,255.8 million, an increase of 6.6 percent compared to $1,178.5 million in the prior fiscal year comparable period. This increase was driven by incremental net sales as a result of our acquisitions of CMW and Venture Products, partially offset by the unfavorable impact of COVID-19 on our Professional businesses.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Residential segment net sales for the second quarter of fiscal 2020 were $262.0 million, an increase of 12.9 percent compared to $232.1 million in the second quarter of the prior fiscal year. For the year-to-date period of fiscal 2020, Residential segment net sales were $427.8 million, an increase of 13.4 percent compared to $377.3 million in the prior fiscal year comparable period. These increases were mainly driven by incremental sales to our expanded mass retail channel and strong retail demand driven by favorable weather conditions in key regions, new and enhanced products, and government mandated "shelter-in-place" and "stay-at-home" orders.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earnings for the second quarter of fiscal 2020 were $98.4 million, or $0.91 per diluted share, compared to $115.6 million, or $1.07 per diluted share, for the second quarter of fiscal 2019. Net earnings for the first six months of fiscal 2020 were $168.5 million, or $1.55 per diluted share, compared to net earnings of $175.1 million, or $1.62 per diluted share in the comparable fiscal 2019 period.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Non-GAAP net earnings for the second quarter of fiscal 2020 were $100.2 million, or $0.92 per diluted share, compared to $126.0 million, or $1.17 per diluted share, for the prior fiscal year comparative period, a decrease of 21.4 percent per diluted share. Non-GAAP net earnings for the first six months of fiscal 2020 were $169.8 million, or $1.56 per diluted share, compared to $182.7 million, or $1.69 per diluted share, in the comparable fiscal 2019 period, a decrease of 7.7 percent per diluted share. Reconciliations of non-GAAP financial measures to the most directly comparable reported U.S. GAAP financial measures are included in the section titled "Non-GAAP Financial Measures" within this MD&amp;A.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second quarter of fiscal 2020 by 11.1 percent to $0.25 per share compared to the $0.225 per share cash dividend paid in the second quarter of fiscal 2019.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Field inventory levels were slightly higher as of the end of the second quarter of fiscal 2020 compared to the second quarter of fiscal 2019, primarily as a result of higher Residential segment field inventory due to shipments into our expanded mass retail channel and incremental field inventories within our Professional segment as a result of the acquisition of Venture Products, partially offset by reduced field inventories in our golf and grounds and landscape contractor businesses as our channel partners aligned field inventory levels with anticipated retail demand for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the first two fiscal years of our Vision 2020 initiative, we set specific financial goals, which included organic revenue and operating earnings growth. After our transformational acquisition of CMW, we changed the focus of our third and final fiscal year of our Vision 2020 initiative to a revised enterprise-wide performance goal of achieving non-GAAP operating earnings of $485.0 million. However, as a result of COVID-19 and its impact on our fiscal 2020 Results of Operations experienced to date, we do not expect to meet this enterprise-wide performance goal for fiscal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Worldwide consolidated net sales for the second quarter of fiscal 2020 were $929.4 million, down 3.4 percent compared to $962.0 million in the second quarter of fiscal 2019. This decrease was primarily the result of reduced net sales in the majority of our Professional segment businesses due to reduced demand from channel partners and end-customers as a result of COVID-19. Within our Professional segment businesses, the decrease was primarily due to fewer shipments of golf and grounds equipment and irrigation products as a result of the curtailment and closure of certain business activities for golf courses and municipalities across the globe resulting in lower overall revenues and budget constraints and a preference for repairs and deferrals over new equipment purchases; fewer shipments of our landscape contractor zero-turn riding mowers as our channel partners aligned field inventory levels with reduced retail demand for our products; and reduced sales of our rental, specialty, and underground construction equipment as a result of the global economic slowdown experienced during our fiscal 2020 second quarter that unfavorably impacted the oil and gas and construction industries. These net sales decreases were partially offset by incremental sales in our Professional segment as a result of our acquisitions of CMW and Venture Products, as well as an increase in net sales in our Residential segment driven by incremental shipments of zero-turn riding mowers and walk power mowers as a result of our expanded mass retail channel and strong retail demand driven by favorable spring weather conditions in key regions, new and enhanced products, and government mandated "shelter-in-place" and "stay-at-home" orders.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year-to-date period of fiscal 2020, worldwide consolidated net sales were $1,696.9 million, up 8.4 percent compared to $1,565.0 million from the same period in the prior fiscal year. This increase was primarily driven by incremental sales in our Professional segment as a result of our acquisitions of CMW and Venture Products, as well as an increase in net sales in our Residential segment driven by incremental shipments of zero-turn riding mowers and walk power mowers as a result of our expanded mass retail channel and strong retail demand driven by favorable spring weather conditions in key regions, new and enhanced products, and government mandated "shelter-in-place" and "stay-at-home" orders. These increases were partially offset by reductions in net sales for the majority of our Professional segment businesses due to reduced demand from channel partners and end-customers as a result of COVID-</w:t>
      </w:r>
    </w:p>
    <w:p>
      <w:pPr>
        <w:spacing w:after="0" w:line="4" w:lineRule="exact"/>
        <w:rPr>
          <w:sz w:val="20"/>
          <w:szCs w:val="20"/>
          <w:color w:val="auto"/>
        </w:rPr>
      </w:pPr>
    </w:p>
    <w:p>
      <w:pPr>
        <w:jc w:val="both"/>
        <w:ind w:firstLine="8"/>
        <w:spacing w:after="0" w:line="270" w:lineRule="auto"/>
        <w:tabs>
          <w:tab w:leader="none" w:pos="2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Within our Professional segment businesses, the decrease was primarily due to fewer shipments of golf and grounds equipment and irrigation products as a result of the curtailment and closure of certain business activities for golf courses and municipalities across the globe resulting in lower overall revenues and budget constraints and a preference for repairs and deferrals over new equipment purchases; fewer shipments of our landscape contractor zero-turn riding mowers as our channel partners aligned field inventory levels with reduced retail demand for our products; and reduced sales volumes for our rental, specialty, and underground construction equipment as a result of the global economic slowdown experienced during our fiscal 2020 second quarter that unfavorably impacted the oil and gas and construction industries.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in international markets decreased by 16.9 percent and 0.7 percent for the second quarter and year-to-date periods of fiscal 2020, respectively. Changes in foreign currency exchange rates resulted in a decrease in our net sales of approximately $5.4 million and $4.9 million for the second quarter and year-to-date periods of fiscal 2020, respectively. The net sales decrease for the quarter comparison was mainly due to decreased sales of golf and grounds and irrigation equipment, walk-power mowers, zero-turn riding mowers, and Pope-branded irrigation products as a result of COVID-19 related government mandated business curtailment measures in key global regions, partially offset by incremental sales as a result of our acquisitions of CMW and Venture Products and higher shipments of our ag-irrigation products due to favorable weather conditions in key regions. The net sales decrease for the year-to-date comparison was mainly due to decreased sales of golf and grounds and irrigation equipment, zero-turn riding mowers, and walk power mowers as a result of COVID-19 related government mandated business curtailment measures in key global regions, partially offset by incremental sales as a result of our acquisitions of CMW and Venture Products and higher shipments of our ag-irrigation products due to favorable weather conditions in key regions.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tcPr>
          <w:p>
            <w:pPr>
              <w:spacing w:after="0"/>
              <w:rPr>
                <w:sz w:val="19"/>
                <w:szCs w:val="19"/>
                <w:color w:val="auto"/>
              </w:rPr>
            </w:pPr>
          </w:p>
        </w:tc>
        <w:tc>
          <w:tcPr>
            <w:tcW w:w="4040" w:type="dxa"/>
            <w:vAlign w:val="bottom"/>
            <w:gridSpan w:val="2"/>
          </w:tcPr>
          <w:p>
            <w:pPr>
              <w:jc w:val="right"/>
              <w:ind w:right="895"/>
              <w:spacing w:after="0"/>
              <w:rPr>
                <w:sz w:val="20"/>
                <w:szCs w:val="20"/>
                <w:color w:val="auto"/>
              </w:rPr>
            </w:pPr>
            <w:r>
              <w:rPr>
                <w:rFonts w:ascii="Arial" w:cs="Arial" w:eastAsia="Arial" w:hAnsi="Arial"/>
                <w:sz w:val="17"/>
                <w:szCs w:val="17"/>
                <w:b w:val="1"/>
                <w:bCs w:val="1"/>
                <w:color w:val="auto"/>
              </w:rPr>
              <w:t>Three Months Ended</w:t>
            </w:r>
          </w:p>
        </w:tc>
        <w:tc>
          <w:tcPr>
            <w:tcW w:w="3200" w:type="dxa"/>
            <w:vAlign w:val="bottom"/>
            <w:gridSpan w:val="2"/>
          </w:tcPr>
          <w:p>
            <w:pPr>
              <w:jc w:val="right"/>
              <w:ind w:right="85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0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3"/>
        </w:trPr>
        <w:tc>
          <w:tcPr>
            <w:tcW w:w="4000" w:type="dxa"/>
            <w:vAlign w:val="bottom"/>
          </w:tcPr>
          <w:p>
            <w:pPr>
              <w:spacing w:after="0"/>
              <w:rPr>
                <w:sz w:val="20"/>
                <w:szCs w:val="20"/>
                <w:color w:val="auto"/>
              </w:rPr>
            </w:pPr>
          </w:p>
        </w:tc>
        <w:tc>
          <w:tcPr>
            <w:tcW w:w="2360" w:type="dxa"/>
            <w:vAlign w:val="bottom"/>
          </w:tcPr>
          <w:p>
            <w:pPr>
              <w:jc w:val="right"/>
              <w:ind w:right="395"/>
              <w:spacing w:after="0"/>
              <w:rPr>
                <w:sz w:val="20"/>
                <w:szCs w:val="20"/>
                <w:color w:val="auto"/>
              </w:rPr>
            </w:pPr>
            <w:r>
              <w:rPr>
                <w:rFonts w:ascii="Arial" w:cs="Arial" w:eastAsia="Arial" w:hAnsi="Arial"/>
                <w:sz w:val="17"/>
                <w:szCs w:val="17"/>
                <w:b w:val="1"/>
                <w:bCs w:val="1"/>
                <w:color w:val="auto"/>
              </w:rPr>
              <w:t>May 1, 2020</w:t>
            </w:r>
          </w:p>
        </w:tc>
        <w:tc>
          <w:tcPr>
            <w:tcW w:w="1680" w:type="dxa"/>
            <w:vAlign w:val="bottom"/>
          </w:tcPr>
          <w:p>
            <w:pPr>
              <w:jc w:val="right"/>
              <w:ind w:right="395"/>
              <w:spacing w:after="0"/>
              <w:rPr>
                <w:sz w:val="20"/>
                <w:szCs w:val="20"/>
                <w:color w:val="auto"/>
              </w:rPr>
            </w:pPr>
            <w:r>
              <w:rPr>
                <w:rFonts w:ascii="Arial" w:cs="Arial" w:eastAsia="Arial" w:hAnsi="Arial"/>
                <w:sz w:val="17"/>
                <w:szCs w:val="17"/>
                <w:b w:val="1"/>
                <w:bCs w:val="1"/>
                <w:color w:val="auto"/>
              </w:rPr>
              <w:t>May 3, 2019</w:t>
            </w:r>
          </w:p>
        </w:tc>
        <w:tc>
          <w:tcPr>
            <w:tcW w:w="1660" w:type="dxa"/>
            <w:vAlign w:val="bottom"/>
          </w:tcPr>
          <w:p>
            <w:pPr>
              <w:jc w:val="right"/>
              <w:ind w:right="395"/>
              <w:spacing w:after="0"/>
              <w:rPr>
                <w:sz w:val="20"/>
                <w:szCs w:val="20"/>
                <w:color w:val="auto"/>
              </w:rPr>
            </w:pPr>
            <w:r>
              <w:rPr>
                <w:rFonts w:ascii="Arial" w:cs="Arial" w:eastAsia="Arial" w:hAnsi="Arial"/>
                <w:sz w:val="17"/>
                <w:szCs w:val="17"/>
                <w:b w:val="1"/>
                <w:bCs w:val="1"/>
                <w:color w:val="auto"/>
              </w:rPr>
              <w:t>May 1, 2020</w:t>
            </w:r>
          </w:p>
        </w:tc>
        <w:tc>
          <w:tcPr>
            <w:tcW w:w="154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0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2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100.0%</w:t>
            </w:r>
          </w:p>
        </w:tc>
        <w:tc>
          <w:tcPr>
            <w:tcW w:w="16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100.0%</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100.0%</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r>
      <w:tr>
        <w:trPr>
          <w:trHeight w:val="239"/>
        </w:trPr>
        <w:tc>
          <w:tcPr>
            <w:tcW w:w="400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2360" w:type="dxa"/>
            <w:vAlign w:val="bottom"/>
          </w:tcPr>
          <w:p>
            <w:pPr>
              <w:jc w:val="right"/>
              <w:ind w:right="315"/>
              <w:spacing w:after="0"/>
              <w:rPr>
                <w:sz w:val="20"/>
                <w:szCs w:val="20"/>
                <w:color w:val="auto"/>
              </w:rPr>
            </w:pPr>
            <w:r>
              <w:rPr>
                <w:rFonts w:ascii="Arial" w:cs="Arial" w:eastAsia="Arial" w:hAnsi="Arial"/>
                <w:sz w:val="17"/>
                <w:szCs w:val="17"/>
                <w:color w:val="auto"/>
              </w:rPr>
              <w:t>(67.0)</w:t>
            </w:r>
          </w:p>
        </w:tc>
        <w:tc>
          <w:tcPr>
            <w:tcW w:w="1680" w:type="dxa"/>
            <w:vAlign w:val="bottom"/>
          </w:tcPr>
          <w:p>
            <w:pPr>
              <w:jc w:val="right"/>
              <w:ind w:right="315"/>
              <w:spacing w:after="0"/>
              <w:rPr>
                <w:sz w:val="20"/>
                <w:szCs w:val="20"/>
                <w:color w:val="auto"/>
              </w:rPr>
            </w:pPr>
            <w:r>
              <w:rPr>
                <w:rFonts w:ascii="Arial" w:cs="Arial" w:eastAsia="Arial" w:hAnsi="Arial"/>
                <w:sz w:val="17"/>
                <w:szCs w:val="17"/>
                <w:color w:val="auto"/>
              </w:rPr>
              <w:t>(66.6)</w:t>
            </w:r>
          </w:p>
        </w:tc>
        <w:tc>
          <w:tcPr>
            <w:tcW w:w="1660" w:type="dxa"/>
            <w:vAlign w:val="bottom"/>
          </w:tcPr>
          <w:p>
            <w:pPr>
              <w:jc w:val="right"/>
              <w:ind w:right="295"/>
              <w:spacing w:after="0"/>
              <w:rPr>
                <w:sz w:val="20"/>
                <w:szCs w:val="20"/>
                <w:color w:val="auto"/>
              </w:rPr>
            </w:pPr>
            <w:r>
              <w:rPr>
                <w:rFonts w:ascii="Arial" w:cs="Arial" w:eastAsia="Arial" w:hAnsi="Arial"/>
                <w:sz w:val="17"/>
                <w:szCs w:val="17"/>
                <w:color w:val="auto"/>
              </w:rPr>
              <w:t>(64.9)</w:t>
            </w:r>
          </w:p>
        </w:tc>
        <w:tc>
          <w:tcPr>
            <w:tcW w:w="1540" w:type="dxa"/>
            <w:vAlign w:val="bottom"/>
          </w:tcPr>
          <w:p>
            <w:pPr>
              <w:jc w:val="right"/>
              <w:ind w:right="175"/>
              <w:spacing w:after="0"/>
              <w:rPr>
                <w:sz w:val="20"/>
                <w:szCs w:val="20"/>
                <w:color w:val="auto"/>
              </w:rPr>
            </w:pPr>
            <w:r>
              <w:rPr>
                <w:rFonts w:ascii="Arial" w:cs="Arial" w:eastAsia="Arial" w:hAnsi="Arial"/>
                <w:sz w:val="17"/>
                <w:szCs w:val="17"/>
                <w:color w:val="auto"/>
              </w:rPr>
              <w:t>(65.7)</w:t>
            </w:r>
          </w:p>
        </w:tc>
      </w:tr>
      <w:tr>
        <w:trPr>
          <w:trHeight w:val="31"/>
        </w:trPr>
        <w:tc>
          <w:tcPr>
            <w:tcW w:w="40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23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33.0</w:t>
            </w:r>
          </w:p>
        </w:tc>
        <w:tc>
          <w:tcPr>
            <w:tcW w:w="16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33.4</w:t>
            </w:r>
          </w:p>
        </w:tc>
        <w:tc>
          <w:tcPr>
            <w:tcW w:w="16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35.1</w:t>
            </w:r>
          </w:p>
        </w:tc>
        <w:tc>
          <w:tcPr>
            <w:tcW w:w="15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34.3</w:t>
            </w:r>
          </w:p>
        </w:tc>
      </w:tr>
      <w:tr>
        <w:trPr>
          <w:trHeight w:val="239"/>
        </w:trPr>
        <w:tc>
          <w:tcPr>
            <w:tcW w:w="400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360" w:type="dxa"/>
            <w:vAlign w:val="bottom"/>
          </w:tcPr>
          <w:p>
            <w:pPr>
              <w:jc w:val="right"/>
              <w:ind w:right="315"/>
              <w:spacing w:after="0"/>
              <w:rPr>
                <w:sz w:val="20"/>
                <w:szCs w:val="20"/>
                <w:color w:val="auto"/>
              </w:rPr>
            </w:pPr>
            <w:r>
              <w:rPr>
                <w:rFonts w:ascii="Arial" w:cs="Arial" w:eastAsia="Arial" w:hAnsi="Arial"/>
                <w:sz w:val="17"/>
                <w:szCs w:val="17"/>
                <w:color w:val="auto"/>
              </w:rPr>
              <w:t>(19.5)</w:t>
            </w:r>
          </w:p>
        </w:tc>
        <w:tc>
          <w:tcPr>
            <w:tcW w:w="1680" w:type="dxa"/>
            <w:vAlign w:val="bottom"/>
          </w:tcPr>
          <w:p>
            <w:pPr>
              <w:jc w:val="right"/>
              <w:ind w:right="315"/>
              <w:spacing w:after="0"/>
              <w:rPr>
                <w:sz w:val="20"/>
                <w:szCs w:val="20"/>
                <w:color w:val="auto"/>
              </w:rPr>
            </w:pPr>
            <w:r>
              <w:rPr>
                <w:rFonts w:ascii="Arial" w:cs="Arial" w:eastAsia="Arial" w:hAnsi="Arial"/>
                <w:sz w:val="17"/>
                <w:szCs w:val="17"/>
                <w:color w:val="auto"/>
              </w:rPr>
              <w:t>(19.1)</w:t>
            </w:r>
          </w:p>
        </w:tc>
        <w:tc>
          <w:tcPr>
            <w:tcW w:w="1660" w:type="dxa"/>
            <w:vAlign w:val="bottom"/>
          </w:tcPr>
          <w:p>
            <w:pPr>
              <w:jc w:val="right"/>
              <w:ind w:right="295"/>
              <w:spacing w:after="0"/>
              <w:rPr>
                <w:sz w:val="20"/>
                <w:szCs w:val="20"/>
                <w:color w:val="auto"/>
              </w:rPr>
            </w:pPr>
            <w:r>
              <w:rPr>
                <w:rFonts w:ascii="Arial" w:cs="Arial" w:eastAsia="Arial" w:hAnsi="Arial"/>
                <w:sz w:val="17"/>
                <w:szCs w:val="17"/>
                <w:color w:val="auto"/>
              </w:rPr>
              <w:t>(22.3)</w:t>
            </w:r>
          </w:p>
        </w:tc>
        <w:tc>
          <w:tcPr>
            <w:tcW w:w="1540" w:type="dxa"/>
            <w:vAlign w:val="bottom"/>
          </w:tcPr>
          <w:p>
            <w:pPr>
              <w:jc w:val="right"/>
              <w:ind w:right="175"/>
              <w:spacing w:after="0"/>
              <w:rPr>
                <w:sz w:val="20"/>
                <w:szCs w:val="20"/>
                <w:color w:val="auto"/>
              </w:rPr>
            </w:pPr>
            <w:r>
              <w:rPr>
                <w:rFonts w:ascii="Arial" w:cs="Arial" w:eastAsia="Arial" w:hAnsi="Arial"/>
                <w:sz w:val="17"/>
                <w:szCs w:val="17"/>
                <w:color w:val="auto"/>
              </w:rPr>
              <w:t>(21.0)</w:t>
            </w:r>
          </w:p>
        </w:tc>
      </w:tr>
      <w:tr>
        <w:trPr>
          <w:trHeight w:val="31"/>
        </w:trPr>
        <w:tc>
          <w:tcPr>
            <w:tcW w:w="40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earnings</w:t>
            </w:r>
          </w:p>
        </w:tc>
        <w:tc>
          <w:tcPr>
            <w:tcW w:w="23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13.5</w:t>
            </w:r>
          </w:p>
        </w:tc>
        <w:tc>
          <w:tcPr>
            <w:tcW w:w="16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14.3</w:t>
            </w:r>
          </w:p>
        </w:tc>
        <w:tc>
          <w:tcPr>
            <w:tcW w:w="16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12.8</w:t>
            </w:r>
          </w:p>
        </w:tc>
        <w:tc>
          <w:tcPr>
            <w:tcW w:w="15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13.3</w:t>
            </w:r>
          </w:p>
        </w:tc>
      </w:tr>
      <w:tr>
        <w:trPr>
          <w:trHeight w:val="239"/>
        </w:trPr>
        <w:tc>
          <w:tcPr>
            <w:tcW w:w="400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2360" w:type="dxa"/>
            <w:vAlign w:val="bottom"/>
          </w:tcPr>
          <w:p>
            <w:pPr>
              <w:jc w:val="right"/>
              <w:ind w:right="315"/>
              <w:spacing w:after="0"/>
              <w:rPr>
                <w:sz w:val="20"/>
                <w:szCs w:val="20"/>
                <w:color w:val="auto"/>
              </w:rPr>
            </w:pPr>
            <w:r>
              <w:rPr>
                <w:rFonts w:ascii="Arial" w:cs="Arial" w:eastAsia="Arial" w:hAnsi="Arial"/>
                <w:sz w:val="17"/>
                <w:szCs w:val="17"/>
                <w:color w:val="auto"/>
              </w:rPr>
              <w:t>(0.9)</w:t>
            </w:r>
          </w:p>
        </w:tc>
        <w:tc>
          <w:tcPr>
            <w:tcW w:w="1680" w:type="dxa"/>
            <w:vAlign w:val="bottom"/>
          </w:tcPr>
          <w:p>
            <w:pPr>
              <w:jc w:val="right"/>
              <w:ind w:right="315"/>
              <w:spacing w:after="0"/>
              <w:rPr>
                <w:sz w:val="20"/>
                <w:szCs w:val="20"/>
                <w:color w:val="auto"/>
              </w:rPr>
            </w:pPr>
            <w:r>
              <w:rPr>
                <w:rFonts w:ascii="Arial" w:cs="Arial" w:eastAsia="Arial" w:hAnsi="Arial"/>
                <w:sz w:val="17"/>
                <w:szCs w:val="17"/>
                <w:color w:val="auto"/>
              </w:rPr>
              <w:t>(0.7)</w:t>
            </w:r>
          </w:p>
        </w:tc>
        <w:tc>
          <w:tcPr>
            <w:tcW w:w="1660" w:type="dxa"/>
            <w:vAlign w:val="bottom"/>
          </w:tcPr>
          <w:p>
            <w:pPr>
              <w:jc w:val="right"/>
              <w:ind w:right="295"/>
              <w:spacing w:after="0"/>
              <w:rPr>
                <w:sz w:val="20"/>
                <w:szCs w:val="20"/>
                <w:color w:val="auto"/>
              </w:rPr>
            </w:pPr>
            <w:r>
              <w:rPr>
                <w:rFonts w:ascii="Arial" w:cs="Arial" w:eastAsia="Arial" w:hAnsi="Arial"/>
                <w:sz w:val="17"/>
                <w:szCs w:val="17"/>
                <w:color w:val="auto"/>
              </w:rPr>
              <w:t>(1.0)</w:t>
            </w:r>
          </w:p>
        </w:tc>
        <w:tc>
          <w:tcPr>
            <w:tcW w:w="1540" w:type="dxa"/>
            <w:vAlign w:val="bottom"/>
          </w:tcPr>
          <w:p>
            <w:pPr>
              <w:jc w:val="right"/>
              <w:ind w:right="175"/>
              <w:spacing w:after="0"/>
              <w:rPr>
                <w:sz w:val="20"/>
                <w:szCs w:val="20"/>
                <w:color w:val="auto"/>
              </w:rPr>
            </w:pPr>
            <w:r>
              <w:rPr>
                <w:rFonts w:ascii="Arial" w:cs="Arial" w:eastAsia="Arial" w:hAnsi="Arial"/>
                <w:sz w:val="17"/>
                <w:szCs w:val="17"/>
                <w:color w:val="auto"/>
              </w:rPr>
              <w:t>(0.7)</w:t>
            </w:r>
          </w:p>
        </w:tc>
      </w:tr>
      <w:tr>
        <w:trPr>
          <w:trHeight w:val="31"/>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23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0.5</w:t>
            </w:r>
          </w:p>
        </w:tc>
        <w:tc>
          <w:tcPr>
            <w:tcW w:w="16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0.7</w:t>
            </w:r>
          </w:p>
        </w:tc>
        <w:tc>
          <w:tcPr>
            <w:tcW w:w="16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0.4</w:t>
            </w:r>
          </w:p>
        </w:tc>
        <w:tc>
          <w:tcPr>
            <w:tcW w:w="15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0.6</w:t>
            </w:r>
          </w:p>
        </w:tc>
      </w:tr>
      <w:tr>
        <w:trPr>
          <w:trHeight w:val="237"/>
        </w:trPr>
        <w:tc>
          <w:tcPr>
            <w:tcW w:w="4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236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13.1</w:t>
            </w:r>
          </w:p>
        </w:tc>
        <w:tc>
          <w:tcPr>
            <w:tcW w:w="16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14.3</w:t>
            </w:r>
          </w:p>
        </w:tc>
        <w:tc>
          <w:tcPr>
            <w:tcW w:w="16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color w:val="auto"/>
              </w:rPr>
              <w:t>12.2</w:t>
            </w:r>
          </w:p>
        </w:tc>
        <w:tc>
          <w:tcPr>
            <w:tcW w:w="154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13.2</w:t>
            </w:r>
          </w:p>
        </w:tc>
      </w:tr>
      <w:tr>
        <w:trPr>
          <w:trHeight w:val="27"/>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3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(2.5)</w:t>
            </w:r>
          </w:p>
        </w:tc>
        <w:tc>
          <w:tcPr>
            <w:tcW w:w="16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(2.3)</w:t>
            </w:r>
          </w:p>
        </w:tc>
        <w:tc>
          <w:tcPr>
            <w:tcW w:w="1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(2.3)</w:t>
            </w:r>
          </w:p>
        </w:tc>
        <w:tc>
          <w:tcPr>
            <w:tcW w:w="15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(2.0)</w:t>
            </w:r>
          </w:p>
        </w:tc>
      </w:tr>
      <w:tr>
        <w:trPr>
          <w:trHeight w:val="233"/>
        </w:trPr>
        <w:tc>
          <w:tcPr>
            <w:tcW w:w="40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Net earnings</w:t>
            </w:r>
          </w:p>
        </w:tc>
        <w:tc>
          <w:tcPr>
            <w:tcW w:w="236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10.6%</w:t>
            </w:r>
          </w:p>
        </w:tc>
        <w:tc>
          <w:tcPr>
            <w:tcW w:w="168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12.0%</w:t>
            </w:r>
          </w:p>
        </w:tc>
        <w:tc>
          <w:tcPr>
            <w:tcW w:w="166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9.9%</w:t>
            </w:r>
          </w:p>
        </w:tc>
        <w:tc>
          <w:tcPr>
            <w:tcW w:w="15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11.2%</w:t>
            </w:r>
          </w:p>
        </w:tc>
      </w:tr>
      <w:tr>
        <w:trPr>
          <w:trHeight w:val="31"/>
        </w:trPr>
        <w:tc>
          <w:tcPr>
            <w:tcW w:w="40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Gross profit for the second quarter of fiscal 2020 was $306.7 million, down 4.5 percent compared to $321.3 million in the second quarter of fiscal 2019. Gross margin for the second quarter of fiscal 2020 was 33.0 percent, a decrease of 40 basis points when compared to the second quarter of fiscal 2019. The decrease in gross margin for the second quarter comparison was primarily due to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and unfavorable product mix primarily due to higher sales of Residential segment products as a percentage of total consolidated net sales, partially offset by the favorable impact of strategic productivity and synergy initiatives, favorable net price realization within our Professional segment due to fewer sales promotion activities as a result of reduced demand and a revised floor plan financing rate structure as a result of the amendments to certain agreements pertaining to our Red Iron joint venture, and lower costs of commodities and tariffs. Non-GAAP gross profit for the second quarter of fiscal 2020 was $310.0 million, down 6.3 percent compared to $330.8 million in the second quarter of fiscal 2019. Non-GAAP gross margin was 33.4 percent for the second quarter of fiscal 2020 compared to 34.4 percent for the second quarter of fiscal 2019, a decrease of 100 basis points. The decrease in non-GAAP gross margin is a result of the same factors noted above for the decrease to gross margin for the second quarter of fiscal 2020, as well as decreased acquisition-related costs for the fiscal 2020 acquisition of Venture Products as compared to the fiscal 2019 acquisition of CMW, partially offset by the incremental adjustment for management actions related to inventory write-down charges for the wind down of our Toro-branded large horizontal directional drill and riding trencher product line ("Toro underground wind down").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Gross profit for the year-to-date period of fiscal 2020 was $594.8 million, up 10.8 percent compared to $536.9 million in the same period of fiscal 2019. Gross margin for the year-to-date period of fiscal 2020 was 35.1 percent, an increase of 80 basis points when compared to the same period of fiscal 2019. The increase in gross margin for the year-to-date comparison was primarily due to the favorable impact of strategic productivity and synergy initiatives, favorable net price realization within our Professional segment due to fewer sales promotion activities as a result of reduced demand and a revised floor plan financing rate structure as a result of the amendments to certain agreements pertaining to our Red Iron joint venture, and lower costs of commodities and tariffs. The gross margin increase was partially offset by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and unfavorable product mix primarily due to higher sales of Residential segment products as a percentage of total consolidated net sales. Non-GAAP gross profit for the year-to-date period of fiscal 2020 was $598.5 million, up 9.5 percent compared to $546.4 million in the same period of fiscal 2019. Non-GAAP gross margin was 35.3 percent for the year-to-date period of fiscal 2020 compared to 34.9 percent for the same year-to-date period of fiscal 2019, an increase of 40 basis points. The increase in non-GAAP gross margin is a result of the same factors noted above for the increase to gross margin for the year-to-date period of fiscal 2020, as well as the adjustment for management actions related to inventory write-down charges for the Toro underground wind down, partially offset by a decrease in acquisition-related costs for the fiscal 2020 acquisition of Venture Products as compared to the fiscal 2019 acquisition of CMW.</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Non-GAAP gross profit and non-GAAP gross margin exclude the impact of acquisition-related costs related to our acquisitions of Venture Products and CMW, including charges incurred for the take-down of the inventory fair value step up amounts resulting from purchase accounting adjustments in both acquisitions and the amortization of the backlog intangible asset resulting from purchase accounting adjustments for the CMW acquisition, and the impact of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Measures"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expense decreased $2.7 million, or 1.4 percent, for the second quarter of fiscal 2020 and increased $48.7 million, or 14.8 percent, for the year-to-date period of fiscal 2020. As a percentage of net sales, SG&amp;A expense increased 40 basis points for the second quarter of fiscal 2020 and increased 130 basis points for the year-to-date period of fiscal 2020. The increase in SG&amp;A expense as a percentage of net sales for the second quarter comparison was primarily due to incremental engineering, marketing, and service costs as a result of our acquisitions of CMW and Venture Products and higher warranty expense, partially offset by decreased incentive compensation costs as a result of diminished company performance due to COVID-19 and reduced transaction and integration costs incurred for the Venture Products acquisition in fiscal 2020 as compared to the transaction and integration costs incurred for the CMW acquisition in fiscal 2019. The increase in SG&amp;A expense as a percentage of net sales for the year-to-date comparison was primarily due to incremental administrative, marketing, engineering, and service costs as a result of our acquisitions of CMW and Venture Products and higher warranty expense, partially offset by decreased incentive compensation costs as a result of diminished company performance due to COVID-19 and reduced transaction and integration costs incurred for the Venture Products acquisition in fiscal 2020 as compared to the transaction and integration costs incurred for the CMW acquisition in fiscal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increased $2.0 million and $5.4 million for the second quarter and year-to-date periods of fiscal 2020 compared to the comparable periods of fiscal 2019. These increases were due to increased interest expense incurred on higher average outstanding borrowings under our financing arrangements as a result of our acquisitions of CMW and Venture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income, net for the second quarter and year-to-date periods of fiscal 2020 decreased $1.9 million and $3.5 million, respectively, compared to the same periods in fiscal 2019. The decrease for the second quarter comparison was primarily due to a settlement charge incurred for the termination of our U.S. defined benefit pension plan, lower income from our Red Iron joint venture as a result of the amendments to certain agreements pertaining to the joint venture and lower sales volume, and lower interest income on marketable securities, partially offset the favorable impact of foreign currency exchange rates. The decrease for the year-to-date comparison was primarily due to lower income from our Red Iron joint venture as a result of the amendments to certain agreements pertaining to the joint venture and lower sales volume, lower interest income on marketable securities, and a settlement charge incurred for the termination of our U.S. defined benefit pension plan, partially offset by the favorable impact of foreign currency exchange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effective tax rate for the second quarter and year-to-date periods of fiscal 2020 was 18.9 percent and 18.8 percent, respectively, compared to 15.8 percent and 15.5 percent in the same periods in fiscal 2019. These increases were due to a lower discrete tax benefit for the excess tax deduction for share-based compensation.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non-GAAP effective tax rate for the second quarter of fiscal 2020 was 20.0 percent, compared to a non-GAAP effective tax rate of 19.9 percent in the second quarter of fiscal 2019. The non-GAAP effective tax rate for the year-to-date period of fiscal 2020 was 20.4 percent, compared to a non-GAAP effective tax rate of 20.2 percent in the same period of fiscal 2019. The non-GAAP effective tax rate excludes the impact of acquisition-related costs related to our acquisitions of Venture Products and CMW, including transaction and integration costs and charges incurred related to certain purchase accounting adjustments; the impact of discrete tax benefits recorded as excess tax deductions for share-based compensation; and the impact of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earnings for the second quarter of fiscal 2020 were $98.4 million, or $0.91 per diluted share, compared to $115.6 million, or $1.07 per diluted share, for the second quarter of fiscal 2019. This decrease was primarily due to reduced gross margins largely as a result of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a lower discrete tax benefit for the excess tax deduction for share-based compensation, and increased interest expense due to higher average outstanding borrowings under our financing arrangements. The net earnings decrease was partially offset by the favorable impact of strategic productivity and synergy initiatives on gross margins, decreased incentive compensation costs, and reduced transaction and integration costs incurred for the Venture Products acquisition in fiscal 2020 as compared to the transaction and integration costs incurred for the CMW acquisition in fiscal 2019. Non-GAAP net earnings for the second quarter of fiscal 2020 were $100.2 million, or $0.92 per diluted share, compared to $126.0</w:t>
      </w:r>
    </w:p>
    <w:p>
      <w:pPr>
        <w:sectPr>
          <w:pgSz w:w="11900" w:h="16838" w:orient="portrait"/>
          <w:cols w:equalWidth="0" w:num="1">
            <w:col w:w="11240"/>
          </w:cols>
          <w:pgMar w:left="320" w:top="125"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million, or $1.17 per diluted share, for the second quarter of fiscal 2019, a decrease of 21.4 percent per diluted share. This decrease was primarily due to decreased gross margins largely as a result of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and increased interest expense due to higher average outstanding borrowings under our financing arrangements, partially offset by the favorable impact of strategic productivity and synergy initiatives on gross margins and decreased incentive compensation costs.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earnings for the first six months of fiscal 2020 were $168.5 million, or $1.55 per diluted share, compared to $175.1 million, or $1.62 per diluted share, for the same period of fiscal 2019. This decrease was primarily due to incremental administrative, marketing, engineering, and service costs as a result of our acquisitions of CMW and Venture Products, higher warranty expense, a lower discrete tax benefit for the excess tax deduction for share-based compensation, and increased interest expense due to higher average outstanding borrowings under our financing arrangements, partially offset by the favorable impact of strategic productivity and synergy initiatives, decreased incentive compensation costs, and reduced transaction and integration costs incurred for the Venture Products acquisition in fiscal 2020 as compared to the transaction and integration costs incurred for the CMW acquisition in fiscal 2019. Non-GAAP net earnings for the first six months of fiscal 2020 were $169.8 million, or $1.56 per diluted share, compared to $182.7 million, or $1.69 per diluted share for the same year-to-date period of fiscal 2019, a decrease of 7.7 percent per diluted share. This decrease was primarily due to incremental administrative, marketing, engineering, and service costs as a result of our acquisitions of CMW and Venture Products, higher warranty expense, and increased interest expense due to higher average outstanding borrowings under our financing arrangements, partially offset by the favorable impact of strategic productivity and synergy initiatives and decreased incentive compensation costs.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Non-GAAP net earnings and non-GAAP net earnings per diluted share exclude the impact of acquisition-related costs related to our acquisitions of Venture Products and CMW, including transaction and integration costs and charges incurred related to certain purchase accounting adjustments; the impact of discrete tax benefits recorded as excess tax deductions for share-based compensation; and the impact of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Red Iron joint venture,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net sales for our reportable business segments and Other activities: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1440" w:type="dxa"/>
            <w:vAlign w:val="bottom"/>
          </w:tcPr>
          <w:p>
            <w:pPr>
              <w:spacing w:after="0"/>
              <w:rPr>
                <w:sz w:val="19"/>
                <w:szCs w:val="19"/>
                <w:color w:val="auto"/>
              </w:rPr>
            </w:pP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44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1, 2020</w:t>
            </w:r>
          </w:p>
        </w:tc>
        <w:tc>
          <w:tcPr>
            <w:tcW w:w="30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340" w:type="dxa"/>
            <w:vAlign w:val="bottom"/>
          </w:tcPr>
          <w:p>
            <w:pPr>
              <w:spacing w:after="0"/>
              <w:rPr>
                <w:sz w:val="20"/>
                <w:szCs w:val="20"/>
                <w:color w:val="auto"/>
              </w:rPr>
            </w:pPr>
          </w:p>
        </w:tc>
        <w:tc>
          <w:tcPr>
            <w:tcW w:w="1440" w:type="dxa"/>
            <w:vAlign w:val="bottom"/>
          </w:tcPr>
          <w:p>
            <w:pPr>
              <w:jc w:val="right"/>
              <w:ind w:right="535"/>
              <w:spacing w:after="0"/>
              <w:rPr>
                <w:sz w:val="20"/>
                <w:szCs w:val="20"/>
                <w:color w:val="auto"/>
              </w:rPr>
            </w:pPr>
            <w:r>
              <w:rPr>
                <w:rFonts w:ascii="Arial" w:cs="Arial" w:eastAsia="Arial" w:hAnsi="Arial"/>
                <w:sz w:val="17"/>
                <w:szCs w:val="17"/>
                <w:b w:val="1"/>
                <w:bCs w:val="1"/>
                <w:color w:val="auto"/>
              </w:rPr>
              <w:t>$ Change</w:t>
            </w:r>
          </w:p>
        </w:tc>
        <w:tc>
          <w:tcPr>
            <w:tcW w:w="144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661,087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723,506</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(62,419)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44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261,998</w:t>
            </w:r>
          </w:p>
        </w:tc>
        <w:tc>
          <w:tcPr>
            <w:tcW w:w="3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232,147</w:t>
            </w:r>
          </w:p>
        </w:tc>
        <w:tc>
          <w:tcPr>
            <w:tcW w:w="340" w:type="dxa"/>
            <w:vAlign w:val="bottom"/>
          </w:tcPr>
          <w:p>
            <w:pPr>
              <w:spacing w:after="0"/>
              <w:rPr>
                <w:sz w:val="20"/>
                <w:szCs w:val="20"/>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29,851</w:t>
            </w:r>
          </w:p>
        </w:tc>
        <w:tc>
          <w:tcPr>
            <w:tcW w:w="1440" w:type="dxa"/>
            <w:vAlign w:val="bottom"/>
          </w:tcPr>
          <w:p>
            <w:pPr>
              <w:jc w:val="right"/>
              <w:ind w:right="135"/>
              <w:spacing w:after="0"/>
              <w:rPr>
                <w:sz w:val="20"/>
                <w:szCs w:val="20"/>
                <w:color w:val="auto"/>
              </w:rPr>
            </w:pPr>
            <w:r>
              <w:rPr>
                <w:rFonts w:ascii="Arial" w:cs="Arial" w:eastAsia="Arial" w:hAnsi="Arial"/>
                <w:sz w:val="17"/>
                <w:szCs w:val="17"/>
                <w:color w:val="auto"/>
              </w:rPr>
              <w:t>12.9</w:t>
            </w:r>
          </w:p>
        </w:tc>
      </w:tr>
      <w:tr>
        <w:trPr>
          <w:trHeight w:val="31"/>
        </w:trPr>
        <w:tc>
          <w:tcPr>
            <w:tcW w:w="3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6,313</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6,383</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(70)</w:t>
            </w: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w:t>
            </w:r>
          </w:p>
        </w:tc>
      </w:tr>
      <w:tr>
        <w:trPr>
          <w:trHeight w:val="233"/>
        </w:trPr>
        <w:tc>
          <w:tcPr>
            <w:tcW w:w="37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929,398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962,036</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(32,638)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71"/>
        </w:trPr>
        <w:tc>
          <w:tcPr>
            <w:tcW w:w="37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78"/>
        </w:trPr>
        <w:tc>
          <w:tcPr>
            <w:tcW w:w="37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*Includes international net sales of:</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182,044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219,077</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95"/>
              <w:spacing w:after="0"/>
              <w:rPr>
                <w:sz w:val="20"/>
                <w:szCs w:val="20"/>
                <w:color w:val="auto"/>
              </w:rPr>
            </w:pPr>
            <w:r>
              <w:rPr>
                <w:rFonts w:ascii="Arial" w:cs="Arial" w:eastAsia="Arial" w:hAnsi="Arial"/>
                <w:sz w:val="17"/>
                <w:szCs w:val="17"/>
                <w:color w:val="auto"/>
              </w:rPr>
              <w:t>(37,033)</w:t>
            </w:r>
          </w:p>
        </w:tc>
        <w:tc>
          <w:tcPr>
            <w:tcW w:w="144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68"/>
        </w:trPr>
        <w:tc>
          <w:tcPr>
            <w:tcW w:w="3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jc w:val="right"/>
              <w:ind w:right="915"/>
              <w:spacing w:after="0"/>
              <w:rPr>
                <w:sz w:val="20"/>
                <w:szCs w:val="20"/>
                <w:color w:val="auto"/>
              </w:rPr>
            </w:pPr>
            <w:r>
              <w:rPr>
                <w:rFonts w:ascii="Arial" w:cs="Arial" w:eastAsia="Arial" w:hAnsi="Arial"/>
                <w:sz w:val="17"/>
                <w:szCs w:val="17"/>
                <w:b w:val="1"/>
                <w:bCs w:val="1"/>
                <w:color w:val="auto"/>
              </w:rPr>
              <w:t>Six Months Ended</w:t>
            </w:r>
          </w:p>
        </w:tc>
        <w:tc>
          <w:tcPr>
            <w:tcW w:w="1440" w:type="dxa"/>
            <w:vAlign w:val="bottom"/>
          </w:tcPr>
          <w:p>
            <w:pPr>
              <w:spacing w:after="0"/>
              <w:rPr>
                <w:sz w:val="24"/>
                <w:szCs w:val="24"/>
                <w:color w:val="auto"/>
              </w:rPr>
            </w:pP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440" w:type="dxa"/>
            <w:vAlign w:val="bottom"/>
          </w:tcPr>
          <w:p>
            <w:pPr>
              <w:spacing w:after="0"/>
              <w:rPr>
                <w:sz w:val="20"/>
                <w:szCs w:val="20"/>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May 1, 2020</w:t>
            </w:r>
          </w:p>
        </w:tc>
        <w:tc>
          <w:tcPr>
            <w:tcW w:w="300" w:type="dxa"/>
            <w:vAlign w:val="bottom"/>
          </w:tcPr>
          <w:p>
            <w:pPr>
              <w:spacing w:after="0"/>
              <w:rPr>
                <w:sz w:val="20"/>
                <w:szCs w:val="20"/>
                <w:color w:val="auto"/>
              </w:rPr>
            </w:pP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May 3, 2019</w:t>
            </w:r>
          </w:p>
        </w:tc>
        <w:tc>
          <w:tcPr>
            <w:tcW w:w="340" w:type="dxa"/>
            <w:vAlign w:val="bottom"/>
          </w:tcPr>
          <w:p>
            <w:pPr>
              <w:spacing w:after="0"/>
              <w:rPr>
                <w:sz w:val="20"/>
                <w:szCs w:val="20"/>
                <w:color w:val="auto"/>
              </w:rPr>
            </w:pPr>
          </w:p>
        </w:tc>
        <w:tc>
          <w:tcPr>
            <w:tcW w:w="1440" w:type="dxa"/>
            <w:vAlign w:val="bottom"/>
          </w:tcPr>
          <w:p>
            <w:pPr>
              <w:jc w:val="right"/>
              <w:ind w:right="535"/>
              <w:spacing w:after="0"/>
              <w:rPr>
                <w:sz w:val="20"/>
                <w:szCs w:val="20"/>
                <w:color w:val="auto"/>
              </w:rPr>
            </w:pPr>
            <w:r>
              <w:rPr>
                <w:rFonts w:ascii="Arial" w:cs="Arial" w:eastAsia="Arial" w:hAnsi="Arial"/>
                <w:sz w:val="17"/>
                <w:szCs w:val="17"/>
                <w:b w:val="1"/>
                <w:bCs w:val="1"/>
                <w:color w:val="auto"/>
              </w:rPr>
              <w:t>$ Change</w:t>
            </w:r>
          </w:p>
        </w:tc>
        <w:tc>
          <w:tcPr>
            <w:tcW w:w="144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1,255,808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1,178,512</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77,296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6.6 %</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44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427,846</w:t>
            </w:r>
          </w:p>
        </w:tc>
        <w:tc>
          <w:tcPr>
            <w:tcW w:w="3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377,305</w:t>
            </w:r>
          </w:p>
        </w:tc>
        <w:tc>
          <w:tcPr>
            <w:tcW w:w="340" w:type="dxa"/>
            <w:vAlign w:val="bottom"/>
          </w:tcPr>
          <w:p>
            <w:pPr>
              <w:spacing w:after="0"/>
              <w:rPr>
                <w:sz w:val="20"/>
                <w:szCs w:val="20"/>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50,541</w:t>
            </w:r>
          </w:p>
        </w:tc>
        <w:tc>
          <w:tcPr>
            <w:tcW w:w="1440" w:type="dxa"/>
            <w:vAlign w:val="bottom"/>
          </w:tcPr>
          <w:p>
            <w:pPr>
              <w:jc w:val="right"/>
              <w:ind w:right="135"/>
              <w:spacing w:after="0"/>
              <w:rPr>
                <w:sz w:val="20"/>
                <w:szCs w:val="20"/>
                <w:color w:val="auto"/>
              </w:rPr>
            </w:pPr>
            <w:r>
              <w:rPr>
                <w:rFonts w:ascii="Arial" w:cs="Arial" w:eastAsia="Arial" w:hAnsi="Arial"/>
                <w:sz w:val="17"/>
                <w:szCs w:val="17"/>
                <w:color w:val="auto"/>
              </w:rPr>
              <w:t>13.4</w:t>
            </w:r>
          </w:p>
        </w:tc>
      </w:tr>
      <w:tr>
        <w:trPr>
          <w:trHeight w:val="31"/>
        </w:trPr>
        <w:tc>
          <w:tcPr>
            <w:tcW w:w="3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13,227</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9,175</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4,052</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44.2</w:t>
            </w:r>
          </w:p>
        </w:tc>
      </w:tr>
      <w:tr>
        <w:trPr>
          <w:trHeight w:val="233"/>
        </w:trPr>
        <w:tc>
          <w:tcPr>
            <w:tcW w:w="37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net sales*</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1,696,881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1,564,992</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auto"/>
              </w:rPr>
              <w:t>131,889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8.4 %</w:t>
            </w:r>
          </w:p>
        </w:tc>
      </w:tr>
      <w:tr>
        <w:trPr>
          <w:trHeight w:val="71"/>
        </w:trPr>
        <w:tc>
          <w:tcPr>
            <w:tcW w:w="37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78"/>
        </w:trPr>
        <w:tc>
          <w:tcPr>
            <w:tcW w:w="37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*Includes international net sales of:</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357,987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360,622</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95"/>
              <w:spacing w:after="0"/>
              <w:rPr>
                <w:sz w:val="20"/>
                <w:szCs w:val="20"/>
                <w:color w:val="auto"/>
              </w:rPr>
            </w:pPr>
            <w:r>
              <w:rPr>
                <w:rFonts w:ascii="Arial" w:cs="Arial" w:eastAsia="Arial" w:hAnsi="Arial"/>
                <w:sz w:val="17"/>
                <w:szCs w:val="17"/>
                <w:color w:val="auto"/>
              </w:rPr>
              <w:t>(2,635)</w:t>
            </w:r>
          </w:p>
        </w:tc>
        <w:tc>
          <w:tcPr>
            <w:tcW w:w="144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31"/>
        </w:trPr>
        <w:tc>
          <w:tcPr>
            <w:tcW w:w="3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segment earnings for our reportable business segments and operating (loss) for our Other activities: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1440" w:type="dxa"/>
            <w:vAlign w:val="bottom"/>
          </w:tcPr>
          <w:p>
            <w:pPr>
              <w:spacing w:after="0"/>
              <w:rPr>
                <w:sz w:val="19"/>
                <w:szCs w:val="19"/>
                <w:color w:val="auto"/>
              </w:rPr>
            </w:pP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3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80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c>
          <w:tcPr>
            <w:tcW w:w="320" w:type="dxa"/>
            <w:vAlign w:val="bottom"/>
          </w:tcPr>
          <w:p>
            <w:pPr>
              <w:spacing w:after="0"/>
              <w:rPr>
                <w:sz w:val="20"/>
                <w:szCs w:val="20"/>
                <w:color w:val="auto"/>
              </w:rPr>
            </w:pPr>
          </w:p>
        </w:tc>
        <w:tc>
          <w:tcPr>
            <w:tcW w:w="1440" w:type="dxa"/>
            <w:vAlign w:val="bottom"/>
          </w:tcPr>
          <w:p>
            <w:pPr>
              <w:jc w:val="right"/>
              <w:ind w:right="535"/>
              <w:spacing w:after="0"/>
              <w:rPr>
                <w:sz w:val="20"/>
                <w:szCs w:val="20"/>
                <w:color w:val="auto"/>
              </w:rPr>
            </w:pPr>
            <w:r>
              <w:rPr>
                <w:rFonts w:ascii="Arial" w:cs="Arial" w:eastAsia="Arial" w:hAnsi="Arial"/>
                <w:sz w:val="17"/>
                <w:szCs w:val="17"/>
                <w:b w:val="1"/>
                <w:bCs w:val="1"/>
                <w:color w:val="auto"/>
              </w:rPr>
              <w:t>$ Change</w:t>
            </w:r>
          </w:p>
        </w:tc>
        <w:tc>
          <w:tcPr>
            <w:tcW w:w="144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106,259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150,119</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(43,860)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8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37,122</w:t>
            </w:r>
          </w:p>
        </w:tc>
        <w:tc>
          <w:tcPr>
            <w:tcW w:w="26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22,030</w:t>
            </w:r>
          </w:p>
        </w:tc>
        <w:tc>
          <w:tcPr>
            <w:tcW w:w="320" w:type="dxa"/>
            <w:vAlign w:val="bottom"/>
          </w:tcPr>
          <w:p>
            <w:pPr>
              <w:spacing w:after="0"/>
              <w:rPr>
                <w:sz w:val="20"/>
                <w:szCs w:val="20"/>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15,092</w:t>
            </w:r>
          </w:p>
        </w:tc>
        <w:tc>
          <w:tcPr>
            <w:tcW w:w="1440" w:type="dxa"/>
            <w:vAlign w:val="bottom"/>
          </w:tcPr>
          <w:p>
            <w:pPr>
              <w:jc w:val="right"/>
              <w:ind w:right="135"/>
              <w:spacing w:after="0"/>
              <w:rPr>
                <w:sz w:val="20"/>
                <w:szCs w:val="20"/>
                <w:color w:val="auto"/>
              </w:rPr>
            </w:pPr>
            <w:r>
              <w:rPr>
                <w:rFonts w:ascii="Arial" w:cs="Arial" w:eastAsia="Arial" w:hAnsi="Arial"/>
                <w:sz w:val="17"/>
                <w:szCs w:val="17"/>
                <w:color w:val="auto"/>
              </w:rPr>
              <w:t>68.5</w:t>
            </w:r>
          </w:p>
        </w:tc>
      </w:tr>
      <w:tr>
        <w:trPr>
          <w:trHeight w:val="31"/>
        </w:trPr>
        <w:tc>
          <w:tcPr>
            <w:tcW w:w="3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(22,010)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(34,969)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12,959</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37.1</w:t>
            </w:r>
          </w:p>
        </w:tc>
      </w:tr>
      <w:tr>
        <w:trPr>
          <w:trHeight w:val="233"/>
        </w:trPr>
        <w:tc>
          <w:tcPr>
            <w:tcW w:w="338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121,371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137,180</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(15,809)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w:t>
            </w: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3"/>
          </w:tcPr>
          <w:p>
            <w:pPr>
              <w:jc w:val="right"/>
              <w:ind w:right="915"/>
              <w:spacing w:after="0"/>
              <w:rPr>
                <w:sz w:val="20"/>
                <w:szCs w:val="20"/>
                <w:color w:val="auto"/>
              </w:rPr>
            </w:pPr>
            <w:r>
              <w:rPr>
                <w:rFonts w:ascii="Arial" w:cs="Arial" w:eastAsia="Arial" w:hAnsi="Arial"/>
                <w:sz w:val="17"/>
                <w:szCs w:val="17"/>
                <w:b w:val="1"/>
                <w:bCs w:val="1"/>
                <w:color w:val="auto"/>
              </w:rPr>
              <w:t>Six Months Ended</w:t>
            </w:r>
          </w:p>
        </w:tc>
        <w:tc>
          <w:tcPr>
            <w:tcW w:w="1440" w:type="dxa"/>
            <w:vAlign w:val="bottom"/>
          </w:tcPr>
          <w:p>
            <w:pPr>
              <w:spacing w:after="0"/>
              <w:rPr>
                <w:sz w:val="19"/>
                <w:szCs w:val="19"/>
                <w:color w:val="auto"/>
              </w:rPr>
            </w:pP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3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80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c>
          <w:tcPr>
            <w:tcW w:w="320" w:type="dxa"/>
            <w:vAlign w:val="bottom"/>
          </w:tcPr>
          <w:p>
            <w:pPr>
              <w:spacing w:after="0"/>
              <w:rPr>
                <w:sz w:val="20"/>
                <w:szCs w:val="20"/>
                <w:color w:val="auto"/>
              </w:rPr>
            </w:pPr>
          </w:p>
        </w:tc>
        <w:tc>
          <w:tcPr>
            <w:tcW w:w="1440" w:type="dxa"/>
            <w:vAlign w:val="bottom"/>
          </w:tcPr>
          <w:p>
            <w:pPr>
              <w:jc w:val="right"/>
              <w:ind w:right="535"/>
              <w:spacing w:after="0"/>
              <w:rPr>
                <w:sz w:val="20"/>
                <w:szCs w:val="20"/>
                <w:color w:val="auto"/>
              </w:rPr>
            </w:pPr>
            <w:r>
              <w:rPr>
                <w:rFonts w:ascii="Arial" w:cs="Arial" w:eastAsia="Arial" w:hAnsi="Arial"/>
                <w:sz w:val="17"/>
                <w:szCs w:val="17"/>
                <w:b w:val="1"/>
                <w:bCs w:val="1"/>
                <w:color w:val="auto"/>
              </w:rPr>
              <w:t>$ Change</w:t>
            </w:r>
          </w:p>
        </w:tc>
        <w:tc>
          <w:tcPr>
            <w:tcW w:w="144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208,733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238,097</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(29,364)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39"/>
        </w:trPr>
        <w:tc>
          <w:tcPr>
            <w:tcW w:w="338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8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58,688</w:t>
            </w:r>
          </w:p>
        </w:tc>
        <w:tc>
          <w:tcPr>
            <w:tcW w:w="26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35,102</w:t>
            </w:r>
          </w:p>
        </w:tc>
        <w:tc>
          <w:tcPr>
            <w:tcW w:w="320" w:type="dxa"/>
            <w:vAlign w:val="bottom"/>
          </w:tcPr>
          <w:p>
            <w:pPr>
              <w:spacing w:after="0"/>
              <w:rPr>
                <w:sz w:val="20"/>
                <w:szCs w:val="20"/>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23,586</w:t>
            </w:r>
          </w:p>
        </w:tc>
        <w:tc>
          <w:tcPr>
            <w:tcW w:w="1440" w:type="dxa"/>
            <w:vAlign w:val="bottom"/>
          </w:tcPr>
          <w:p>
            <w:pPr>
              <w:jc w:val="right"/>
              <w:ind w:right="135"/>
              <w:spacing w:after="0"/>
              <w:rPr>
                <w:sz w:val="20"/>
                <w:szCs w:val="20"/>
                <w:color w:val="auto"/>
              </w:rPr>
            </w:pPr>
            <w:r>
              <w:rPr>
                <w:rFonts w:ascii="Arial" w:cs="Arial" w:eastAsia="Arial" w:hAnsi="Arial"/>
                <w:sz w:val="17"/>
                <w:szCs w:val="17"/>
                <w:color w:val="auto"/>
              </w:rPr>
              <w:t>67.2</w:t>
            </w:r>
          </w:p>
        </w:tc>
      </w:tr>
      <w:tr>
        <w:trPr>
          <w:trHeight w:val="31"/>
        </w:trPr>
        <w:tc>
          <w:tcPr>
            <w:tcW w:w="3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(59,911)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(65,999)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6,088</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9.2</w:t>
            </w:r>
          </w:p>
        </w:tc>
      </w:tr>
      <w:tr>
        <w:trPr>
          <w:trHeight w:val="233"/>
        </w:trPr>
        <w:tc>
          <w:tcPr>
            <w:tcW w:w="338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207,510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207,200</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auto"/>
              </w:rPr>
              <w:t>310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0.1 %</w:t>
            </w:r>
          </w:p>
        </w:tc>
      </w:tr>
      <w:tr>
        <w:trPr>
          <w:trHeight w:val="31"/>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Worldwide net sales for our Professional segment for the second quarter of fiscal 2020 decreased 8.6 percent compared to the same period of fiscal 2019. The net sales decrease for the second quarter comparison was primarily the result of COVID-19 and its impact on retail demand for our Professional segment products. The proliferation of COVID-19 throughout the second quarter of fiscal 2020 resulted in fewer shipments of golf and grounds equipment and irrigation products as a result of the curtailment and closure of certain business activities for golf courses and municipalities across the globe resulting in lower overall revenues and budget constraints and a preference for repairs and deferrals over new equipment purchases; fewer shipments of our landscape contractor zero-turn riding mowers as our channel partners aligned field inventory levels with reduced retail demand for our products; and reduced sales volumes for our rental, specialty, and underground construction equipment as a result of the global economic slowdown experienced during our fiscal 2020 second quarter that unfavorably impacted the oil and gas and construction industries. The net sales decrease was partially offset by incremental sales as a result of our acquisitions of CMW and Venture Products.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Worldwide net sales for our Professional segment for the year-to-date period of fiscal 2020 increased 6.6 percent compared to the same period of fiscal 2019. The net sales increase for the year-to-date comparison was driven by incremental sales as a result of our acquisitions of CMW and Venture Products. The net sales increase was largely offset by COVID-19 and its impact on retail demand for our Professional segment products, which resulted in fewer shipment of our landscape contractor zero-turn riding mowers as our channel partners aligned field inventory levels with reduced retail demand for our products; fewer shipments of golf and grounds equipment and irrigation products as a result of the curtailment and closure of certain business activities for golf courses and municipalities across the globe resulting in lower overall revenues and budget constraints and a preference for repairs and deferrals over new equipment purchases; and reduced sales volumes for our rental, specialty, and underground construction equipment as a result of the global economic slowdown experienced during our fiscal 2020 second quarter that unfavorably impacted the oil and gas and construction industries.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Professional segment earnings for the second quarter of fiscal 2020 decreased 29.2 percent compared to the second quarter of fiscal 2019, and when expressed as a percentage of net sales, decreased to 16.1 percent from 20.7 percent. As a percentage of net sales, the Professional segment earnings decrease was primarily due to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incremental marketing, engineering, administrative and service costs as a result of our acquisitions of CMW and Venture Products; higher warranty expense; unfavorable product mix due to incremental sales of lower margin product, and additional inventory write-down charges incurred related to the Toro underground wind down. The segment earnings decrease was partially offset by favorable net price realization due to fewer sales promotion activities as a result of reduced demand attributed to the COVID-19 pandemic and a revised floor plan financing rate structure as a result of the amendments to certain agreements pertaining to our Red Iron joint venture, the favorable impact of strategic productivity and synergy initiatives, lower costs of commodities and tariffs, and decreased incentive compensation costs due to diminished performance as a result of COVID-19.</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year-to-date period of fiscal 2020, Professional segment earnings decreased by 12.3 percent compared to the same period in the prior fiscal year, and when expressed as a percentage of net sales, decreased to 16.6 percent from 20.2 percent. As a percentage</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net sales, the Professional segment earnings decrease was primarily due to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incremental administrative, marketing, engineering, and service costs as a result of our acquisitions of CMW and Venture Products; and unfavorable product mix due to incremental sales of lower margin product as a result of our CMW acquisition. The segment earnings decrease was partially offset by the favorable impact of strategic productivity and synergy initiatives, favorable net price realization due to fewer sales promotion activities as a result of reduced demand attributed to the COVID-19 pandemic and a revised floor plan financing rate structure as a result of the amendments to certain agreements pertaining to our Red Iron joint venture, and lower commodity and tariff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Worldwide net sales for our Residential segment for the second quarter and year-to-date periods of fiscal 2020 increased 12.9 percent and 13.4 percent, respectively, compared to the same periods of fiscal 2019. The Residential segment net sales increases for the second quarter and year-to-date comparisons were mainly driven by incremental shipments of zero-turn riding mowers and walk power mowers as a result of our expanded mass retail channel and strong retail demand driven by favorable spring weather conditions in key regions, new and enhanced products, and government mandated "shelter-in-place" and "stay-at-home" 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Residential segment earnings for the second quarter of fiscal 2020 increased 68.5 percent compared to the second quarter of fiscal 2019, and when expressed as a percentage of net sales, increased to 14.2 percent from 9.5 percent. For the year-to-date period of fiscal 2020, Residential segment net earnings increased 67.2 percent compared to the same period in the prior fiscal year, and when expressed as a percentage of net sales, increased to 13.7 percent from 9.3 percent. As a percentage of net sales, the Residential segment net earnings increases for the second quarter and year-to-date comparisons were driven by the favorable impact of strategic productivity and synergy initiatives, lower commodity and tariff costs, reductions in freight costs as a result of cost reduction initiatives and lower fuel prices, and reduced SG&amp;A expense as a percentage of net sales due to leveraging expense over higher sales volumes. The segment earnings increases for both comparisons were partially offset by unfavorable manufacturing variance due to production downtime and manufacturing inefficiencies as a result of COVID-19-related facilities closures and the reconfiguration of certain of our manufacturing processes in order to implement social distancing protocols within our facilities, as well as higher warranty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our Other activities include sales from our wholly-owned domestic distribution companies less sales from the Professional and Residential segments to the distribution companies. Net sales for our Other activities in the second quarter of fiscal 2020 decreased by $0.1 million compared to the second quarter of fiscal 2019. The net sales decrease for the second quarter comparison was the result of COVID-19, which led to reduced sales of our Professional and Residential segment products by our wholly-owned domestic distribution companies due to reduced retail demand. This decrease was largely offset by reduced intercompany sales eliminations for sales from our Professional and Residential segments to our wholly-owned domestic distribution companies as a result of reduced retail demand. Net sales for our Other activities for the year-to-date period of fiscal 2020 increased $4.1 million compared to the same period in the prior fiscal year. The net sales increase for the year-to-date comparison was also the result of COVID-19, which led to reduced intercompany sales eliminations for sales from our Professional and Residential segments to our wholly-owned domestic distribution companies as a result of reduced retail demand. This increase was partially offset by reduced sales by our wholly-owned distribution companies due to reduced retail demand.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operating loss for our Other activities decreased $13.0 million for the second quarter of fiscal 2020. The operating loss decrease was primarily driven by reduced transaction and integration costs incurred for the acquisition of Venture Products in fiscal 2020 as compared to the acquisition of CMW in fiscal 2019 and decreased incentive compensation costs as a result of diminished company performance due to COVID-19. The operating loss decrease was partially offset by increased interest expense due to higher average outstanding borrowings under our financing arrangements, a settlement charge incurred for the termination of our U.S. defined benefit pension plan, lower income from our Red Iron joint venture as a result of the amendments to certain agreements pertaining to the joint venture, and lower interest income on marketable securities.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operating loss for our Other activities decreased $6.1 million for the year-to-date period of fiscal 2020. The operating loss decrease was primarily driven by reduced transaction and integration costs incurred for the acquisition of Venture Products in fiscal 2020 as compared to the acquisition of CMW in fiscal 2019, decreased incentive compensation costs as a result of diminished</w:t>
      </w:r>
    </w:p>
    <w:p>
      <w:pPr>
        <w:sectPr>
          <w:pgSz w:w="11900" w:h="16838" w:orient="portrait"/>
          <w:cols w:equalWidth="0" w:num="1">
            <w:col w:w="11240"/>
          </w:cols>
          <w:pgMar w:left="320" w:top="12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performance due to COVID-19, and reduced intercompany sales eliminations for sales from our Professional and Residential segments to our wholly-owned domestic distribution companies as a result of reduced retail demand. The operating loss decrease was partially offset by increased interest expense due to higher average outstanding borrowings under our financing arrangements, lower income from our Red Iron joint venture as a result of the amendments to certain agreements pertaining to the joint venture, lower interest income on marketable securities, and a settlement charge incurred for the termination of our U.S. defined benefit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working capital strategy continues to place emphasis on improving asset utilization with a focus on reducing the amount of working capital in the supply chain, adjusting production plans, and maintaining or improving order replenishment and service levels to end-users. Accounts receivable as of the end of the second quarter of fiscal 2020 decreased $28.1 million, or 6.6 percent, compared to the end of the second quarter of fiscal 2019, primarily due to lower sales near quarter-end driven by reduced demand as a result of COVID-19 and the impact of foreign currency exchange rates, partially offset by higher sales within the expanded mass retail channel of our Residential segment and incremental receivables as a result of our acquisition of Venture Products. Inventory levels were up $102.8 million, or 16.8 percent, as of the end of the second quarter of fiscal 2020 compared to the end of the second quarter of fiscal 2019, primarily due to COVID-19 resulting in elevated finished goods inventories in our Professional segment due to reduced sales as a result of decreased demand for our products, higher raw materials and work in process inventories as a result of production downtime due to facilities closures and production inefficiencies as a result of social distancing protocols, and incremental inventories as a result of our acquisition of Venture Products. The inventory increase was partially offset by reduced CMW inventories in fiscal 2020 as a result of the fiscal 2019 purchase accounting adjustments to record CMW's inventories at fair value and the impact of foreign currency exchange rates. Accounts payable decreased $64.3 million, or 16.4 percent, as of the end of the second quarter of fiscal 2020 compared to the end of the second quarter of fiscal 2019, mainly due to decreased purchases of commodities, components, parts, and accessories due to the reduction in our production levels within our manufacturing facilities to align with reduced sales volumes as a result of COVID-19, partially offset by incremental payables as a result of our acquisition of Venture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provided by operating activities for the first six months of fiscal 2020 was $70.9 million compared to $164.0 million for the first six months of fiscal 2019. This decrease was primarily due to the impacts of COVID-19, including a lower cash benefit from accounts payable than was experienced during fiscal 2019 within our historically working capital intensive second quarter as a result of lower purchases of raw materials inventory, as well as higher amounts of cash used for finished goods inventories as a result of reduced demand for our products. The decrease was partially offset by the cash benefit of lower accounts receivable as a result of reduced demand for our products as a result of COVID-19. Cash used in investing activities decreased $562.0 million during the first six months of fiscal 2020 compared to the first six months of fiscal 2019. This decrease was primarily due to less cash utilized for the acquisition of Venture Products in fiscal 2020 than was used for the acquisitions of CMW and a Northeastern U.S. distribution company in fiscal 2019, as well as reduced cash investments in property, plant, and equipment as a result of the actions taken to improve our liquidity position in light of COVID-19 during fiscal 2020. Cash provided by financing activities for the first six months of fiscal 2020 decreased $310.4 million compared to the first six months of fiscal 2019, mainly due to lower net borrowings under our debt arrangements, and lower cash proceeds from the exercise of stock options in the first six months of fiscal 2020. The decrease in cash provided by financing activities was partially offset by reduced cash utilized for purchases of TTC common stock in the first six months of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senior unsecured revolving credit facility, and in certain instances, other forms of financing arrangements. Our senior unsecured revolving credit facility has been adequate for these purposes, although we have negotiated and completed additional financing arrangements as needed to allow us to complete acquisitions. Although there is uncertainty of the scope, duration, and severity of COVID-19 and its impact to our future results, we believe we are well-positioned to manage our business and have taken the appropriate actions to maintain and improve our liquidity position, including refinancing outstanding borrowings on our unsecured senior revolving credit facility with a new three year term loan agreement for $190.0</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million, which also added incremental liquidity; reducing capital expenditures; continuing the curtailment of share repurchases under our Board authorized repurchase program; and monitoring and participating in government economic stabilization efforts and certain legislative provisions, such as deferring certain tax payments, as applicable. As a result, we believe that our existing liquidity position, including the funds available through existing, and potential future, financing arrangements and forecasted cash flows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May 1, 2020, we had available liquidity of approximately $798.1 million, consisting of cash and cash equivalents of approximately $200.0 million, of which approximately $83.8 million was held by our foreign subsidiaries, and availability under our unsecured senior revolving credit facility of $598.1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May 1, 2020, we had $890.8 million of outstanding indebtedness that included $100.0 million of 7.8 percent debentures due June 15, 2027, $123.9 million of 6.625 percent senior notes due May 1, 2037, $100.0 million outstanding under our $200.0 million three year unsecured senior term loan facility, $180.0 million outstanding under our $300.0 million five year unsecured senior term loan facility, $190.0 million outstanding under our $190.0 million three year unsecured senior term loan facility, $100.0 million outstanding under our Series A Senior Notes, $100.0 million outstanding under our Series B Senior Notes, and no outstanding borrowings under our revolving credit facility. The May 1, 2020 outstanding indebtedness amounts were partially offset by debt issuance costs and deferred charges of $3.1 million related to our outstanding indebtedness. As of May 1, 2020, we have reclassified $99.9 million of the remaining outstanding principal balance under the $190.0 million term loan, net of the related proportionate share of debt issuance costs, to current portion of long-term debt within the Condensed Consolidated Balance Sheet as of such date as we intend to prepay such amounts utilizing cash flows from operations within the next twelve months.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May 3, 2019, we had $811.1 million of outstanding indebtedness that was classified as long-term debt within our Condensed Consolidated Balance Sheet as of such date and included $100.0 million of 7.8 percent debentures due June 15, 2027, $123.9 million of 6.625 percent senior notes due May 1, 2037, $200.0 million outstanding under our $200.0 million three year unsecured senior term loan facility, $300.0 million outstanding under our $300.0 million five year unsecured senior term loan facility, and $90.0 million of outstanding borrowings under our revolving credit facility. The May 3, 2019 outstanding indebtedness amounts were partially offset by debt issuance costs and deferred charges of $2.8 million related to our outstanding indebtedness.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domestic and non-U.S. operations maintained credit lines for import letters of credit in the aggregate amount of approximately $10.2 million and $13.4 million as of May 1, 2020 and May 3, 2019, respectively. We had $2.2 million and $2.0 million outstanding on such import letters of credit as of May 1, 2020 and May 3,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Seasonal cash requirements are financed from operations, cash on hand, and with borrowings under our $600.0 million unsecured senior five-year revolving credit facility that expires in June 2023, as applicable.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TTC.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TTC. Interest is payable quarterly in arrears. Our debt rating for long-term unsecured senior, non-credit enhanced debt was unchanged during the second quarter of fiscal 2020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three and six month periods ended May 1, 2020, we incurred interest expense of approximately $0.7 million and $0.8 million, respectively, on the outstanding borrowings under our revolving credit facility. For the three and six month periods ended May 3, 2019, we incurred interest expense of approximately $1.0 million and $1.8 million, respectively, on the outstanding borrowings under our revolving credit facility.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May 1, 2020, we were not limited in the amount for payments of cash dividends and common stock repurchases. We were in compliance with all covenants related to the credit agreement for our revolving credit facility as of May 1, 2020, and we expect to be in compliance with all covenants during the remainder of fiscal 2020.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1, 2020, we had no outstanding borrowings under the revolving credit facility and $1.9 million outstanding under the sublimit for standby letters of credit, resulting in $598.1 million of unutilized availability under our revolving credit facility. As of May 3, 2019, we had $90.0 million outstanding under the revolving credit facility and $1.9 million outstanding under the sublimit for standby letters of credit, resulting in $508.1 million of unutilized availability under the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$500.0 Million Term Loan 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(collectively, the "$500.0 million term loan"). The funds under the $500.0 million term loan were received on April 1, 2019 in connection with the closing of the acquisition of CMW. There are no scheduled principal amortization payments prior to maturity on the $200.0 million three year unsecured senior term loan facility. For the $300.0 million five year unsecured senior term loan facility, we are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our election at any time without penalty or premium. As of May 1, 2020, we have prepaid $100.0 million and $120.0 million against the outstanding principal balances of the $200.0 million three year unsecured senior term loan facility and $300.0 million five year unsecured senior term loan facility,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borrowings under the $500.0 million term loan bear interest at a variable rate generally based on LIBOR or an alternative variable rate, based on the highest of the Bank of America prime rate, the federal funds rate, or a rate generally based on LIBOR, in each case subject to an additional basis point spread as defined in the $500.0 million term loan. Interest is payable quarterly in arrears. For the three and six month periods ended May 1, 2020, we incurred interest expense of approximately $1.5 million and $3.4 million on the outstanding borrowings under the $500.0 million term loan, respectively. For the three and six month periods ended May 3, 2019, we incurred interest expense of approximately $1.6 million on the outstanding borrowings under the $500.0 million term loan.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$500.0 million term loan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$500.0 million term loan,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May 1, 2020, we were in compliance with all covenants related to our $500.0 million term loan and were not limited in the amount for payments of cash dividends and common stock repurchases. Additionally, we expect to be in compliance with all covenants related to our $500.0 million term loan during the remainder of fiscal 2020. If we were out of compliance with any covenant required by the $500.0 million term loan credit agreement following the applicable cure period, our term loan facilities, long-term senior notes, debentures, and any amounts outstanding</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revolving credit facility could become due and payable if we were unable to obtain a covenant waiver or refinance our borrowings under our $500.0 million term loan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$190.0 Million Term Loan Credit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30, 2020, we entered into the $190.0 million term loan ("$190.0 million term loan") with certain financial institutions for the purpose of refinancing certain of our outstanding borrowings incurred in connection with the acquisition of Venture Products on March 2, 2020, as well as a precautionary measure to increase our liquidity and preserve financial flexibility in light of the current uncertainty in the global financial and commercial markets as a result of COVID-19. The $190.0 million term loan provided for a $190.0 million three year unsecured senior term loan facility maturing on June 19, 2023.</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with the last business day of March 2021, we are required to make quarterly amortization payments on the $190.0 million term loan equal to 5.0% for the first four payments and 7.5% thereafter of the original aggregate principal amount reduced by any applicable prepayments. The $190.0 million term loan may be prepaid and terminated at our election at any time without penalty or premium. Amounts repaid or prepaid may not be reborrowed. As of May 1, 2020, there was $190.0 million of outstanding borrowings under the $190.0 million term loan and we have reclassified $99.9 million of the remaining outstanding principal balance under the $190.0 million term loan, net of the related proportionate share of deferred debt issuance costs, to current portion of long-term debt within the Condensed Consolidated Balance Sheets as we intend to prepay such amount utilizing anticipated cash flows from operations within the next twelve months.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$190.0 million term loan contains customary covenants, including, without limitation, financial covenants generally consistent with those applicable under the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We were in compliance with all covenants related to the $190.0 million term loan as of May 1, 2020. Outstanding borrowings under the $190.0 million term loan bear interest at a variable rate based on LIBOR or an alternative variable rate with a minimum rate of 0.75 percent, subject to an additional basis point spread as defined in the term credit loan agreement. Interest is payable quarterly in arrears. For the three and six month periods ended May 1, 2020, we incurred interest expense of approximately $0.4 million on the outstanding borrowings under the $190.0 million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30, 2019, we entered into a private placement note purchase agreement with certain purchasers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TTC. Interest on the Senior Notes is payable semiannually on the 15th day of June and December in each year. For the three and six month periods ended May 1, 2020, we incurred interest expense of approximately $1.9 million and $3.9 million on the outstanding borrowings under the private placement note purchase agreement.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private placement note purchase agreement contains customary representations and warranties of TTC,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May 1, 2020, we were not limited in the amount for payments of cash dividends and stock repurchases. We were in compliance with all covenants related to the private placement note purchase agreement as of May 1, 2020 and we expect to be in compliance with all covenants during the remainder of fiscal 2020. If we were out of compliance with any covenant required by this private placement note</w:t>
      </w:r>
    </w:p>
    <w:p>
      <w:pPr>
        <w:sectPr>
          <w:pgSz w:w="11900" w:h="16838" w:orient="portrait"/>
          <w:cols w:equalWidth="0" w:num="1">
            <w:col w:w="11240"/>
          </w:cols>
          <w:pgMar w:left="320" w:top="125"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 agreement following the applicable cure period, our term loan facilities,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approved a cash dividend of $0.25 per share for the second quarter of fiscal 2020 that was paid on April 9, 2020. This was an increase of 11.1 percent over our cash dividend of $0.225 per share for the second quarter of fiscal 2019. We currently expect to continue paying our quarterly cash dividend to shareholders for the remainder of fiscal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of fiscal 2020, we curtailed repurchasing shares of our common stock in the open market under our Board authorized repurchase program. In March 2020, we announced our intention to continue the curtailment of share repurchases as a prudent measure to enhance our liquidity position in response to COVID-19. As of May 1, 2020, we expect to continue curtailing repurchasing shares of our common stock for the remainder of fiscal 2020. The existing repurchase program remains authorized by our Board and has no expiration date. We may resume repurchasing shares of our common stock under the program in the future at any time, depending on our cash balance, debt repayments, market conditions, our working capital needs, and/or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customer financing arrangements are described in further detail within our most recently filed Annual Report on Form 10-K. There have been no material changes to our customer financing arrangements with the exception of the amendments to certain agreements pertaining to our Red Iron joint venture described in further detail within the section titled "Wholesale Financing"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Red Iron joint venture with TCF Inventory Finance, Inc. ("TCFIF"), a subsidiary of TCF National Bank, provides inventory financing to certain distributors and dealers of certain of our products in the U.S. that enables them to carry representative inventories of certain of our products. On December 20, 2019, during the first quarter of fiscal 2020, we amended certain agreements pertaining to the Red Iron joint venture. The purpose of these amendments was, among other things, to: (i) adjust certain rates under the floor plan financing rate structure charged to our distributors and dealers participating in financing arrangements through the Red Iron joint venture; (ii) extend the term of the Red Iron joint venture from October 31, 2024 to October 31, 2026, subject to two-year extensions thereafter unless either we or TCFIF provides written notice to the other party of non-renewal at least one year prior to the end of the then-current term; (iii) amend certain exclusivity-related provisions, including the definition of our products that are subject to exclusivity, inclusion of a two-year review period by us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we received from TCFIF in 2016; (iv) extend the maturity date of the revolving credit facility used by Red Iron primarily to finance the acquisition of inventory from us by our distributors and dealers from October 31, 2024 to October 31, 2026 and to increase the amount available under such revolving credit facility from $550 million to $625 million; and (v) memorialize certain other non-material amendments. Under separate agreements between Red Iron and the dealers and distributors, Red Iron provides loans to the dealers and distributors for the advances paid by Red Iron to us. The net amount of receivables financed for dealers and distributors under this arrangement for the six month period ended May 1, 2020 and May 3, 2019 was $886.4 million and $1,031.3 million, respectively.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in Australia. These third-party financial institutions financed $173.9 million and $46.3 million of receivables for such dealers and distributors during the six month periods ended May 1, 2020 and May 3, 2019, respectively. As of May 1, 2020 and May 3, 2019, $203.6 million and $159.1 million of receivables financed by the third-party financing companies, excluding Red Iron, respectively, were outstanding.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entered into a limited inventory repurchase agreement with Red Iron. Under the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for which we have agreed to repurchase products repossessed by the separate third-party financial institutions. As of May 1, 2020, we were contingently liable to repurchase up to a maximum amount of $145.6 million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any subsequent resale of the repossessed product. We have repurchased immaterial amounts of inventory pursuant to such arrangements during the six month period ended May 1, 2020 and May 3, 2019. However, a decline in retail sales or financial difficulties of our</w:t>
      </w:r>
    </w:p>
    <w:p>
      <w:pPr>
        <w:sectPr>
          <w:pgSz w:w="11900" w:h="16838" w:orient="portrait"/>
          <w:cols w:equalWidth="0" w:num="1">
            <w:col w:w="11240"/>
          </w:cols>
          <w:pgMar w:left="320" w:top="125"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distributors or dealers could cause this situation to change and thereby require us to repurchase financed product, which could have an adverse effect on our Results of Operations, Financial Position,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 with the exception of the new $190.0 million term loan described in further detail in the section titled "Liquidity and Capital Resources" within this MD&amp;A and the holdback associated with the Venture Products merger agreement described in further detail in the section titled "Company Overview" within this MD&amp;A.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off-balance sheet arrangements with Red Iron, our joint venture with TCFIF, and other third-party financial institutions in which inventory receivables for certain dealers and distributors are financed by Red Iron or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There have been no material changes to such off-balance sheet arrangements, with the exception of the amendments to certain agreements pertaining to our Red Iron joint venture described in further detail within the section titled "Wholesale Financing"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U.S. GAAP to the most directly comparable non-GAAP financial measures for the three and six month periods ended May 1, 2020 and May 3,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6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920" w:type="dxa"/>
            <w:vAlign w:val="bottom"/>
            <w:gridSpan w:val="3"/>
          </w:tcPr>
          <w:p>
            <w:pPr>
              <w:jc w:val="right"/>
              <w:ind w:right="79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41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per share data)</w:t>
            </w:r>
          </w:p>
        </w:tc>
        <w:tc>
          <w:tcPr>
            <w:tcW w:w="100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6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306,717</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321,298</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594,805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536,915</w:t>
            </w:r>
          </w:p>
        </w:tc>
      </w:tr>
      <w:tr>
        <w:trPr>
          <w:trHeight w:val="270"/>
        </w:trPr>
        <w:tc>
          <w:tcPr>
            <w:tcW w:w="410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2,393</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9,519</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2,863</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9,519</w:t>
            </w:r>
          </w:p>
        </w:tc>
      </w:tr>
      <w:tr>
        <w:trPr>
          <w:trHeight w:val="270"/>
        </w:trPr>
        <w:tc>
          <w:tcPr>
            <w:tcW w:w="410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3"/>
        </w:trPr>
        <w:tc>
          <w:tcPr>
            <w:tcW w:w="4100" w:type="dxa"/>
            <w:vAlign w:val="bottom"/>
          </w:tcPr>
          <w:p>
            <w:pPr>
              <w:ind w:left="40"/>
              <w:spacing w:after="0"/>
              <w:rPr>
                <w:sz w:val="20"/>
                <w:szCs w:val="20"/>
                <w:color w:val="auto"/>
              </w:rPr>
            </w:pPr>
            <w:r>
              <w:rPr>
                <w:rFonts w:ascii="Arial" w:cs="Arial" w:eastAsia="Arial" w:hAnsi="Arial"/>
                <w:sz w:val="17"/>
                <w:szCs w:val="17"/>
                <w:color w:val="auto"/>
              </w:rPr>
              <w:t>Non-GAAP gross profit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309,967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330,817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598,525</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546,434</w:t>
            </w:r>
          </w:p>
        </w:tc>
      </w:tr>
      <w:tr>
        <w:trPr>
          <w:trHeight w:val="31"/>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4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w:t>
            </w:r>
          </w:p>
        </w:tc>
      </w:tr>
      <w:tr>
        <w:trPr>
          <w:trHeight w:val="270"/>
        </w:trPr>
        <w:tc>
          <w:tcPr>
            <w:tcW w:w="410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0.3%</w:t>
            </w:r>
          </w:p>
        </w:tc>
        <w:tc>
          <w:tcPr>
            <w:tcW w:w="28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70"/>
        </w:trPr>
        <w:tc>
          <w:tcPr>
            <w:tcW w:w="410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100" w:type="dxa"/>
            <w:vAlign w:val="bottom"/>
          </w:tcPr>
          <w:p>
            <w:pPr>
              <w:ind w:left="40"/>
              <w:spacing w:after="0"/>
              <w:rPr>
                <w:sz w:val="20"/>
                <w:szCs w:val="20"/>
                <w:color w:val="auto"/>
              </w:rPr>
            </w:pPr>
            <w:r>
              <w:rPr>
                <w:rFonts w:ascii="Arial" w:cs="Arial" w:eastAsia="Arial" w:hAnsi="Arial"/>
                <w:sz w:val="17"/>
                <w:szCs w:val="17"/>
                <w:color w:val="auto"/>
              </w:rPr>
              <w:t>Non-GAAP gross margin</w:t>
            </w:r>
          </w:p>
        </w:tc>
        <w:tc>
          <w:tcPr>
            <w:tcW w:w="10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33.4%</w:t>
            </w:r>
          </w:p>
        </w:tc>
        <w:tc>
          <w:tcPr>
            <w:tcW w:w="2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34.4%</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35.3%</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31"/>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earnings</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125,795</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137,725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216,924</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207,779</w:t>
            </w:r>
          </w:p>
        </w:tc>
      </w:tr>
      <w:tr>
        <w:trPr>
          <w:trHeight w:val="270"/>
        </w:trPr>
        <w:tc>
          <w:tcPr>
            <w:tcW w:w="410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00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3,004</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20,107</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5,022</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21,754</w:t>
            </w:r>
          </w:p>
        </w:tc>
      </w:tr>
      <w:tr>
        <w:trPr>
          <w:trHeight w:val="270"/>
        </w:trPr>
        <w:tc>
          <w:tcPr>
            <w:tcW w:w="410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3"/>
        </w:trPr>
        <w:tc>
          <w:tcPr>
            <w:tcW w:w="4100" w:type="dxa"/>
            <w:vAlign w:val="bottom"/>
          </w:tcPr>
          <w:p>
            <w:pPr>
              <w:ind w:left="40"/>
              <w:spacing w:after="0"/>
              <w:rPr>
                <w:sz w:val="20"/>
                <w:szCs w:val="20"/>
                <w:color w:val="auto"/>
              </w:rPr>
            </w:pPr>
            <w:r>
              <w:rPr>
                <w:rFonts w:ascii="Arial" w:cs="Arial" w:eastAsia="Arial" w:hAnsi="Arial"/>
                <w:sz w:val="17"/>
                <w:szCs w:val="17"/>
                <w:color w:val="auto"/>
              </w:rPr>
              <w:t>Non-GAAP operating earnings</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129,656</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157,832</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222,803</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229,533</w:t>
            </w:r>
          </w:p>
        </w:tc>
      </w:tr>
      <w:tr>
        <w:trPr>
          <w:trHeight w:val="31"/>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8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960" w:type="dxa"/>
            <w:vAlign w:val="bottom"/>
            <w:gridSpan w:val="3"/>
          </w:tcPr>
          <w:p>
            <w:pPr>
              <w:jc w:val="right"/>
              <w:ind w:right="81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40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per share data)</w:t>
            </w:r>
          </w:p>
        </w:tc>
        <w:tc>
          <w:tcPr>
            <w:tcW w:w="9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8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6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before income taxes</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121,371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137,180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207,510</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207,200</w:t>
            </w:r>
          </w:p>
        </w:tc>
      </w:tr>
      <w:tr>
        <w:trPr>
          <w:trHeight w:val="270"/>
        </w:trPr>
        <w:tc>
          <w:tcPr>
            <w:tcW w:w="40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9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3,004</w:t>
            </w:r>
          </w:p>
        </w:tc>
        <w:tc>
          <w:tcPr>
            <w:tcW w:w="280" w:type="dxa"/>
            <w:vAlign w:val="bottom"/>
          </w:tcPr>
          <w:p>
            <w:pPr>
              <w:spacing w:after="0"/>
              <w:rPr>
                <w:sz w:val="23"/>
                <w:szCs w:val="23"/>
                <w:color w:val="auto"/>
              </w:rPr>
            </w:pP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20,107</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5,022</w:t>
            </w:r>
          </w:p>
        </w:tc>
        <w:tc>
          <w:tcPr>
            <w:tcW w:w="28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21,754</w:t>
            </w:r>
          </w:p>
        </w:tc>
      </w:tr>
      <w:tr>
        <w:trPr>
          <w:trHeight w:val="270"/>
        </w:trPr>
        <w:tc>
          <w:tcPr>
            <w:tcW w:w="40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33"/>
        </w:trPr>
        <w:tc>
          <w:tcPr>
            <w:tcW w:w="4080" w:type="dxa"/>
            <w:vAlign w:val="bottom"/>
          </w:tcPr>
          <w:p>
            <w:pPr>
              <w:ind w:left="40"/>
              <w:spacing w:after="0"/>
              <w:rPr>
                <w:sz w:val="20"/>
                <w:szCs w:val="20"/>
                <w:color w:val="auto"/>
              </w:rPr>
            </w:pPr>
            <w:r>
              <w:rPr>
                <w:rFonts w:ascii="Arial" w:cs="Arial" w:eastAsia="Arial" w:hAnsi="Arial"/>
                <w:sz w:val="17"/>
                <w:szCs w:val="17"/>
                <w:color w:val="auto"/>
              </w:rPr>
              <w:t>Non-GAAP earnings before income taxes</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125,232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157,287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213,389</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228,954</w:t>
            </w:r>
          </w:p>
        </w:tc>
      </w:tr>
      <w:tr>
        <w:trPr>
          <w:trHeight w:val="31"/>
        </w:trPr>
        <w:tc>
          <w:tcPr>
            <w:tcW w:w="4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9"/>
        </w:trPr>
        <w:tc>
          <w:tcPr>
            <w:tcW w:w="40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43"/>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98,446</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115,570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168,537</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175,110</w:t>
            </w:r>
          </w:p>
        </w:tc>
      </w:tr>
      <w:tr>
        <w:trPr>
          <w:trHeight w:val="270"/>
        </w:trPr>
        <w:tc>
          <w:tcPr>
            <w:tcW w:w="40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9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2,365</w:t>
            </w:r>
          </w:p>
        </w:tc>
        <w:tc>
          <w:tcPr>
            <w:tcW w:w="280" w:type="dxa"/>
            <w:vAlign w:val="bottom"/>
          </w:tcPr>
          <w:p>
            <w:pPr>
              <w:spacing w:after="0"/>
              <w:rPr>
                <w:sz w:val="23"/>
                <w:szCs w:val="23"/>
                <w:color w:val="auto"/>
              </w:rPr>
            </w:pP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16,352</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3,998</w:t>
            </w:r>
          </w:p>
        </w:tc>
        <w:tc>
          <w:tcPr>
            <w:tcW w:w="28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17,862</w:t>
            </w:r>
          </w:p>
        </w:tc>
      </w:tr>
      <w:tr>
        <w:trPr>
          <w:trHeight w:val="270"/>
        </w:trPr>
        <w:tc>
          <w:tcPr>
            <w:tcW w:w="408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9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682</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682</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40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9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(1,342)</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(5,957)</w:t>
            </w: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(3,377)</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(10,318)</w:t>
            </w:r>
          </w:p>
        </w:tc>
      </w:tr>
      <w:tr>
        <w:trPr>
          <w:trHeight w:val="268"/>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Non-GAAP net earnings</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100,151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125,965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169,840</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182,654</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0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243"/>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EPS</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0.91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1.55</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1.62</w:t>
            </w:r>
          </w:p>
        </w:tc>
      </w:tr>
      <w:tr>
        <w:trPr>
          <w:trHeight w:val="270"/>
        </w:trPr>
        <w:tc>
          <w:tcPr>
            <w:tcW w:w="40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9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0.02</w:t>
            </w:r>
          </w:p>
        </w:tc>
        <w:tc>
          <w:tcPr>
            <w:tcW w:w="280" w:type="dxa"/>
            <w:vAlign w:val="bottom"/>
          </w:tcPr>
          <w:p>
            <w:pPr>
              <w:spacing w:after="0"/>
              <w:rPr>
                <w:sz w:val="23"/>
                <w:szCs w:val="23"/>
                <w:color w:val="auto"/>
              </w:rPr>
            </w:pP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0.04</w:t>
            </w:r>
          </w:p>
        </w:tc>
        <w:tc>
          <w:tcPr>
            <w:tcW w:w="28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0.17</w:t>
            </w:r>
          </w:p>
        </w:tc>
      </w:tr>
      <w:tr>
        <w:trPr>
          <w:trHeight w:val="270"/>
        </w:trPr>
        <w:tc>
          <w:tcPr>
            <w:tcW w:w="40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9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(0.05)</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(0.03)</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(0.10)</w:t>
            </w:r>
          </w:p>
        </w:tc>
      </w:tr>
      <w:tr>
        <w:trPr>
          <w:trHeight w:val="233"/>
        </w:trPr>
        <w:tc>
          <w:tcPr>
            <w:tcW w:w="4080" w:type="dxa"/>
            <w:vAlign w:val="bottom"/>
          </w:tcPr>
          <w:p>
            <w:pPr>
              <w:ind w:left="40"/>
              <w:spacing w:after="0"/>
              <w:rPr>
                <w:sz w:val="20"/>
                <w:szCs w:val="20"/>
                <w:color w:val="auto"/>
              </w:rPr>
            </w:pPr>
            <w:r>
              <w:rPr>
                <w:rFonts w:ascii="Arial" w:cs="Arial" w:eastAsia="Arial" w:hAnsi="Arial"/>
                <w:sz w:val="17"/>
                <w:szCs w:val="17"/>
                <w:color w:val="auto"/>
              </w:rPr>
              <w:t>Non-GAAP diluted EPS</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0.92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1.17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1.56</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1.69</w:t>
            </w:r>
          </w:p>
        </w:tc>
      </w:tr>
      <w:tr>
        <w:trPr>
          <w:trHeight w:val="31"/>
        </w:trPr>
        <w:tc>
          <w:tcPr>
            <w:tcW w:w="4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6"/>
        </w:trPr>
        <w:tc>
          <w:tcPr>
            <w:tcW w:w="40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243"/>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Effective tax rate</w:t>
            </w:r>
          </w:p>
        </w:tc>
        <w:tc>
          <w:tcPr>
            <w:tcW w:w="9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15.8 %</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15.5 %</w:t>
            </w:r>
          </w:p>
        </w:tc>
      </w:tr>
      <w:tr>
        <w:trPr>
          <w:trHeight w:val="270"/>
        </w:trPr>
        <w:tc>
          <w:tcPr>
            <w:tcW w:w="40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9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(0.2)%</w:t>
            </w:r>
          </w:p>
        </w:tc>
        <w:tc>
          <w:tcPr>
            <w:tcW w:w="26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0"/>
        </w:trPr>
        <w:tc>
          <w:tcPr>
            <w:tcW w:w="40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9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4.3 %</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32"/>
        </w:trPr>
        <w:tc>
          <w:tcPr>
            <w:tcW w:w="4080" w:type="dxa"/>
            <w:vAlign w:val="bottom"/>
          </w:tcPr>
          <w:p>
            <w:pPr>
              <w:ind w:left="40"/>
              <w:spacing w:after="0"/>
              <w:rPr>
                <w:sz w:val="20"/>
                <w:szCs w:val="20"/>
                <w:color w:val="auto"/>
              </w:rPr>
            </w:pPr>
            <w:r>
              <w:rPr>
                <w:rFonts w:ascii="Arial" w:cs="Arial" w:eastAsia="Arial" w:hAnsi="Arial"/>
                <w:sz w:val="17"/>
                <w:szCs w:val="17"/>
                <w:color w:val="auto"/>
              </w:rPr>
              <w:t>Non-GAAP effective tax rate</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w:t>
            </w:r>
          </w:p>
        </w:tc>
        <w:tc>
          <w:tcPr>
            <w:tcW w:w="2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19.9 %</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20.4%</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20.2 %</w:t>
            </w:r>
          </w:p>
        </w:tc>
      </w:tr>
      <w:tr>
        <w:trPr>
          <w:trHeight w:val="31"/>
        </w:trPr>
        <w:tc>
          <w:tcPr>
            <w:tcW w:w="4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340" w:hanging="170"/>
        <w:spacing w:after="0" w:line="22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 xml:space="preserve">On March 2, 2020, we completed the acquisition of Venture Products and on April 1, 2019, we completed the acquisition of CMW. For additional information regarding these acquisitions, refer to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within the Notes to Condensed Consolidated Financial Statements included within Part I, Item 1, "Financial Statements" of this Quarterly Report on Form 10-Q. Acquisition-related costs for the three and six month periods ended May 1, 2020 represent transaction costs incurred for our acquisition of Venture Products, as well as integration costs and charges incurred for the take-down of the inventory fair value step-up amounts resulting from purchase accounting adjustments related to the acquisitions of Venture Products and CMW. Acquisition-related costs for the three and six month periods ended May 3, 2019 represent transaction and integration costs, as well as charges incurred for the take-down of the inventory fair value step-up amount and amortization of the backlog intangible asset resulting from purchase accounting adjustments related to our acquisition of CMW.</w:t>
      </w:r>
    </w:p>
    <w:p>
      <w:pPr>
        <w:spacing w:after="0" w:line="199" w:lineRule="exact"/>
        <w:rPr>
          <w:sz w:val="20"/>
          <w:szCs w:val="20"/>
          <w:color w:val="auto"/>
        </w:rPr>
      </w:pPr>
    </w:p>
    <w:p>
      <w:pPr>
        <w:jc w:val="both"/>
        <w:ind w:left="340" w:hanging="170"/>
        <w:spacing w:after="0" w:line="214"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During the third quarter of fiscal 2019, we announced the wind down of our Toro-branded large horizontal directional drill and riding trencher product line ("Toro underground wind down"). Management actions represent inventory write-down charges incurred during the three and six month periods ended May 1, 2020 for the Toro underground wind down. For additional information regarding the Toro underground wind down, refer to Note 7, </w:t>
      </w:r>
      <w:r>
        <w:rPr>
          <w:rFonts w:ascii="Arial" w:cs="Arial" w:eastAsia="Arial" w:hAnsi="Arial"/>
          <w:sz w:val="15"/>
          <w:szCs w:val="15"/>
          <w:i w:val="1"/>
          <w:iCs w:val="1"/>
          <w:color w:val="auto"/>
        </w:rPr>
        <w:t>Management Actions</w:t>
      </w:r>
      <w:r>
        <w:rPr>
          <w:rFonts w:ascii="Arial" w:cs="Arial" w:eastAsia="Arial" w:hAnsi="Arial"/>
          <w:sz w:val="15"/>
          <w:szCs w:val="15"/>
          <w:color w:val="auto"/>
        </w:rPr>
        <w:t>, within the Notes to Condensed Consolidated Financial Statements included within Part 1, Item 1, "Financial Statements" of this Quarterly Report on Form 10-Q.</w:t>
      </w:r>
    </w:p>
    <w:p>
      <w:pPr>
        <w:spacing w:after="0" w:line="200" w:lineRule="exact"/>
        <w:rPr>
          <w:sz w:val="20"/>
          <w:szCs w:val="20"/>
          <w:color w:val="auto"/>
        </w:rPr>
      </w:pPr>
    </w:p>
    <w:p>
      <w:pPr>
        <w:jc w:val="both"/>
        <w:ind w:left="340" w:hanging="170"/>
        <w:spacing w:after="0" w:line="223" w:lineRule="auto"/>
        <w:tabs>
          <w:tab w:leader="none" w:pos="340" w:val="left"/>
        </w:tabs>
        <w:numPr>
          <w:ilvl w:val="0"/>
          <w:numId w:val="17"/>
        </w:numPr>
        <w:rPr>
          <w:rFonts w:ascii="Arial" w:cs="Arial" w:eastAsia="Arial" w:hAnsi="Arial"/>
          <w:sz w:val="23"/>
          <w:szCs w:val="23"/>
          <w:color w:val="auto"/>
          <w:vertAlign w:val="superscript"/>
        </w:rPr>
      </w:pPr>
      <w:r>
        <w:rPr>
          <w:rFonts w:ascii="Arial" w:cs="Arial" w:eastAsia="Arial" w:hAnsi="Arial"/>
          <w:sz w:val="14"/>
          <w:szCs w:val="14"/>
          <w:color w:val="auto"/>
        </w:rPr>
        <w:t xml:space="preserve">In the first quarter of fiscal 2017, we adopted Accounting Standards Update No. 2016-09, </w:t>
      </w:r>
      <w:r>
        <w:rPr>
          <w:rFonts w:ascii="Arial" w:cs="Arial" w:eastAsia="Arial" w:hAnsi="Arial"/>
          <w:sz w:val="14"/>
          <w:szCs w:val="14"/>
          <w:i w:val="1"/>
          <w:iCs w:val="1"/>
          <w:color w:val="auto"/>
        </w:rPr>
        <w:t>Stock-based Compensation: Improvements to Employee Share-based Payment</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w:t>
      </w:r>
      <w:r>
        <w:rPr>
          <w:rFonts w:ascii="Arial" w:cs="Arial" w:eastAsia="Arial" w:hAnsi="Arial"/>
          <w:sz w:val="14"/>
          <w:szCs w:val="14"/>
          <w:color w:val="auto"/>
        </w:rPr>
        <w:t>, which requires that any excess tax deduction for share-based compensation be immediately recorded within income tax expense. These amounts represent the</w:t>
      </w:r>
      <w:r>
        <w:rPr>
          <w:rFonts w:ascii="Arial" w:cs="Arial" w:eastAsia="Arial" w:hAnsi="Arial"/>
          <w:sz w:val="14"/>
          <w:szCs w:val="14"/>
          <w:i w:val="1"/>
          <w:iCs w:val="1"/>
          <w:color w:val="auto"/>
        </w:rPr>
        <w:t xml:space="preserve"> </w:t>
      </w:r>
      <w:r>
        <w:rPr>
          <w:rFonts w:ascii="Arial" w:cs="Arial" w:eastAsia="Arial" w:hAnsi="Arial"/>
          <w:sz w:val="14"/>
          <w:szCs w:val="14"/>
          <w:color w:val="auto"/>
        </w:rPr>
        <w:t>discrete tax benefits recorded as excess tax deductions for share-based compensation during the three and six month periods ended May 1, 2020 and May 3, 2019.</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2019. Refer to Part II, Item 7, "Management’s Discussion and Analysis of Financial Condition and Results of Operations",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2019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2016-03, </w:t>
      </w:r>
      <w:r>
        <w:rPr>
          <w:rFonts w:ascii="Arial" w:cs="Arial" w:eastAsia="Arial" w:hAnsi="Arial"/>
          <w:sz w:val="17"/>
          <w:szCs w:val="17"/>
          <w:i w:val="1"/>
          <w:iCs w:val="1"/>
          <w:color w:val="auto"/>
        </w:rPr>
        <w:t>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326): Measurement of Credit Losses on Financial Instruments</w:t>
      </w:r>
      <w:r>
        <w:rPr>
          <w:rFonts w:ascii="Arial" w:cs="Arial" w:eastAsia="Arial" w:hAnsi="Arial"/>
          <w:sz w:val="17"/>
          <w:szCs w:val="17"/>
          <w:color w:val="auto"/>
        </w:rPr>
        <w:t>, which modifies the measurement approach for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will affect trade receivables, off-balance-sheet credit exposures, and any other financial assets not excluded from the scope of this amendment that have the contractual right to receive cash. The amended guidance will become effective in the first quarter of fiscal 2021. We are currently evaluating the impact of this new standard on our Consolidated Financial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2018-13, Fair Value </w:t>
      </w:r>
      <w:r>
        <w:rPr>
          <w:rFonts w:ascii="Arial" w:cs="Arial" w:eastAsia="Arial" w:hAnsi="Arial"/>
          <w:sz w:val="18"/>
          <w:szCs w:val="18"/>
          <w:i w:val="1"/>
          <w:iCs w:val="1"/>
          <w:color w:val="auto"/>
        </w:rPr>
        <w:t>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makes a number of changes to add, modify or remove certain disclosure requirements of fair value measurements.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become effective in the first quarter of fiscal 2021. Early adoption is permitted for any removed or modified disclosures. We are currently evaluating the impact of this new standard on our Consolidated Financial Statements.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which modifies the disclosure requirements for defined benefit pension plans and other post-retirement plans. The amended guidance will become effective in the first quarter of fiscal 2021. Early adoption is permitted. We are currently evaluating the impact of this new standard on our Consolidated Financial Statements.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amended guidance will become effective in the first quarter of fiscal 2022. Early adoption is permitted. We are currently evaluating the impact of this new standard on our Consolidated Financial Statements.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 - Equity Securities (Topic 321), Investments - Equity Method and Joint Ventures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323), and Derivatives and Hedging (Topic 815)</w:t>
      </w:r>
      <w:r>
        <w:rPr>
          <w:rFonts w:ascii="Arial" w:cs="Arial" w:eastAsia="Arial" w:hAnsi="Arial"/>
          <w:sz w:val="17"/>
          <w:szCs w:val="17"/>
          <w:color w:val="auto"/>
        </w:rPr>
        <w:t>, which clarified that before applying or upon discontinuing the equity method of accounting for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equity securities, an entity should consider observable transactions that require it to apply or discontinue the equity method of accounting for the purposes of applying the fair value measurement alternative. The amended guidance will become effective in the first quarter of fiscal 2022. Early adoption is permitted. We are currently evaluating the impact of this standard on our Consolidated Financial Statements.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provides temporary optional guidance to ease the potential burden of accounting for reference rate reform due to the cessation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London 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We are currently evaluating the impact of this standard on our Consolidated Financial Statements and have yet to elect an adoption date.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 condition, and anticipated impacts as a result of COVID-19; our business strategies and goals; the integration of each of the CMW and Venture Products acquisitions; and the effect of laws, rules, policies, regulations, tax reform, new accounting pronouncements, and outstanding litigation on our business and future performance.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76" w:lineRule="exact"/>
        <w:rPr>
          <w:sz w:val="20"/>
          <w:szCs w:val="20"/>
          <w:color w:val="auto"/>
        </w:rPr>
      </w:pPr>
    </w:p>
    <w:p>
      <w:pPr>
        <w:jc w:val="both"/>
        <w:ind w:left="660" w:hanging="328"/>
        <w:spacing w:after="0" w:line="28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economic conditions and outlook in the United States and in other countries in which we conduct business, including as a result of COVID-19, have adversely affected our net sales and earnings and could continue to adversely affect our net sales and earnings, which include but are not limited to business closures; slowdowns, suspensions or delays of production and commercial activity; recessionary conditions; slow or negative economic growth rates; slow down or reductions in levels of golf course development, renovation, and improvement; golf course closures; reduced governmental or municipal spending; reduced levels of home ownership, construction, and sales; home foreclosures; negative consumer confidence; reduced consumer spending levels; increased unemployment rates; prolonged high unemployment rates; higher costs of commodities, components, parts, and accessories and/or transportation-related costs, including as a result of inflation, changing prices,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w:t>
      </w:r>
    </w:p>
    <w:p>
      <w:pPr>
        <w:spacing w:after="0" w:line="4"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COVID-19 has directly and indirectly adversely impacted our business, financial condition and operating results and such adverse impact will likely continue, is highly uncertain and cannot be predicted, but has been and could continue to be material and is based on numerous factors, which include but are not limited to, the duration, scope, and severity of COVID-19; governmental, business and individual actions that have been, and continue to be, taken in response to COVID-19; the effect of COVID-19 on our dealers, distributors, mass retailers and other channel partners and customers, including reduced or constrained budgets and cash preservation efforts; our ability during COVID-19 to continue operations and/or adjust our production schedules; significant reductions or volatility in demand for one or more of our products or services and/or higher demand for moderately-priced products; the effect of COVID-19 on our suppliers and our ability to obtain commodities, components, parts, and accessories on a timely basis through our supply chain and at anticipated costs; logistics costs and challenges; costs incurred as a result of necessary actions and preparedness plans to help ensure the health and safety of our employees and continued operations; potential future restructuring, impairment or other charges; availability of employees, their ability to conduct work away from normal working locations and/or under revised work environment protocols, as well as the general willingness of employees to come to and perform work; the impact of COVID-19 on the financial and credit markets and economic activity generally; our ability to access lending, capital markets, and other sources of liquidity when needed on reasonable terms or at all; our ability to comply with the financial covenants in our debt agreements if the material economic downturn as a result of COVID-19 results in substantially increased indebtedness and/or lower EBITDA for us; and the exasperation of negative impacts as a result of the occurrence of a global or national recession, depression or other sustained adverse market event as a result of COVID-19.</w:t>
      </w:r>
    </w:p>
    <w:p>
      <w:pPr>
        <w:spacing w:after="0" w:line="8"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Professional segment net sales are dependent upon certain factors, many of which have been adversely impacted by COVID-19, including golf course revenues and the amount of investment in golf course renovations and improvements; the level of new golf course development and golf course closures; infrastructure improvements; demand for our products in the rental, specialty and underground construction markets, including those related to oil and gas construction activities; the extent to which property owners outsource their lawn care and snow and ice removal activities; residential and/or municipal commercial construction activity; continued acceptance of, and demand for, ag-irrigation solutions; the timing and occurrence of winter weather conditions; availability of cash or credit to Professional segment customers on acceptable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terms to finance new product purchases; and the amount of government and other customer revenues, budget, and spending levels for grounds maintenance or construction equipment.</w:t>
      </w:r>
    </w:p>
    <w:p>
      <w:pPr>
        <w:spacing w:after="0" w:line="1" w:lineRule="exact"/>
        <w:rPr>
          <w:sz w:val="20"/>
          <w:szCs w:val="20"/>
          <w:color w:val="auto"/>
        </w:rPr>
      </w:pP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the cost, or disruption and/or shortages in the availability, of commodities, components, parts and accessories containing various materials that we purchase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including as a result of COVID-19, increased costs, increased tariffs, duties or other charges as a result of changes to U.S. or international trade policies or trade agreements, trade regulation and/or industry activity, or antidumping and countervailing duty petitions on certain products imported from foreign countries, or inability of suppliers to continue operations or otherwise remain in business as a result of COVID-19, financial difficulties, or otherwise, have affected our profit margins, operating results and businesses and could continue to result in declines in our profit margins, operating results and businesses.</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Managing inventory levels in the current COVID-19 commercial environment is particularly difficult as a result of changes to production operations, locations and schedules as well as demand volatility. If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Weather conditions, including unfavorable weather conditions exacerbated by global climate changes or otherwise, may reduce demand for some of our products and/or cause disruptions in our operations, including as a result of disruption in our supply chain, and adversely affect our net sales and operating results, or may affect the timing of demand for some of our products and/or our ability to manufacture product to fulfill customer demand, which may adversely affect net sales and operating results in subsequent periods.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continued operations of mass retailers, dealers, and home centers;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intend to grow our business in part through acquisitions and alliances, strong customer relations, and new joint ventures, investments, and partnerships, which could be risky and harm our business, reputation, financial condition, and operating results, particularly if we are not able to successfully integrate such acquisitions and alliances, joint ventures, investments, and partnerships, such transactions result in disruption to our operations, we experience loss of key employees, customers, or channel partners, significant amounts of goodwill, other intangible assets, and/or long-lived assets incurred as a result of a transaction are subsequently written off, and other factors. If previous or future acquisitions do not produce the expected results or integration into our operations takes more time than expected, our business could be harmed.</w:t>
      </w:r>
    </w:p>
    <w:p>
      <w:pPr>
        <w:spacing w:after="0" w:line="3"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May 1, 2020, we had goodwill of $426.2 million and other intangible assets of $417.9 million, which together comprise 30.0 percent of our total assets as of May 1, 2020. These amounts are maintained in various reporting units, including goodwill and other intangible assets from the CMW and Venture Products acquisitions. If we determine that our goodwill or other intangible assets recorded have become impaired, we will be required to record a charge resulting from the impairment. Impairment charges, including such charges that could arise as a result of the COVID-19 pandemic, could be significant and could adversely affect our consolidated results of operations and financial position.</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and business factors, including implications of withdrawal by the U.S. from, or revision to, international trade agreements, foreign trade or other policy changes between the U.S. and other countries, trade regulation and/or industry activity that favors domestic companies, including antidumping and countervailing duty petitions on certain products imported from foreign countries, pandemics and/or epidemics, including COVID-19,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4" w:lineRule="exact"/>
        <w:rPr>
          <w:sz w:val="20"/>
          <w:szCs w:val="20"/>
          <w:color w:val="auto"/>
        </w:rPr>
      </w:pP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as well as develop and market new products, that respond to customer needs and preferences and achieve market acceptance, including by incorporating new, emerging and/or disruptive technologies that may become preferred by our customers, we may experience a decrease in demand for our products, and our net sales could be adversely affected.</w:t>
      </w: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disruption, including as a result of natural or man-made disasters, inclement weather, including as a result of climate change-related events, work slowdowns, strikes, pandemics and/or epidemics, including COVID-19, protests and/or social unrest, or other events, at or in proximity to any of our facilities or in our manufacturing or other operations, or those of our distribution channel customers, mass retailers or home centers where our products are sold, or suppliers, or our inability to cost-effectively expand existing facilities, open and manage new facilities, and/or move production between manufacturing facilities could adversely affect our business and operating results.</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labor needs fluctuate throughout the year and any failure by us to hire and/or retain a labor force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labor force has been impacted by COVID-19 and such impact will likely continue, including as a result of governmental, business and individual actions that have been, and continue to be, taken in response to COVID-19.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 In addition, changes in laws, policies, and regulations in the U.S. or other countries in which we conduct business also may adversely affect our financial results, including as a result of, (i) adoption of laws and regulations to address COVID-19, (ii) taxation and tax policy changes, tax rate changes, new tax laws, new or revised tax law interpretations or guidance, including as a result of the Tax Act, (iii) changes to, or adoption of new, healthcare laws or regulations, or (iv) changes to U.S. or international policies or trade agreements or trade regulation and/or industry activity, including antidumping and countervailing duty petitions on certain products imported from foreign countries, that could result in additional duties or other charges on commodities, components, parts or accessories we import.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or tax standards, policies, or assumptions in applying accounting or tax policies could adversely affect our financial statements, including our financial results and financial condition.</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dependent upon various floor planning programs to provide competitive inventory financing programs to certain distributors and dealers of our products. Any material change in the availability or terms of credit offered to our customers by such programs, challenges or delays in transferring new distributors and dealers from any business we might acquire or otherwise to such programs, or any termination or disruption of our various floor planning programs or any delay in securing replacement credit sources, could adversely affect our net sales and operating results.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 of further leverage to our capital structure could result in a downgrade to our credit ratings in the future and the failure to maintain investment grade credit ratings could adversely affect our cost of funding and our liquidity by limiting the access to capital markets or the availability of funding from a variety of lenders.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2019. Refer to Part II, Item 7A, "Quantitative and Qualitative Disclosures about Market Risk", within our Annual Report on Form 10-K for the fiscal year ended October 31, 2019 for a complete discussion of our market risk. Refer below for further discussion on foreign currency exchange rate risk, interest rate risk, and commodity cost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17,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Item 1 of this Quarterly Report on Form 10-Q.</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foreign currency exchange contracts in the table below have maturity dates in fiscal 2020 through fiscal 2022. All items are non-trading and stated in U.S. dollars. As of May 1, 2020, the average contracted rate, notional amount, fair value, and the gain (loss)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980" w:type="dxa"/>
            <w:vAlign w:val="bottom"/>
          </w:tcPr>
          <w:p>
            <w:pPr>
              <w:jc w:val="right"/>
              <w:ind w:right="355"/>
              <w:spacing w:after="0"/>
              <w:rPr>
                <w:sz w:val="20"/>
                <w:szCs w:val="20"/>
                <w:color w:val="auto"/>
              </w:rPr>
            </w:pPr>
            <w:r>
              <w:rPr>
                <w:rFonts w:ascii="Arial" w:cs="Arial" w:eastAsia="Arial" w:hAnsi="Arial"/>
                <w:sz w:val="17"/>
                <w:szCs w:val="17"/>
                <w:b w:val="1"/>
                <w:bCs w:val="1"/>
                <w:color w:val="auto"/>
              </w:rPr>
              <w:t>Average</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7"/>
                <w:szCs w:val="17"/>
                <w:b w:val="1"/>
                <w:bCs w:val="1"/>
                <w:color w:val="auto"/>
                <w:w w:val="93"/>
              </w:rPr>
              <w:t>Gain (Loss) at Fair</w:t>
            </w:r>
          </w:p>
        </w:tc>
      </w:tr>
      <w:tr>
        <w:trPr>
          <w:trHeight w:val="220"/>
        </w:trPr>
        <w:tc>
          <w:tcPr>
            <w:tcW w:w="45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average contracted rate)</w:t>
            </w:r>
          </w:p>
        </w:tc>
        <w:tc>
          <w:tcPr>
            <w:tcW w:w="1980" w:type="dxa"/>
            <w:vAlign w:val="bottom"/>
          </w:tcPr>
          <w:p>
            <w:pPr>
              <w:jc w:val="right"/>
              <w:ind w:right="55"/>
              <w:spacing w:after="0"/>
              <w:rPr>
                <w:sz w:val="20"/>
                <w:szCs w:val="20"/>
                <w:color w:val="auto"/>
              </w:rPr>
            </w:pPr>
            <w:r>
              <w:rPr>
                <w:rFonts w:ascii="Arial" w:cs="Arial" w:eastAsia="Arial" w:hAnsi="Arial"/>
                <w:sz w:val="17"/>
                <w:szCs w:val="17"/>
                <w:b w:val="1"/>
                <w:bCs w:val="1"/>
                <w:color w:val="auto"/>
              </w:rPr>
              <w:t>Contracted Rate</w:t>
            </w:r>
          </w:p>
        </w:tc>
        <w:tc>
          <w:tcPr>
            <w:tcW w:w="156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Notional Amount</w:t>
            </w:r>
          </w:p>
        </w:tc>
        <w:tc>
          <w:tcPr>
            <w:tcW w:w="320" w:type="dxa"/>
            <w:vAlign w:val="bottom"/>
          </w:tcPr>
          <w:p>
            <w:pPr>
              <w:spacing w:after="0"/>
              <w:rPr>
                <w:sz w:val="19"/>
                <w:szCs w:val="19"/>
                <w:color w:val="auto"/>
              </w:rPr>
            </w:pPr>
          </w:p>
        </w:tc>
        <w:tc>
          <w:tcPr>
            <w:tcW w:w="1240" w:type="dxa"/>
            <w:vAlign w:val="bottom"/>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420" w:type="dxa"/>
            <w:vAlign w:val="bottom"/>
          </w:tcPr>
          <w:p>
            <w:pPr>
              <w:spacing w:after="0"/>
              <w:rPr>
                <w:sz w:val="19"/>
                <w:szCs w:val="19"/>
                <w:color w:val="auto"/>
              </w:rPr>
            </w:pPr>
          </w:p>
        </w:tc>
        <w:tc>
          <w:tcPr>
            <w:tcW w:w="1140" w:type="dxa"/>
            <w:vAlign w:val="bottom"/>
          </w:tcPr>
          <w:p>
            <w:pPr>
              <w:jc w:val="right"/>
              <w:ind w:right="435"/>
              <w:spacing w:after="0"/>
              <w:rPr>
                <w:sz w:val="20"/>
                <w:szCs w:val="20"/>
                <w:color w:val="auto"/>
              </w:rPr>
            </w:pPr>
            <w:r>
              <w:rPr>
                <w:rFonts w:ascii="Arial" w:cs="Arial" w:eastAsia="Arial" w:hAnsi="Arial"/>
                <w:sz w:val="17"/>
                <w:szCs w:val="17"/>
                <w:b w:val="1"/>
                <w:bCs w:val="1"/>
                <w:color w:val="auto"/>
              </w:rPr>
              <w:t>Value</w:t>
            </w:r>
          </w:p>
        </w:tc>
      </w:tr>
      <w:tr>
        <w:trPr>
          <w:trHeight w:val="31"/>
        </w:trPr>
        <w:tc>
          <w:tcPr>
            <w:tcW w:w="4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Australian dollar</w:t>
            </w:r>
          </w:p>
        </w:tc>
        <w:tc>
          <w:tcPr>
            <w:tcW w:w="1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0.6994</w:t>
            </w:r>
          </w:p>
        </w:tc>
        <w:tc>
          <w:tcPr>
            <w:tcW w:w="5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97,693</w:t>
            </w: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103,841</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6,148</w:t>
            </w:r>
          </w:p>
        </w:tc>
      </w:tr>
      <w:tr>
        <w:trPr>
          <w:trHeight w:val="239"/>
        </w:trPr>
        <w:tc>
          <w:tcPr>
            <w:tcW w:w="4580" w:type="dxa"/>
            <w:vAlign w:val="bottom"/>
          </w:tcPr>
          <w:p>
            <w:pPr>
              <w:ind w:left="40"/>
              <w:spacing w:after="0"/>
              <w:rPr>
                <w:sz w:val="20"/>
                <w:szCs w:val="20"/>
                <w:color w:val="auto"/>
              </w:rPr>
            </w:pPr>
            <w:r>
              <w:rPr>
                <w:rFonts w:ascii="Arial" w:cs="Arial" w:eastAsia="Arial" w:hAnsi="Arial"/>
                <w:sz w:val="17"/>
                <w:szCs w:val="17"/>
                <w:color w:val="auto"/>
              </w:rPr>
              <w:t>Buy U.S. dollar/Sell Canadian dollar</w:t>
            </w:r>
          </w:p>
        </w:tc>
        <w:tc>
          <w:tcPr>
            <w:tcW w:w="1980" w:type="dxa"/>
            <w:vAlign w:val="bottom"/>
          </w:tcPr>
          <w:p>
            <w:pPr>
              <w:jc w:val="right"/>
              <w:ind w:right="35"/>
              <w:spacing w:after="0"/>
              <w:rPr>
                <w:sz w:val="20"/>
                <w:szCs w:val="20"/>
                <w:color w:val="auto"/>
              </w:rPr>
            </w:pPr>
            <w:r>
              <w:rPr>
                <w:rFonts w:ascii="Arial" w:cs="Arial" w:eastAsia="Arial" w:hAnsi="Arial"/>
                <w:sz w:val="17"/>
                <w:szCs w:val="17"/>
                <w:color w:val="auto"/>
              </w:rPr>
              <w:t>1.3310</w:t>
            </w:r>
          </w:p>
        </w:tc>
        <w:tc>
          <w:tcPr>
            <w:tcW w:w="5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31,833</w:t>
            </w:r>
          </w:p>
        </w:tc>
        <w:tc>
          <w:tcPr>
            <w:tcW w:w="32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33,129</w:t>
            </w:r>
          </w:p>
        </w:tc>
        <w:tc>
          <w:tcPr>
            <w:tcW w:w="4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1,296</w:t>
            </w:r>
          </w:p>
        </w:tc>
      </w:tr>
      <w:tr>
        <w:trPr>
          <w:trHeight w:val="31"/>
        </w:trPr>
        <w:tc>
          <w:tcPr>
            <w:tcW w:w="4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Euro</w:t>
            </w:r>
          </w:p>
        </w:tc>
        <w:tc>
          <w:tcPr>
            <w:tcW w:w="1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1.1801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150,386</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160,916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10,530</w:t>
            </w:r>
          </w:p>
        </w:tc>
      </w:tr>
      <w:tr>
        <w:trPr>
          <w:trHeight w:val="239"/>
        </w:trPr>
        <w:tc>
          <w:tcPr>
            <w:tcW w:w="4580" w:type="dxa"/>
            <w:vAlign w:val="bottom"/>
          </w:tcPr>
          <w:p>
            <w:pPr>
              <w:ind w:left="40"/>
              <w:spacing w:after="0"/>
              <w:rPr>
                <w:sz w:val="20"/>
                <w:szCs w:val="20"/>
                <w:color w:val="auto"/>
              </w:rPr>
            </w:pPr>
            <w:r>
              <w:rPr>
                <w:rFonts w:ascii="Arial" w:cs="Arial" w:eastAsia="Arial" w:hAnsi="Arial"/>
                <w:sz w:val="17"/>
                <w:szCs w:val="17"/>
                <w:color w:val="auto"/>
              </w:rPr>
              <w:t>Buy U.S. dollar/Sell British pound</w:t>
            </w:r>
          </w:p>
        </w:tc>
        <w:tc>
          <w:tcPr>
            <w:tcW w:w="1980" w:type="dxa"/>
            <w:vAlign w:val="bottom"/>
          </w:tcPr>
          <w:p>
            <w:pPr>
              <w:jc w:val="right"/>
              <w:ind w:right="35"/>
              <w:spacing w:after="0"/>
              <w:rPr>
                <w:sz w:val="20"/>
                <w:szCs w:val="20"/>
                <w:color w:val="auto"/>
              </w:rPr>
            </w:pPr>
            <w:r>
              <w:rPr>
                <w:rFonts w:ascii="Arial" w:cs="Arial" w:eastAsia="Arial" w:hAnsi="Arial"/>
                <w:sz w:val="17"/>
                <w:szCs w:val="17"/>
                <w:color w:val="auto"/>
              </w:rPr>
              <w:t>1.3142</w:t>
            </w:r>
          </w:p>
        </w:tc>
        <w:tc>
          <w:tcPr>
            <w:tcW w:w="5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51,279</w:t>
            </w:r>
          </w:p>
        </w:tc>
        <w:tc>
          <w:tcPr>
            <w:tcW w:w="32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53,863</w:t>
            </w:r>
          </w:p>
        </w:tc>
        <w:tc>
          <w:tcPr>
            <w:tcW w:w="4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2,584</w:t>
            </w:r>
          </w:p>
        </w:tc>
      </w:tr>
      <w:tr>
        <w:trPr>
          <w:trHeight w:val="31"/>
        </w:trPr>
        <w:tc>
          <w:tcPr>
            <w:tcW w:w="4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Mexican peso/Sell U.S. dollar</w:t>
            </w:r>
          </w:p>
        </w:tc>
        <w:tc>
          <w:tcPr>
            <w:tcW w:w="1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21.4522</w:t>
            </w:r>
          </w:p>
        </w:tc>
        <w:tc>
          <w:tcPr>
            <w:tcW w:w="5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2,144</w:t>
            </w: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1,901</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0"/>
        </w:trPr>
        <w:tc>
          <w:tcPr>
            <w:tcW w:w="45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Condensed Consolidated Balance Sheets, and would not impact net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market risk on interest rates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Our indebtedness as of May 1, 2020 includes $423.9 million of fixed rate debt that is not subject to variable interest rate fluctuations and $470.0 million of LIBOR-based borrowings under our term loan credit agreements. We have no earnings or cash flow exposure due to market risks on our fixed-rate long-term debt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commodities, components, parts, and accessories used in our manufacturing process and end-products, or to be sold as standalone end-products, are exposed to commodity cost changes, including, for example, as a result of inflation, deflation, changing prices, tariffs, and/or duties. Our primary commodity cost exposures are with steel, aluminum, petroleum and natural gas-based resins, copper, lead, rubber, linerboard, and other materials, as well as components, such as engines, transmissions, transaxles, hydraulics, and electric motors,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strategically work to mitigate any unfavorable impact as a result of changes to the cost of commodities, components, parts, and accessories that affect our product lines.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w:t>
      </w:r>
    </w:p>
    <w:p>
      <w:pPr>
        <w:sectPr>
          <w:pgSz w:w="11900" w:h="16838" w:orient="portrait"/>
          <w:cols w:equalWidth="0" w:num="1">
            <w:col w:w="11240"/>
          </w:cols>
          <w:pgMar w:left="320" w:top="12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components, parts, and accessories costs increase, as a result of inflation, tariffs, duties, trade regulatory actions, industry actions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six months of fiscal 2020, the average cost of commodities, components, parts, and accessories, including the impact of tariff costs, was lower compared to the first six months of fiscal 2019. We anticipate that the average cost for commodities, components, parts, and accessories, including the impact of tariff costs, for the remainder of fiscal 2020 will be less than the average costs experienced during the comparable period of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evaluated, with the participation of our Chairman of the Board, President and Chief Executive Officer and Vice President, Treasurer and Chief Financial Officer, the effectiveness of the design and operation of our disclosure controls and procedures as of the end of the period covered by this Quarterly Report on Form 10-Q. Based on that evaluation, our Chairman of the Board, President and Chief Executive Officer and Vice President, Treasurer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Treasurer and Chief Financial Officer, as appropriate, to allow timely decisions regarding required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2020, we completed the acquisition of Venture Products and on April 1, 2019, during the second quarter of fiscal 2019, we completed the acquisition of CMW. Prior to these acquisitions, both Venture Products and CMW were privately-held companies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Venture Products and CMW that we believe are appropriate and necessary to account for the acquisitions and to consolidate and report our financial results. We expect to complete our integration activities related to internal control over financial reporting for Venture Products during fiscal 2021. As of the end of the second quarter of fiscal 2020, we have substantially completed our integration activities related to internal control over financial reporting for CMW. Accordingly, we expect to include CMW within our assessment of internal control over financial reporting as of October 31, 2020 but do not expect to include Venture Products within such assessment.</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integration activities in connection with the company's acquisitions of Venture Products and CMW, there was no change in our internal control over financial reporting that occurred during the three month period ended May 1, 2020 that has materially affected, or is reasonably likely to materially affect, our internal control over financial reporting.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 For a description of our material legal proceedings, see Note 15, </w:t>
      </w:r>
      <w:r>
        <w:rPr>
          <w:rFonts w:ascii="Arial" w:cs="Arial" w:eastAsia="Arial" w:hAnsi="Arial"/>
          <w:sz w:val="16"/>
          <w:szCs w:val="16"/>
          <w:i w:val="1"/>
          <w:iCs w:val="1"/>
          <w:color w:val="auto"/>
        </w:rPr>
        <w:t>Contingencies</w:t>
      </w:r>
      <w:r>
        <w:rPr>
          <w:rFonts w:ascii="Arial" w:cs="Arial" w:eastAsia="Arial" w:hAnsi="Arial"/>
          <w:sz w:val="16"/>
          <w:szCs w:val="16"/>
          <w:color w:val="auto"/>
        </w:rPr>
        <w:t>, in our Notes to Condensed Consolidated Financial Statements under the heading "Litigation" included in Item 1 of this Quarterly Report on Form 10-Q, which is incorporated into this Part II. Item 1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with the exception of the addition of the following two new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COVID-19 has materially adversely impacted our business, financial condition and operating results and will likely continue to adversely impact our business, financial condition and operating results and such impact could continue to be material.</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COVID-19 has created significant worldwide volatility, uncertainty and disruption. In particular, COVID-19 has resulted in a substantial curtailment of business activities, a significant number of business closures, slowdowns, suspensions or delays of production and commercial activity, and weakened economic conditions, both in the United States and many foreign countries. As such, COVID-19 has materially directly and indirectly adversely impacted us and such adverse impact will likely continue. However, the extent to which COVID-19 will continue to adversely impact our business, financial condition and operating results, which could continue to be material, will depend on numerous evolving factors, including:</w:t>
      </w:r>
    </w:p>
    <w:p>
      <w:pPr>
        <w:spacing w:after="0" w:line="6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scope, and severity of COVID-19;</w:t>
      </w:r>
    </w:p>
    <w:p>
      <w:pPr>
        <w:spacing w:after="0" w:line="23"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governmental, business and individual actions that have been, and continue to be, taken in response to COVID-19, including business and travel restrictions, "stay-at-home" and "shelter-in-place" directives, quarantines, and slowdowns, suspensions or delays of commercial activity;</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COVID-19 on our dealers, distributors, mass retailers and other channel partners and customers, including their ability to remain open, continue to sell and service our products, pay for the products purchased from us, collect payment from their customers, adoption of reduced or experiecencing constrained budgets, or enacting cash preservation efforts;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during COVID-19 to continue operations and/or adjust our production schedules, including by the temporary suspension of production activity mandated or otherwise made necessary by governmental authorities, as a result of current and anticipated weakened demand and/or production delays at certain of our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reductions or volatility in demand for one or more of our products or services and/or higher demand for moderately-priced products;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COVID-19 on our suppliers and our ability to continue to obtain commodities, components, parts, and accessories on a timely basis through our supply chain and at anticipated costs;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logistics costs and challenges, including availability of transportation and at previously anticipated costs;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incurred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future restructuring, impairment or other 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employees, their ability to continue to conduct work away from normal working locations and/or under revised work environment protocols, as well as the general willingness of employees to come to and perform work;</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establish and maintain appropriate estimates and assumptions used to prepare the Condensed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continued impact of COVID-19 on the financial and credit markets and economic activity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access lending, capital markets, and other sources of liquidity when needed on reasonable terms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debt agreements if the material economic downturn as a result of COVID-19 results in substantially increased indebtedness and/or lower EBITDA for us; and</w:t>
      </w: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continued exasperation of negative impacts as a result of the continuance of a global or national recession, depression or other sustained adverse market event as a result of COVID-19, including without limitation substantially reduced demand for our products.</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impacts from COVID-19 and efforts to contain it have heightened the risks in certain of the other risk factors described in our most recently filed Annual Report on Form 10-K, Part I, Item 1A. "Risk Factors".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recent acquisition of Venture Products, Inc. involves a number of risks, the occurrence of which could adversely affect our business, financial condition, and operating results.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2, 2020, we completed our acquisition of Venture Products. The acquisition involves certain risks, the occurrence of which could adversely affect our business, financial condition, and operating results, including:</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to integrate Venture Products'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existing operations and plans or inability to effectively manage our expanded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difficulties, or delays in securing, integrating, and assimilating information, financial systems, internal controls, operations, manufacturing processes, products, or the distribution channel for Venture Products' businesses and product lines;</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Venture Products employees, suppliers, customers, distributors, or dealers or other adverse effects on existing business relationships with suppliers, customers, distributors, and dealers;</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reallocation of amounts of capital from our other strategic initiatives;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we financed the acquisition and related transaction expenses with additional borrowings under our existing credit facility, our ability to access additional capital thereunder may be limited and the increase in our leverage and debt service requirements could restrict our ability to access additional capital when needed or to pursue other important elements of our business strategy;</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unanticipated costs associated with the acquisition, and despite the existence of representations, warranties, and indemnities in the merger agreement, an inability to recover or manage such liabilities and costs;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incorrect estimates made in the accounting for the acquisition or the potential write-off of significant amounts of goodwill, intangible assets, and/or other tangible assets if the Venture Products business does not perform in the future as expected;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mentioned in our recently filed Annual Report on Form 10-K, Part 1, Item 1A, "Risk Factors".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the company's common stock purchased by the company during each of the three fiscal months in our second quarter ended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0"/>
              </w:rPr>
              <w:t>Total Number of Shares</w:t>
            </w:r>
          </w:p>
        </w:tc>
        <w:tc>
          <w:tcPr>
            <w:tcW w:w="182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ind w:left="600"/>
              <w:spacing w:after="0"/>
              <w:rPr>
                <w:sz w:val="20"/>
                <w:szCs w:val="20"/>
                <w:color w:val="auto"/>
              </w:rPr>
            </w:pPr>
            <w:r>
              <w:rPr>
                <w:rFonts w:ascii="Arial" w:cs="Arial" w:eastAsia="Arial" w:hAnsi="Arial"/>
                <w:sz w:val="17"/>
                <w:szCs w:val="17"/>
                <w:b w:val="1"/>
                <w:bCs w:val="1"/>
                <w:color w:val="auto"/>
              </w:rPr>
              <w:t>(or Units)</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3"/>
              </w:rPr>
              <w:t>Maximum Number of</w:t>
            </w:r>
          </w:p>
        </w:tc>
      </w:tr>
      <w:tr>
        <w:trPr>
          <w:trHeight w:val="203"/>
        </w:trPr>
        <w:tc>
          <w:tcPr>
            <w:tcW w:w="3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Arial" w:cs="Arial" w:eastAsia="Arial" w:hAnsi="Arial"/>
                <w:sz w:val="17"/>
                <w:szCs w:val="17"/>
                <w:b w:val="1"/>
                <w:bCs w:val="1"/>
                <w:color w:val="auto"/>
                <w:w w:val="89"/>
              </w:rPr>
              <w:t>Average</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 As</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1"/>
              </w:rPr>
              <w:t>Shares (or Units) that</w:t>
            </w:r>
          </w:p>
        </w:tc>
      </w:tr>
      <w:tr>
        <w:trPr>
          <w:trHeight w:val="203"/>
        </w:trPr>
        <w:tc>
          <w:tcPr>
            <w:tcW w:w="3980" w:type="dxa"/>
            <w:vAlign w:val="bottom"/>
          </w:tcPr>
          <w:p>
            <w:pPr>
              <w:spacing w:after="0"/>
              <w:rPr>
                <w:sz w:val="17"/>
                <w:szCs w:val="17"/>
                <w:color w:val="auto"/>
              </w:rPr>
            </w:pPr>
          </w:p>
        </w:tc>
        <w:tc>
          <w:tcPr>
            <w:tcW w:w="2260" w:type="dxa"/>
            <w:vAlign w:val="bottom"/>
          </w:tcPr>
          <w:p>
            <w:pPr>
              <w:jc w:val="center"/>
              <w:ind w:left="715"/>
              <w:spacing w:after="0"/>
              <w:rPr>
                <w:sz w:val="20"/>
                <w:szCs w:val="20"/>
                <w:color w:val="auto"/>
              </w:rPr>
            </w:pPr>
            <w:r>
              <w:rPr>
                <w:rFonts w:ascii="Arial" w:cs="Arial" w:eastAsia="Arial" w:hAnsi="Arial"/>
                <w:sz w:val="17"/>
                <w:szCs w:val="17"/>
                <w:b w:val="1"/>
                <w:bCs w:val="1"/>
                <w:color w:val="auto"/>
                <w:w w:val="93"/>
              </w:rPr>
              <w:t>Total Number of</w:t>
            </w:r>
          </w:p>
        </w:tc>
        <w:tc>
          <w:tcPr>
            <w:tcW w:w="2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Arial" w:cs="Arial" w:eastAsia="Arial" w:hAnsi="Arial"/>
                <w:sz w:val="17"/>
                <w:szCs w:val="17"/>
                <w:b w:val="1"/>
                <w:bCs w:val="1"/>
                <w:color w:val="auto"/>
                <w:w w:val="92"/>
              </w:rPr>
              <w:t>Price Paid</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3"/>
              </w:rPr>
              <w:t>Part of Publicly</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1"/>
              </w:rPr>
              <w:t>May Yet Be Purchased</w:t>
            </w:r>
          </w:p>
        </w:tc>
      </w:tr>
      <w:tr>
        <w:trPr>
          <w:trHeight w:val="203"/>
        </w:trPr>
        <w:tc>
          <w:tcPr>
            <w:tcW w:w="3980" w:type="dxa"/>
            <w:vAlign w:val="bottom"/>
          </w:tcPr>
          <w:p>
            <w:pPr>
              <w:spacing w:after="0"/>
              <w:rPr>
                <w:sz w:val="17"/>
                <w:szCs w:val="17"/>
                <w:color w:val="auto"/>
              </w:rPr>
            </w:pPr>
          </w:p>
        </w:tc>
        <w:tc>
          <w:tcPr>
            <w:tcW w:w="2260" w:type="dxa"/>
            <w:vAlign w:val="bottom"/>
          </w:tcPr>
          <w:p>
            <w:pPr>
              <w:jc w:val="center"/>
              <w:ind w:left="695"/>
              <w:spacing w:after="0"/>
              <w:rPr>
                <w:sz w:val="20"/>
                <w:szCs w:val="20"/>
                <w:color w:val="auto"/>
              </w:rPr>
            </w:pPr>
            <w:r>
              <w:rPr>
                <w:rFonts w:ascii="Arial" w:cs="Arial" w:eastAsia="Arial" w:hAnsi="Arial"/>
                <w:sz w:val="17"/>
                <w:szCs w:val="17"/>
                <w:b w:val="1"/>
                <w:bCs w:val="1"/>
                <w:color w:val="auto"/>
                <w:w w:val="90"/>
              </w:rPr>
              <w:t>Shares (or Units)</w:t>
            </w:r>
          </w:p>
        </w:tc>
        <w:tc>
          <w:tcPr>
            <w:tcW w:w="2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per Share</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89"/>
              </w:rPr>
              <w:t>Announced Plans or</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1"/>
              </w:rPr>
              <w:t>Under the Plans or</w:t>
            </w:r>
          </w:p>
        </w:tc>
      </w:tr>
      <w:tr>
        <w:trPr>
          <w:trHeight w:val="251"/>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Period</w:t>
            </w:r>
          </w:p>
        </w:tc>
        <w:tc>
          <w:tcPr>
            <w:tcW w:w="2260" w:type="dxa"/>
            <w:vAlign w:val="bottom"/>
            <w:tcBorders>
              <w:bottom w:val="single" w:sz="8" w:color="auto"/>
            </w:tcBorders>
          </w:tcPr>
          <w:p>
            <w:pPr>
              <w:jc w:val="center"/>
              <w:ind w:left="715"/>
              <w:spacing w:after="0" w:line="251" w:lineRule="exact"/>
              <w:rPr>
                <w:sz w:val="20"/>
                <w:szCs w:val="20"/>
                <w:color w:val="auto"/>
              </w:rPr>
            </w:pPr>
            <w:r>
              <w:rPr>
                <w:rFonts w:ascii="Arial" w:cs="Arial" w:eastAsia="Arial" w:hAnsi="Arial"/>
                <w:sz w:val="17"/>
                <w:szCs w:val="17"/>
                <w:b w:val="1"/>
                <w:bCs w:val="1"/>
                <w:color w:val="auto"/>
                <w:w w:val="83"/>
              </w:rPr>
              <w:t>Purchased</w:t>
            </w:r>
            <w:r>
              <w:rPr>
                <w:rFonts w:ascii="Arial" w:cs="Arial" w:eastAsia="Arial" w:hAnsi="Arial"/>
                <w:sz w:val="28"/>
                <w:szCs w:val="28"/>
                <w:b w:val="1"/>
                <w:bCs w:val="1"/>
                <w:color w:val="auto"/>
                <w:w w:val="83"/>
                <w:vertAlign w:val="superscript"/>
              </w:rPr>
              <w:t>1,2</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6"/>
              </w:rPr>
              <w:t>(or Unit)</w:t>
            </w:r>
          </w:p>
        </w:tc>
        <w:tc>
          <w:tcPr>
            <w:tcW w:w="194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7"/>
                <w:szCs w:val="17"/>
                <w:b w:val="1"/>
                <w:bCs w:val="1"/>
                <w:color w:val="auto"/>
                <w:w w:val="89"/>
              </w:rPr>
              <w:t>Programs</w:t>
            </w:r>
            <w:r>
              <w:rPr>
                <w:rFonts w:ascii="Arial" w:cs="Arial" w:eastAsia="Arial" w:hAnsi="Arial"/>
                <w:sz w:val="28"/>
                <w:szCs w:val="28"/>
                <w:b w:val="1"/>
                <w:bCs w:val="1"/>
                <w:color w:val="auto"/>
                <w:w w:val="89"/>
                <w:vertAlign w:val="superscript"/>
              </w:rPr>
              <w:t>1</w:t>
            </w:r>
          </w:p>
        </w:tc>
        <w:tc>
          <w:tcPr>
            <w:tcW w:w="18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7"/>
                <w:szCs w:val="17"/>
                <w:b w:val="1"/>
                <w:bCs w:val="1"/>
                <w:color w:val="auto"/>
                <w:w w:val="86"/>
              </w:rPr>
              <w:t>Programs</w:t>
            </w:r>
            <w:r>
              <w:rPr>
                <w:rFonts w:ascii="Arial" w:cs="Arial" w:eastAsia="Arial" w:hAnsi="Arial"/>
                <w:sz w:val="28"/>
                <w:szCs w:val="28"/>
                <w:b w:val="1"/>
                <w:bCs w:val="1"/>
                <w:color w:val="auto"/>
                <w:w w:val="86"/>
                <w:vertAlign w:val="superscript"/>
              </w:rPr>
              <w:t>1</w:t>
            </w:r>
          </w:p>
        </w:tc>
      </w:tr>
      <w:tr>
        <w:trPr>
          <w:trHeight w:val="243"/>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February 1, 2020 through February 28, 2020</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7,042,256</w:t>
            </w:r>
          </w:p>
        </w:tc>
      </w:tr>
      <w:tr>
        <w:trPr>
          <w:trHeight w:val="239"/>
        </w:trPr>
        <w:tc>
          <w:tcPr>
            <w:tcW w:w="3980" w:type="dxa"/>
            <w:vAlign w:val="bottom"/>
          </w:tcPr>
          <w:p>
            <w:pPr>
              <w:ind w:left="40"/>
              <w:spacing w:after="0"/>
              <w:rPr>
                <w:sz w:val="20"/>
                <w:szCs w:val="20"/>
                <w:color w:val="auto"/>
              </w:rPr>
            </w:pPr>
            <w:r>
              <w:rPr>
                <w:rFonts w:ascii="Arial" w:cs="Arial" w:eastAsia="Arial" w:hAnsi="Arial"/>
                <w:sz w:val="17"/>
                <w:szCs w:val="17"/>
                <w:color w:val="auto"/>
              </w:rPr>
              <w:t>February 29, 2020 through April 3, 2020</w:t>
            </w:r>
          </w:p>
        </w:tc>
        <w:tc>
          <w:tcPr>
            <w:tcW w:w="2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940" w:type="dxa"/>
            <w:vAlign w:val="bottom"/>
          </w:tcPr>
          <w:p>
            <w:pPr>
              <w:ind w:left="1600"/>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7,042,256</w:t>
            </w:r>
          </w:p>
        </w:tc>
      </w:tr>
      <w:tr>
        <w:trPr>
          <w:trHeight w:val="31"/>
        </w:trPr>
        <w:tc>
          <w:tcPr>
            <w:tcW w:w="3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April 4, 2020 through May 1, 2020</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1,477</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64.24</w:t>
            </w:r>
          </w:p>
        </w:tc>
        <w:tc>
          <w:tcPr>
            <w:tcW w:w="194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7,042,256</w:t>
            </w:r>
          </w:p>
        </w:tc>
      </w:tr>
      <w:tr>
        <w:trPr>
          <w:trHeight w:val="233"/>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2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1,477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64.24</w:t>
            </w:r>
          </w:p>
        </w:tc>
        <w:tc>
          <w:tcPr>
            <w:tcW w:w="1940" w:type="dxa"/>
            <w:vAlign w:val="bottom"/>
            <w:tcBorders>
              <w:top w:val="single" w:sz="8" w:color="auto"/>
            </w:tcBorders>
          </w:tcPr>
          <w:p>
            <w:pPr>
              <w:ind w:left="1600"/>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tcBorders>
          </w:tcPr>
          <w:p>
            <w:pPr>
              <w:spacing w:after="0"/>
              <w:rPr>
                <w:sz w:val="20"/>
                <w:szCs w:val="20"/>
                <w:color w:val="auto"/>
              </w:rPr>
            </w:pPr>
          </w:p>
        </w:tc>
      </w:tr>
      <w:tr>
        <w:trPr>
          <w:trHeight w:val="31"/>
        </w:trPr>
        <w:tc>
          <w:tcPr>
            <w:tcW w:w="39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180" w:hanging="172"/>
        <w:spacing w:after="0" w:line="220" w:lineRule="auto"/>
        <w:tabs>
          <w:tab w:leader="none" w:pos="18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authorized stock repurchase program during the company's fiscal second quarter of 2020 and 7,042,256 shares remained available to repurchase under this authorized stock repurchase program as of May 1, 2020.</w:t>
      </w:r>
    </w:p>
    <w:p>
      <w:pPr>
        <w:spacing w:after="0" w:line="198" w:lineRule="exact"/>
        <w:rPr>
          <w:sz w:val="20"/>
          <w:szCs w:val="20"/>
          <w:color w:val="auto"/>
        </w:rPr>
      </w:pPr>
    </w:p>
    <w:p>
      <w:pPr>
        <w:jc w:val="both"/>
        <w:ind w:left="180" w:hanging="172"/>
        <w:spacing w:after="0" w:line="206" w:lineRule="auto"/>
        <w:tabs>
          <w:tab w:leader="none" w:pos="18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Includes 1,477 units (shares) of the company’s common stock purchased in open-market transactions at an average price of $64.24 per share on behalf of a rabbi trust formed to pay benefit obligations of the company to participants in deferred compensation plans. These 1,477 shares were not repurchased under the company’s authorized stock repurchase program described in footnote 1 above.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w:t>
            </w:r>
          </w:p>
        </w:tc>
        <w:tc>
          <w:tcPr>
            <w:tcW w:w="1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Exhibit No.</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80" w:type="dxa"/>
            <w:vAlign w:val="bottom"/>
            <w:gridSpan w:val="10"/>
          </w:tcPr>
          <w:p>
            <w:pPr>
              <w:ind w:left="3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2.1</w:t>
            </w:r>
          </w:p>
        </w:tc>
        <w:tc>
          <w:tcPr>
            <w:tcW w:w="9520" w:type="dxa"/>
            <w:vAlign w:val="bottom"/>
            <w:gridSpan w:val="12"/>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Agreement and Plan of Merger dated as of February 14, 2019, by and among The Toro Company, The Charles Machine Works,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Inc., Helix Company, Inc., and Agent 186 LLC as Shareholders’ Agent (incorporated by reference to Exhibit 2.1 to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Current Report on Form 8-K dated February 14, 2019, Commission File No. 1-8649).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3.1 and 4.1</w:t>
            </w: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Restated Certificate of Incorporation of The Toro Company (incorporated by reference to Exhibit 3.1 to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on Form 8-K dated June 17, 2008, Commission File No. 1-8649).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3.2 and 4.2</w:t>
            </w: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Certificate of Amendment to Restated Certificate of Incorporation of The Toro Company (incorporated by reference to Exhibit 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to Registrant’s Current Report on Form 8-K dated March 12, 2013, Commission File No. 1-8649).</w:t>
              </w:r>
            </w:hyperlink>
          </w:p>
        </w:tc>
        <w:tc>
          <w:tcPr>
            <w:tcW w:w="2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3.3 and 4.3</w:t>
            </w:r>
          </w:p>
        </w:tc>
        <w:tc>
          <w:tcPr>
            <w:tcW w:w="9520" w:type="dxa"/>
            <w:vAlign w:val="bottom"/>
            <w:tcBorders>
              <w:bottom w:val="single" w:sz="8" w:color="0000FF"/>
            </w:tcBorders>
            <w:gridSpan w:val="12"/>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Amended and Restated Bylaws of The Toro Company (incorporated by reference to Exhibit 3.1 to Registrant’s Current Report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Form 8-K dated July 19, 2016, Commission File No. 1-8649).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4.4</w:t>
            </w: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2"/>
              </w:rPr>
              <w:t>Indenture dated as of January 31, 1997, between The Toro Company and First National Trust Association, as Trustee, relating to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5"/>
              </w:rPr>
              <w:t>The Toro Company’s 7.80% Debentures due June 15, 2027 (incorporated by reference to Exhibit 4(a) to Registrant’s Current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4"/>
              </w:rPr>
              <w:t>Report on Form 8-K dated June 24, 1997, Commission File No. 1-8649). (Filed on paper - hyperlink is not required pursuant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rPr>
              <w:t>Rule 105 of Regulation S-T).</w:t>
            </w: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4.5</w:t>
            </w:r>
          </w:p>
        </w:tc>
        <w:tc>
          <w:tcPr>
            <w:tcW w:w="9520" w:type="dxa"/>
            <w:vAlign w:val="bottom"/>
            <w:gridSpan w:val="12"/>
          </w:tcPr>
          <w:p>
            <w:pPr>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Indenture dated as of April 20, 2007, between The Toro Company and The Bank of New York Trust Company, N.A., as Trustee,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relating to The Toro Company’s 6.625% Notes due May 1, 2037 (incorporated by reference to Exhibit 4.3 to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Registration Statement on Form S-3 filed with the Securities and Exchange Commission on April 23, 2007, Registration No. 333-</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47">
              <w:r>
                <w:rPr>
                  <w:rFonts w:ascii="Arial" w:cs="Arial" w:eastAsia="Arial" w:hAnsi="Arial"/>
                  <w:sz w:val="18"/>
                  <w:szCs w:val="18"/>
                  <w:color w:val="0000FF"/>
                  <w:w w:val="87"/>
                </w:rPr>
                <w:t>142282).</w:t>
              </w:r>
            </w:hyperlink>
          </w:p>
        </w:tc>
        <w:tc>
          <w:tcPr>
            <w:tcW w:w="100" w:type="dxa"/>
            <w:vAlign w:val="bottom"/>
            <w:tcBorders>
              <w:top w:val="single" w:sz="8" w:color="0000FF"/>
            </w:tcBorders>
          </w:tcPr>
          <w:p>
            <w:pPr>
              <w:spacing w:after="0"/>
              <w:rPr>
                <w:sz w:val="17"/>
                <w:szCs w:val="17"/>
                <w:color w:val="auto"/>
              </w:rPr>
            </w:pPr>
          </w:p>
        </w:tc>
        <w:tc>
          <w:tcPr>
            <w:tcW w:w="37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4.6</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First Supplemental Indenture dated as of April 26, 2007, between The Toro Company and The Bank of New York Trust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N.A., as Trustee, relating to The Toro Company’s 6.625% Notes due May 1, 2037 (incorporated by reference to Exhibit 4.1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Registrant’s Current Report on Form 8-K dated April 23, 2007, Commission File No. 1-8649).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4.7</w:t>
            </w:r>
          </w:p>
        </w:tc>
        <w:tc>
          <w:tcPr>
            <w:tcW w:w="740" w:type="dxa"/>
            <w:vAlign w:val="bottom"/>
            <w:gridSpan w:val="2"/>
            <w:shd w:val="clear" w:color="auto" w:fill="0000FF"/>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Form of The Toro Company 6.625% Note due May 1, 2037 (incorporated by reference to Exhibit 4.2 to Registrant’s Current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Report on Form 8-K dated April 23, 2007, Commission File No. 1-8649).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w:t>
            </w:r>
          </w:p>
        </w:tc>
        <w:tc>
          <w:tcPr>
            <w:tcW w:w="740" w:type="dxa"/>
            <w:vAlign w:val="bottom"/>
            <w:gridSpan w:val="2"/>
            <w:shd w:val="clear" w:color="auto" w:fill="0000FF"/>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Term Loan Credit Agreement dated as of March 30, 2020, by and among The Toro Company, as Borrower, lenders as parties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thereto, Bank of America, N.A., as Administrative Agent, and U.S. Bank National Association, as Syndication Agent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520" w:type="dxa"/>
            <w:vAlign w:val="bottom"/>
            <w:gridSpan w:val="12"/>
          </w:tcPr>
          <w:p>
            <w:pPr>
              <w:spacing w:after="0"/>
              <w:rPr>
                <w:rFonts w:ascii="Arial" w:cs="Arial" w:eastAsia="Arial" w:hAnsi="Arial"/>
                <w:sz w:val="18"/>
                <w:szCs w:val="18"/>
                <w:u w:val="single" w:color="auto"/>
                <w:color w:val="0000FF"/>
                <w:w w:val="95"/>
              </w:rPr>
            </w:pPr>
            <w:hyperlink r:id="rId50">
              <w:r>
                <w:rPr>
                  <w:rFonts w:ascii="Arial" w:cs="Arial" w:eastAsia="Arial" w:hAnsi="Arial"/>
                  <w:sz w:val="18"/>
                  <w:szCs w:val="18"/>
                  <w:u w:val="single" w:color="auto"/>
                  <w:color w:val="0000FF"/>
                  <w:w w:val="95"/>
                </w:rPr>
                <w:t>by reference to Exhibit 10.1 to Registrant's Current Report on Form 8-K dated March 30, 2020, Commission File No. 1-8649).</w:t>
              </w:r>
            </w:hyperlink>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31.1</w:t>
            </w:r>
          </w:p>
        </w:tc>
        <w:tc>
          <w:tcPr>
            <w:tcW w:w="9520" w:type="dxa"/>
            <w:vAlign w:val="bottom"/>
            <w:gridSpan w:val="12"/>
          </w:tcPr>
          <w:p>
            <w:pPr>
              <w:spacing w:after="0"/>
              <w:rPr>
                <w:rFonts w:ascii="Arial" w:cs="Arial" w:eastAsia="Arial" w:hAnsi="Arial"/>
                <w:sz w:val="18"/>
                <w:szCs w:val="18"/>
                <w:color w:val="0000FF"/>
                <w:w w:val="98"/>
              </w:rPr>
            </w:pPr>
            <w:hyperlink w:anchor="page63">
              <w:r>
                <w:rPr>
                  <w:rFonts w:ascii="Arial" w:cs="Arial" w:eastAsia="Arial" w:hAnsi="Arial"/>
                  <w:sz w:val="18"/>
                  <w:szCs w:val="18"/>
                  <w:color w:val="0000FF"/>
                  <w:w w:val="98"/>
                </w:rPr>
                <w:t>Certification of Chief Executive Officer Pursuant to Rule 13a-14(a) (Section 302 of the Sarbanes-Oxley Act of 2002)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w:anchor="page63">
              <w:r>
                <w:rPr>
                  <w:rFonts w:ascii="Arial" w:cs="Arial" w:eastAsia="Arial" w:hAnsi="Arial"/>
                  <w:sz w:val="18"/>
                  <w:szCs w:val="18"/>
                  <w:color w:val="0000FF"/>
                  <w:w w:val="91"/>
                </w:rPr>
                <w:t>herewith).</w:t>
              </w:r>
            </w:hyperlink>
          </w:p>
        </w:tc>
        <w:tc>
          <w:tcPr>
            <w:tcW w:w="874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31.2</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Certification of Chief Financial Officer Pursuant to Rule 13a-14(a) (Section 302 of the Sarbanes-Oxley Act of 2002)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64">
              <w:r>
                <w:rPr>
                  <w:rFonts w:ascii="Arial" w:cs="Arial" w:eastAsia="Arial" w:hAnsi="Arial"/>
                  <w:sz w:val="18"/>
                  <w:szCs w:val="18"/>
                  <w:color w:val="0000FF"/>
                  <w:w w:val="91"/>
                </w:rPr>
                <w:t>herewith).</w:t>
              </w:r>
            </w:hyperlink>
          </w:p>
        </w:tc>
        <w:tc>
          <w:tcPr>
            <w:tcW w:w="87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32</w:t>
            </w:r>
          </w:p>
        </w:tc>
        <w:tc>
          <w:tcPr>
            <w:tcW w:w="9520" w:type="dxa"/>
            <w:vAlign w:val="bottom"/>
            <w:gridSpan w:val="12"/>
          </w:tcPr>
          <w:p>
            <w:pPr>
              <w:spacing w:after="0"/>
              <w:rPr>
                <w:rFonts w:ascii="Arial" w:cs="Arial" w:eastAsia="Arial" w:hAnsi="Arial"/>
                <w:sz w:val="18"/>
                <w:szCs w:val="18"/>
                <w:color w:val="0000FF"/>
                <w:w w:val="94"/>
              </w:rPr>
            </w:pPr>
            <w:hyperlink w:anchor="page65">
              <w:r>
                <w:rPr>
                  <w:rFonts w:ascii="Arial" w:cs="Arial" w:eastAsia="Arial" w:hAnsi="Arial"/>
                  <w:sz w:val="18"/>
                  <w:szCs w:val="18"/>
                  <w:color w:val="0000FF"/>
                  <w:w w:val="94"/>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9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Section 906 of the Sarbanes-Oxley Act of 2002 (furnished herewith).</w:t>
              </w:r>
            </w:hyperlink>
          </w:p>
        </w:tc>
        <w:tc>
          <w:tcPr>
            <w:tcW w:w="45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101</w:t>
            </w:r>
          </w:p>
        </w:tc>
        <w:tc>
          <w:tcPr>
            <w:tcW w:w="9520" w:type="dxa"/>
            <w:vAlign w:val="bottom"/>
            <w:gridSpan w:val="12"/>
          </w:tcPr>
          <w:p>
            <w:pPr>
              <w:spacing w:after="0"/>
              <w:rPr>
                <w:sz w:val="20"/>
                <w:szCs w:val="20"/>
                <w:color w:val="auto"/>
              </w:rPr>
            </w:pPr>
            <w:r>
              <w:rPr>
                <w:rFonts w:ascii="Arial" w:cs="Arial" w:eastAsia="Arial" w:hAnsi="Arial"/>
                <w:sz w:val="18"/>
                <w:szCs w:val="18"/>
                <w:color w:val="auto"/>
                <w:w w:val="93"/>
              </w:rPr>
              <w:t>The following financial information from The Toro Company’s Quarterly Report on Form 10-Q for the quarterly period ended May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9"/>
              </w:rPr>
              <w:t>1, 2020, filed with the SEC on June 4, 2020, formatted in Inline eXtensible Business Reporting Language (Inline XBRL):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4"/>
              </w:rPr>
              <w:t>(i) Condensed Consolidated Statements of Earnings for the three and six month periods ended May 1, 2020 and May 3, 2019,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3"/>
              </w:rPr>
              <w:t>(ii) Condensed Consolidated Statements of Comprehensive Income for the three and six month periods ended May 1, 2020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0"/>
              </w:rPr>
              <w:t>May 3, 2019, (iii) Condensed Consolidated Balance Sheets as of May 1, 2020, May 3, 2019, and October 31, 2019, (iv) Condensed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0"/>
              </w:rPr>
              <w:t>Consolidated Statement of Cash Flows for the six month periods ended May 1, 2020 and May 3, 2019, (v) Condensed Consolidated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w w:val="94"/>
              </w:rPr>
              <w:t>Statements of Stockholders' Equity for the three and six month periods ended May 1, 2020 and May 3, 2019, and (vi) Notes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rPr>
              <w:t>Condensed Consolidated Financial Statements (filed herewith).</w:t>
            </w: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104</w:t>
            </w:r>
          </w:p>
        </w:tc>
        <w:tc>
          <w:tcPr>
            <w:tcW w:w="95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60" w:type="dxa"/>
            <w:vAlign w:val="bottom"/>
            <w:gridSpan w:val="3"/>
          </w:tcPr>
          <w:p>
            <w:pPr>
              <w:ind w:left="38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8"/>
          <w:szCs w:val="18"/>
          <w:color w:val="auto"/>
        </w:rPr>
        <w:t>Date: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274"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689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274"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689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1, 2020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68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68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2"/>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4"/>
      <w:numFmt w:val="bullet"/>
      <w:start w:val="1"/>
    </w:lvl>
  </w:abstractNum>
  <w:abstractNum w:abstractNumId="7">
    <w:nsid w:val="3F2DBA31"/>
    <w:multiLevelType w:val="hybridMultilevel"/>
    <w:lvl w:ilvl="0">
      <w:lvlJc w:val="left"/>
      <w:lvlText w:val="5"/>
      <w:numFmt w:val="bullet"/>
      <w:start w:val="1"/>
    </w:lvl>
  </w:abstractNum>
  <w:abstractNum w:abstractNumId="8">
    <w:nsid w:val="7C83E458"/>
    <w:multiLevelType w:val="hybridMultilevel"/>
    <w:lvl w:ilvl="0">
      <w:lvlJc w:val="left"/>
      <w:lvlText w:val="6"/>
      <w:numFmt w:val="bullet"/>
      <w:start w:val="1"/>
    </w:lvl>
  </w:abstractNum>
  <w:abstractNum w:abstractNumId="9">
    <w:nsid w:val="257130A3"/>
    <w:multiLevelType w:val="hybridMultilevel"/>
    <w:lvl w:ilvl="0">
      <w:lvlJc w:val="left"/>
      <w:lvlText w:val="7"/>
      <w:numFmt w:val="bullet"/>
      <w:start w:val="1"/>
    </w:lvl>
  </w:abstractNum>
  <w:abstractNum w:abstractNumId="10">
    <w:nsid w:val="62BBD95A"/>
    <w:multiLevelType w:val="hybridMultilevel"/>
    <w:lvl w:ilvl="0">
      <w:lvlJc w:val="left"/>
      <w:lvlText w:val="8"/>
      <w:numFmt w:val="bullet"/>
      <w:start w:val="1"/>
    </w:lvl>
  </w:abstractNum>
  <w:abstractNum w:abstractNumId="11">
    <w:nsid w:val="436C6125"/>
    <w:multiLevelType w:val="hybridMultilevel"/>
    <w:lvl w:ilvl="0">
      <w:lvlJc w:val="left"/>
      <w:lvlText w:val="9"/>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9"/>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bullet"/>
      <w:start w:val="1"/>
    </w:lvl>
  </w:abstractNum>
  <w:abstractNum w:abstractNumId="25">
    <w:nsid w:val="71F32454"/>
    <w:multiLevelType w:val="hybridMultilevel"/>
    <w:lvl w:ilvl="0">
      <w:lvlJc w:val="left"/>
      <w:lvlText w:val="2"/>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3" Type="http://schemas.openxmlformats.org/officeDocument/2006/relationships/hyperlink" Target="http://www.sec.gov/Archives/edgar/data/737758/000156459019003064/ttc-ex21_6.htm" TargetMode="External"/><Relationship Id="rId44" Type="http://schemas.openxmlformats.org/officeDocument/2006/relationships/hyperlink" Target="http://www.sec.gov/Archives/edgar/data/737758/000073775808000033/form8-k06172008exhibitcert.htm" TargetMode="External"/><Relationship Id="rId45" Type="http://schemas.openxmlformats.org/officeDocument/2006/relationships/hyperlink" Target="http://www.sec.gov/Archives/edgar/data/737758/000119312513105223/d501846dex31.htm" TargetMode="External"/><Relationship Id="rId46" Type="http://schemas.openxmlformats.org/officeDocument/2006/relationships/hyperlink" Target="http://www.sec.gov/Archives/edgar/data/737758/000110465916133324/a16-15127_1ex3d1.htm" TargetMode="External"/><Relationship Id="rId47" Type="http://schemas.openxmlformats.org/officeDocument/2006/relationships/hyperlink" Target="http://www.sec.gov/Archives/edgar/data/737758/000110465907030051/a07-10570_1ex4d3.htm" TargetMode="External"/><Relationship Id="rId48" Type="http://schemas.openxmlformats.org/officeDocument/2006/relationships/hyperlink" Target="http://www.sec.gov/Archives/edgar/data/737758/000110465907031757/a07-10570_5ex4d1.htm" TargetMode="External"/><Relationship Id="rId49" Type="http://schemas.openxmlformats.org/officeDocument/2006/relationships/hyperlink" Target="http://www.sec.gov/Archives/edgar/data/737758/000110465907031757/a07-10570_5ex4d2.htm" TargetMode="External"/><Relationship Id="rId50" Type="http://schemas.openxmlformats.org/officeDocument/2006/relationships/hyperlink" Target="http://www.sec.gov/Archives/edgar/data/737758/000156459020014701/ttc-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2020-06-04T07:56:35Z</dcterms:created>
  <dcterms:modified xsi:type="dcterms:W3CDTF">2020-06-04T07:56:35Z</dcterms:modified>
</cp:coreProperties>
</file>