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Arial" w:cs="Arial" w:eastAsia="Arial" w:hAnsi="Arial"/>
          <w:sz w:val="18"/>
          <w:szCs w:val="18"/>
          <w:b w:val="1"/>
          <w:bCs w:val="1"/>
          <w:color w:val="auto"/>
        </w:rPr>
        <w:t>As filed with the Securities and Exchange Commission on May 20,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33-51563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33-55550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333-03505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333-03509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333-36166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333-44879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24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w:t>
      </w:r>
    </w:p>
    <w:p>
      <w:pPr>
        <w:spacing w:after="0" w:line="38"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51563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55550</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03505</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03509</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36166</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44879</w:t>
      </w:r>
    </w:p>
    <w:p>
      <w:pPr>
        <w:jc w:val="center"/>
        <w:ind w:right="24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4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40"/>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31" w:lineRule="exact"/>
        <w:rPr>
          <w:sz w:val="24"/>
          <w:szCs w:val="24"/>
          <w:color w:val="auto"/>
        </w:rPr>
      </w:pPr>
    </w:p>
    <w:p>
      <w:pPr>
        <w:sectPr>
          <w:pgSz w:w="11900" w:h="16838" w:orient="portrait"/>
          <w:cols w:equalWidth="0" w:num="2">
            <w:col w:w="7260" w:space="720"/>
            <w:col w:w="3200"/>
          </w:cols>
          <w:pgMar w:left="480" w:top="229" w:right="239" w:bottom="1440" w:gutter="0" w:footer="0" w:header="0"/>
          <w:type w:val="continuous"/>
        </w:sectPr>
      </w:pPr>
    </w:p>
    <w:p>
      <w:pPr>
        <w:spacing w:after="0" w:line="12"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(State or Other Jurisdiction of</w:t>
      </w:r>
    </w:p>
    <w:p>
      <w:pPr>
        <w:ind w:left="16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20" w:space="720"/>
            <w:col w:w="3340"/>
          </w:cols>
          <w:pgMar w:left="480" w:top="229" w:right="239" w:bottom="1440" w:gutter="0" w:footer="0" w:header="0"/>
          <w:type w:val="continuous"/>
        </w:sectPr>
      </w:pPr>
    </w:p>
    <w:p>
      <w:pPr>
        <w:spacing w:after="0" w:line="1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Bloomington, Minnesota 55420-1196</w:t>
      </w:r>
    </w:p>
    <w:p>
      <w:pPr>
        <w:spacing w:after="0" w:line="2" w:lineRule="exact"/>
        <w:rPr>
          <w:sz w:val="24"/>
          <w:szCs w:val="24"/>
          <w:color w:val="auto"/>
        </w:rPr>
      </w:pPr>
    </w:p>
    <w:p>
      <w:pPr>
        <w:jc w:val="center"/>
        <w:ind w:right="220"/>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226695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9" w:right="239" w:bottom="144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The Toro Company 1992 Directors Stock Plan</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The Toro Company 1993 Stock Option Plan</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The Toro Company Annual Management Incentive Plan II</w:t>
      </w:r>
    </w:p>
    <w:p>
      <w:pPr>
        <w:spacing w:after="0" w:line="32"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Toro Australia Pty Limited General Employee Stock Plan</w:t>
      </w:r>
    </w:p>
    <w:p>
      <w:pPr>
        <w:spacing w:after="0" w:line="25" w:lineRule="exact"/>
        <w:rPr>
          <w:sz w:val="24"/>
          <w:szCs w:val="24"/>
          <w:color w:val="auto"/>
        </w:rPr>
      </w:pPr>
    </w:p>
    <w:p>
      <w:pPr>
        <w:jc w:val="center"/>
        <w:ind w:right="240"/>
        <w:spacing w:after="0"/>
        <w:rPr>
          <w:sz w:val="20"/>
          <w:szCs w:val="20"/>
          <w:color w:val="auto"/>
        </w:rPr>
      </w:pPr>
      <w:r>
        <w:rPr>
          <w:rFonts w:ascii="Arial" w:cs="Arial" w:eastAsia="Arial" w:hAnsi="Arial"/>
          <w:sz w:val="14"/>
          <w:szCs w:val="14"/>
          <w:b w:val="1"/>
          <w:bCs w:val="1"/>
          <w:color w:val="auto"/>
        </w:rPr>
        <w:t>(Full Title of the Plan)</w:t>
      </w:r>
    </w:p>
    <w:p>
      <w:pPr>
        <w:sectPr>
          <w:pgSz w:w="11900" w:h="16838" w:orient="portrait"/>
          <w:cols w:equalWidth="0" w:num="1">
            <w:col w:w="11180"/>
          </w:cols>
          <w:pgMar w:left="48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and Address, including Zip Code, and Telephone Number, including Area Code, of Agent for Service)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requested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Mithun Tower, Suite 2000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222 South Ninth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(612) 607-7287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Toro Company (the “Registrant”) is filing this Post-Effective Amendment No. 2 (this “Post-Effective Amendment”) to each of the following Registration Statements on Form S-8 (collectively, the “Registration Statements”) to deregister any and all securities that remain unsold under such Registration Statements:</w:t>
      </w:r>
    </w:p>
    <w:p>
      <w:pPr>
        <w:spacing w:after="0" w:line="87"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33-51563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33-55550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333-03505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333-03509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333-36166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333-44879</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Registrant has terminated any offering of the Registrant’s securities pursuant to the Registration Statements described above. In accordance with the undertaking made by the Registrant in the Registration Statements to remove from registration, by means of post-effective amendments, any of the securities that had been registered for issuance that remain unsold at the termination of the offering, the Registrant hereby removes from registration all of such securities of the Registrant registered under the Registration Statements that remain unsold as of the date of this Post-Effective Amendment.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3540" w:type="dxa"/>
            <w:vAlign w:val="bottom"/>
            <w:gridSpan w:val="4"/>
          </w:tcPr>
          <w:p>
            <w:pPr>
              <w:ind w:left="460"/>
              <w:spacing w:after="0"/>
              <w:rPr>
                <w:sz w:val="20"/>
                <w:szCs w:val="20"/>
                <w:color w:val="auto"/>
              </w:rPr>
            </w:pPr>
            <w:r>
              <w:rPr>
                <w:rFonts w:ascii="Arial" w:cs="Arial" w:eastAsia="Arial" w:hAnsi="Arial"/>
                <w:sz w:val="18"/>
                <w:szCs w:val="18"/>
                <w:color w:val="auto"/>
              </w:rPr>
              <w:t>The following exhibit is filed herewith:</w:t>
            </w:r>
          </w:p>
        </w:tc>
        <w:tc>
          <w:tcPr>
            <w:tcW w:w="0" w:type="dxa"/>
            <w:vAlign w:val="bottom"/>
          </w:tcPr>
          <w:p>
            <w:pPr>
              <w:spacing w:after="0"/>
              <w:rPr>
                <w:sz w:val="1"/>
                <w:szCs w:val="1"/>
                <w:color w:val="auto"/>
              </w:rPr>
            </w:pPr>
          </w:p>
        </w:tc>
      </w:tr>
      <w:tr>
        <w:trPr>
          <w:trHeight w:val="369"/>
        </w:trPr>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3"/>
              </w:rPr>
              <w:t>Power of Attorney (filed herewith)</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270" w:right="47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Post-Effective Amendment No. 2 to each of the Registration Statements to be signed on its behalf by the undersigned, thereunto duly authorized, in the City of Bloomington, State of Minnesota, on May 20,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Secretary and General Counsel</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each of the Registration Statements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4"/>
                <w:szCs w:val="14"/>
                <w:color w:val="auto"/>
              </w:rPr>
            </w:pPr>
          </w:p>
        </w:tc>
        <w:tc>
          <w:tcPr>
            <w:tcW w:w="2420" w:type="dxa"/>
            <w:vAlign w:val="bottom"/>
            <w:gridSpan w:val="2"/>
          </w:tcPr>
          <w:p>
            <w:pPr>
              <w:jc w:val="center"/>
              <w:ind w:right="2140"/>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gridSpan w:val="3"/>
          </w:tcPr>
          <w:p>
            <w:pPr>
              <w:jc w:val="center"/>
              <w:ind w:left="75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0"/>
              </w:rPr>
              <w:t>Chairman of the Board, President and</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93"/>
              </w:rPr>
              <w:t>Michael J. Hoffman</w:t>
            </w:r>
          </w:p>
        </w:tc>
        <w:tc>
          <w:tcPr>
            <w:tcW w:w="4920" w:type="dxa"/>
            <w:vAlign w:val="bottom"/>
            <w:gridSpan w:val="3"/>
          </w:tcPr>
          <w:p>
            <w:pPr>
              <w:ind w:left="1400"/>
              <w:spacing w:after="0" w:line="182" w:lineRule="exact"/>
              <w:rPr>
                <w:sz w:val="20"/>
                <w:szCs w:val="20"/>
                <w:color w:val="auto"/>
              </w:rPr>
            </w:pPr>
            <w:r>
              <w:rPr>
                <w:rFonts w:ascii="Arial" w:cs="Arial" w:eastAsia="Arial" w:hAnsi="Arial"/>
                <w:sz w:val="18"/>
                <w:szCs w:val="18"/>
                <w:color w:val="auto"/>
              </w:rPr>
              <w:t>Chief Executive Officer and Director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90"/>
              <w:spacing w:after="0"/>
              <w:rPr>
                <w:sz w:val="20"/>
                <w:szCs w:val="20"/>
                <w:color w:val="auto"/>
              </w:rPr>
            </w:pPr>
            <w:r>
              <w:rPr>
                <w:rFonts w:ascii="Arial" w:cs="Arial" w:eastAsia="Arial" w:hAnsi="Arial"/>
                <w:sz w:val="18"/>
                <w:szCs w:val="18"/>
                <w:color w:val="auto"/>
                <w:w w:val="94"/>
              </w:rPr>
              <w:t>(principal executive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88"/>
              </w:rPr>
              <w:t>Vice President, Treasurer and</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85"/>
              </w:rPr>
              <w:t>Renee J. Peterson</w:t>
            </w:r>
          </w:p>
        </w:tc>
        <w:tc>
          <w:tcPr>
            <w:tcW w:w="4920" w:type="dxa"/>
            <w:vAlign w:val="bottom"/>
            <w:gridSpan w:val="3"/>
          </w:tcPr>
          <w:p>
            <w:pPr>
              <w:jc w:val="center"/>
              <w:ind w:left="270"/>
              <w:spacing w:after="0" w:line="182" w:lineRule="exact"/>
              <w:rPr>
                <w:sz w:val="20"/>
                <w:szCs w:val="20"/>
                <w:color w:val="auto"/>
              </w:rPr>
            </w:pPr>
            <w:r>
              <w:rPr>
                <w:rFonts w:ascii="Arial" w:cs="Arial" w:eastAsia="Arial" w:hAnsi="Arial"/>
                <w:sz w:val="18"/>
                <w:szCs w:val="18"/>
                <w:color w:val="auto"/>
                <w:w w:val="94"/>
              </w:rPr>
              <w:t>Chief Financial Officer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6"/>
              </w:rPr>
              <w:t>(principal financial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Vice President,</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88"/>
              </w:rPr>
              <w:t>Thomas J. Larson</w:t>
            </w:r>
          </w:p>
        </w:tc>
        <w:tc>
          <w:tcPr>
            <w:tcW w:w="4920" w:type="dxa"/>
            <w:vAlign w:val="bottom"/>
            <w:gridSpan w:val="3"/>
          </w:tcPr>
          <w:p>
            <w:pPr>
              <w:jc w:val="center"/>
              <w:ind w:left="290"/>
              <w:spacing w:after="0" w:line="182" w:lineRule="exact"/>
              <w:rPr>
                <w:sz w:val="20"/>
                <w:szCs w:val="20"/>
                <w:color w:val="auto"/>
              </w:rPr>
            </w:pPr>
            <w:r>
              <w:rPr>
                <w:rFonts w:ascii="Arial" w:cs="Arial" w:eastAsia="Arial" w:hAnsi="Arial"/>
                <w:sz w:val="18"/>
                <w:szCs w:val="18"/>
                <w:color w:val="auto"/>
                <w:w w:val="91"/>
              </w:rPr>
              <w:t>Corporate Controller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4"/>
              </w:rPr>
              <w:t>(principal accounting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3"/>
              </w:rPr>
              <w:t>Timothy P. Dordell</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4"/>
              </w:rPr>
              <w:t>Directors</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40"/>
              <w:spacing w:after="0"/>
              <w:rPr>
                <w:sz w:val="20"/>
                <w:szCs w:val="20"/>
                <w:color w:val="auto"/>
              </w:rPr>
            </w:pPr>
            <w:r>
              <w:rPr>
                <w:rFonts w:ascii="Arial" w:cs="Arial" w:eastAsia="Arial" w:hAnsi="Arial"/>
                <w:sz w:val="18"/>
                <w:szCs w:val="18"/>
                <w:color w:val="auto"/>
                <w:w w:val="93"/>
              </w:rPr>
              <w:t>Timothy P. Dordell</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4280" w:type="dxa"/>
            <w:vAlign w:val="bottom"/>
            <w:gridSpan w:val="4"/>
          </w:tcPr>
          <w:p>
            <w:pPr>
              <w:jc w:val="center"/>
              <w:spacing w:after="0"/>
              <w:rPr>
                <w:sz w:val="20"/>
                <w:szCs w:val="20"/>
                <w:color w:val="auto"/>
              </w:rPr>
            </w:pPr>
            <w:r>
              <w:rPr>
                <w:rFonts w:ascii="Arial" w:cs="Arial" w:eastAsia="Arial" w:hAnsi="Arial"/>
                <w:sz w:val="18"/>
                <w:szCs w:val="18"/>
                <w:color w:val="auto"/>
                <w:w w:val="92"/>
              </w:rPr>
              <w:t>As attorney in fact for Robert C.</w:t>
            </w: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780"/>
        <w:spacing w:after="0"/>
        <w:rPr>
          <w:sz w:val="20"/>
          <w:szCs w:val="20"/>
          <w:color w:val="auto"/>
        </w:rPr>
      </w:pPr>
      <w:r>
        <w:rPr>
          <w:rFonts w:ascii="Arial" w:cs="Arial" w:eastAsia="Arial" w:hAnsi="Arial"/>
          <w:sz w:val="18"/>
          <w:szCs w:val="18"/>
          <w:color w:val="auto"/>
        </w:rPr>
        <w:t>Buhrmaster, Janet K. Cooper, Gary L.</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Ellis, Jeffrey M. Ettinger, Katherine J.</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Harless, James C. O’Rourke, Gregg W.</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Steinhafel, and Christopher A. Twomey</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THE TORO COMPANY</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rPr>
              <w:t>POST-EFFECTIVE AMENDMENT NO. 2</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540" w:type="dxa"/>
            <w:vAlign w:val="bottom"/>
            <w:vMerge w:val="restart"/>
          </w:tcPr>
          <w:p>
            <w:pPr>
              <w:spacing w:after="0"/>
              <w:rPr>
                <w:sz w:val="24"/>
                <w:szCs w:val="24"/>
                <w:color w:val="auto"/>
              </w:rPr>
            </w:pPr>
          </w:p>
        </w:tc>
        <w:tc>
          <w:tcPr>
            <w:tcW w:w="8260" w:type="dxa"/>
            <w:vAlign w:val="bottom"/>
            <w:gridSpan w:val="3"/>
            <w:vMerge w:val="restart"/>
          </w:tcPr>
          <w:p>
            <w:pPr>
              <w:ind w:left="7220"/>
              <w:spacing w:after="0"/>
              <w:rPr>
                <w:sz w:val="20"/>
                <w:szCs w:val="20"/>
                <w:color w:val="auto"/>
              </w:rPr>
            </w:pPr>
            <w:r>
              <w:rPr>
                <w:rFonts w:ascii="Arial" w:cs="Arial" w:eastAsia="Arial" w:hAnsi="Arial"/>
                <w:sz w:val="14"/>
                <w:szCs w:val="14"/>
                <w:b w:val="1"/>
                <w:bCs w:val="1"/>
                <w:color w:val="auto"/>
                <w:w w:val="94"/>
              </w:rPr>
              <w:t>Method of Filing</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8260" w:type="dxa"/>
            <w:vAlign w:val="bottom"/>
            <w:gridSpan w:val="3"/>
          </w:tcPr>
          <w:p>
            <w:pPr>
              <w:ind w:left="722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20" w:type="dxa"/>
            <w:vAlign w:val="bottom"/>
          </w:tcPr>
          <w:p>
            <w:pPr>
              <w:jc w:val="center"/>
              <w:ind w:right="2033"/>
              <w:spacing w:after="0"/>
              <w:rPr>
                <w:sz w:val="20"/>
                <w:szCs w:val="20"/>
                <w:color w:val="auto"/>
              </w:rPr>
            </w:pPr>
            <w:r>
              <w:rPr>
                <w:rFonts w:ascii="Arial" w:cs="Arial" w:eastAsia="Arial" w:hAnsi="Arial"/>
                <w:sz w:val="18"/>
                <w:szCs w:val="18"/>
                <w:color w:val="auto"/>
                <w:w w:val="99"/>
              </w:rPr>
              <w:t>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the undersigned, each being a member of the Board of Directors of The Toro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do hereby make, nominate and appoint each of MICHAEL J. HOFFMAN AND TIMOTHY P. DORDELL, signing singly, to be his or her attorney-in-fact, with full power and authority to sign his or her name to any and all amendments, including post-effective amendments, to the previously filed Registration Statements on Form S-8 listed in Exhibit A hereto, including any amendments thereto, and to file the same, with all exhibits thereto, and other documents in connection therewith, with the U.S. Securities and Exchange Commission, granting unto any such attorney-in-fact and agent full power and authority to do and perform each and every act and thing requisite or necessary to be done in and about the premises, as fully to all intents and purposes as I might or could do in person, hereby ratifying and confirming all that any such attorney-in-fact and agent, or his substitute, may lawfully do or cause to be done by virtue hereof.</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19th day of May, 2015.</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80" w:type="dxa"/>
            <w:vAlign w:val="bottom"/>
          </w:tcPr>
          <w:p>
            <w:pPr>
              <w:spacing w:after="0"/>
              <w:rPr>
                <w:sz w:val="14"/>
                <w:szCs w:val="14"/>
                <w:color w:val="auto"/>
              </w:rPr>
            </w:pPr>
          </w:p>
        </w:tc>
      </w:tr>
      <w:tr>
        <w:trPr>
          <w:trHeight w:val="426"/>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431"/>
        </w:trPr>
        <w:tc>
          <w:tcPr>
            <w:tcW w:w="166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0"/>
              </w:rPr>
              <w:t>Janet K. Cooper</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Janet K. Cooper</w:t>
            </w:r>
          </w:p>
        </w:tc>
      </w:tr>
      <w:tr>
        <w:trPr>
          <w:trHeight w:val="431"/>
        </w:trPr>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431"/>
        </w:trPr>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431"/>
        </w:trPr>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431"/>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431"/>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bl>
    <w:p>
      <w:pPr>
        <w:spacing w:after="0" w:line="201" w:lineRule="exact"/>
        <w:rPr>
          <w:sz w:val="20"/>
          <w:szCs w:val="20"/>
          <w:color w:val="auto"/>
        </w:rPr>
      </w:pPr>
    </w:p>
    <w:p>
      <w:pPr>
        <w:jc w:val="right"/>
        <w:ind w:right="4780"/>
        <w:spacing w:after="0"/>
        <w:tabs>
          <w:tab w:leader="none" w:pos="6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4780"/>
        <w:spacing w:after="0"/>
        <w:rPr>
          <w:sz w:val="20"/>
          <w:szCs w:val="20"/>
          <w:color w:val="auto"/>
        </w:rPr>
      </w:pPr>
      <w:r>
        <w:rPr>
          <w:rFonts w:ascii="Arial" w:cs="Arial" w:eastAsia="Arial" w:hAnsi="Arial"/>
          <w:sz w:val="18"/>
          <w:szCs w:val="18"/>
          <w:color w:val="auto"/>
        </w:rPr>
        <w:t>Christopher A. Twomey</w:t>
      </w:r>
    </w:p>
    <w:p>
      <w:pPr>
        <w:sectPr>
          <w:pgSz w:w="11900" w:h="16838" w:orient="portrait"/>
          <w:cols w:equalWidth="0" w:num="1">
            <w:col w:w="11360"/>
          </w:cols>
          <w:pgMar w:left="240" w:top="121" w:right="299" w:bottom="1440" w:gutter="0" w:footer="0" w:header="0"/>
        </w:sectPr>
      </w:pPr>
    </w:p>
    <w:bookmarkStart w:id="6" w:name="page7"/>
    <w:bookmarkEnd w:id="6"/>
    <w:p>
      <w:pPr>
        <w:jc w:val="right"/>
        <w:ind w:right="4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33-51563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33-55550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333-03505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333-03509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333-36166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333-44879</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2019-12-05T21:42:13Z</dcterms:created>
  <dcterms:modified xsi:type="dcterms:W3CDTF">2019-12-05T21:42:13Z</dcterms:modified>
</cp:coreProperties>
</file>