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64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64400"/>
                    </a:xfrm>
                    <a:prstGeom prst="rect">
                      <a:avLst/>
                    </a:prstGeom>
                    <a:noFill/>
                  </pic:spPr>
                </pic:pic>
              </a:graphicData>
            </a:graphic>
          </wp:anchor>
        </w:drawing>
      </w:r>
    </w:p>
    <w:p>
      <w:pPr>
        <w:spacing w:after="0" w:line="104" w:lineRule="exact"/>
        <w:rPr>
          <w:sz w:val="24"/>
          <w:szCs w:val="24"/>
          <w:color w:val="auto"/>
        </w:rPr>
      </w:pPr>
    </w:p>
    <w:p>
      <w:pPr>
        <w:sectPr>
          <w:pgSz w:w="11900" w:h="16863"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HOFFMAN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6"/>
        <w:spacing w:after="0"/>
        <w:rPr>
          <w:sz w:val="20"/>
          <w:szCs w:val="20"/>
          <w:color w:val="auto"/>
        </w:rPr>
      </w:pPr>
      <w:r>
        <w:rPr>
          <w:rFonts w:ascii="Arial" w:cs="Arial" w:eastAsia="Arial" w:hAnsi="Arial"/>
          <w:sz w:val="17"/>
          <w:szCs w:val="17"/>
          <w:color w:val="0000FF"/>
        </w:rPr>
        <w:t>Chairman &amp; CEO</w:t>
      </w:r>
    </w:p>
    <w:p>
      <w:pPr>
        <w:spacing w:after="0" w:line="267" w:lineRule="exact"/>
        <w:rPr>
          <w:sz w:val="24"/>
          <w:szCs w:val="24"/>
          <w:color w:val="auto"/>
        </w:rPr>
      </w:pPr>
    </w:p>
    <w:p>
      <w:pPr>
        <w:sectPr>
          <w:pgSz w:w="11900" w:h="16863"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6"/>
            <w:vMerge w:val="restart"/>
          </w:tcPr>
          <w:p>
            <w:pPr>
              <w:ind w:left="4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gridSpan w:val="3"/>
          </w:tcPr>
          <w:p>
            <w:pPr>
              <w:ind w:left="48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820" w:type="dxa"/>
            <w:vAlign w:val="bottom"/>
          </w:tcPr>
          <w:p>
            <w:pPr>
              <w:jc w:val="right"/>
              <w:ind w:right="305"/>
              <w:spacing w:after="0"/>
              <w:rPr>
                <w:sz w:val="20"/>
                <w:szCs w:val="20"/>
                <w:color w:val="auto"/>
              </w:rPr>
            </w:pPr>
            <w:r>
              <w:rPr>
                <w:rFonts w:ascii="Arial" w:cs="Arial" w:eastAsia="Arial" w:hAnsi="Arial"/>
                <w:sz w:val="17"/>
                <w:szCs w:val="17"/>
                <w:color w:val="0000FF"/>
              </w:rPr>
              <w:t>55420-1196</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0" w:type="dxa"/>
            <w:vAlign w:val="bottom"/>
            <w:gridSpan w:val="5"/>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60" w:type="dxa"/>
            <w:vAlign w:val="bottom"/>
            <w:gridSpan w:val="4"/>
            <w:vMerge w:val="restart"/>
          </w:tcPr>
          <w:p>
            <w:pPr>
              <w:ind w:left="3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200" w:type="dxa"/>
            <w:vAlign w:val="bottom"/>
            <w:gridSpan w:val="2"/>
            <w:vMerge w:val="restart"/>
          </w:tcPr>
          <w:p>
            <w:pPr>
              <w:ind w:left="58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6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0" w:type="dxa"/>
            <w:vAlign w:val="bottom"/>
            <w:gridSpan w:val="2"/>
          </w:tcPr>
          <w:p>
            <w:pPr>
              <w:ind w:left="11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0" w:type="dxa"/>
            <w:vAlign w:val="bottom"/>
            <w:gridSpan w:val="2"/>
          </w:tcPr>
          <w:p>
            <w:pPr>
              <w:ind w:left="11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gridSpan w:val="2"/>
          </w:tcPr>
          <w:p>
            <w:pPr>
              <w:jc w:val="right"/>
              <w:ind w:right="93"/>
              <w:spacing w:after="0"/>
              <w:rPr>
                <w:sz w:val="20"/>
                <w:szCs w:val="20"/>
                <w:color w:val="auto"/>
              </w:rPr>
            </w:pPr>
            <w:r>
              <w:rPr>
                <w:rFonts w:ascii="Arial" w:cs="Arial" w:eastAsia="Arial" w:hAnsi="Arial"/>
                <w:sz w:val="17"/>
                <w:szCs w:val="17"/>
                <w:color w:val="0000FF"/>
              </w:rPr>
              <w:t>12/03/2015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rPr>
              <w:t>39,960</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601,607.412</w:t>
            </w:r>
            <w:r>
              <w:rPr>
                <w:rFonts w:ascii="Arial" w:cs="Arial" w:eastAsia="Arial" w:hAnsi="Arial"/>
                <w:sz w:val="22"/>
                <w:szCs w:val="22"/>
                <w:color w:val="008000"/>
                <w:w w:val="88"/>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200" w:type="dxa"/>
            <w:vAlign w:val="bottom"/>
            <w:gridSpan w:val="2"/>
          </w:tcPr>
          <w:p>
            <w:pPr>
              <w:jc w:val="right"/>
              <w:ind w:right="93"/>
              <w:spacing w:after="0"/>
              <w:rPr>
                <w:sz w:val="20"/>
                <w:szCs w:val="20"/>
                <w:color w:val="auto"/>
              </w:rPr>
            </w:pPr>
            <w:r>
              <w:rPr>
                <w:rFonts w:ascii="Arial" w:cs="Arial" w:eastAsia="Arial" w:hAnsi="Arial"/>
                <w:sz w:val="17"/>
                <w:szCs w:val="17"/>
                <w:color w:val="0000FF"/>
              </w:rPr>
              <w:t>12/03/2015</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840" w:type="dxa"/>
            <w:vAlign w:val="bottom"/>
          </w:tcPr>
          <w:p>
            <w:pPr>
              <w:jc w:val="right"/>
              <w:ind w:right="91"/>
              <w:spacing w:after="0"/>
              <w:rPr>
                <w:sz w:val="20"/>
                <w:szCs w:val="20"/>
                <w:color w:val="auto"/>
              </w:rPr>
            </w:pPr>
            <w:r>
              <w:rPr>
                <w:rFonts w:ascii="Arial" w:cs="Arial" w:eastAsia="Arial" w:hAnsi="Arial"/>
                <w:sz w:val="17"/>
                <w:szCs w:val="17"/>
                <w:color w:val="0000FF"/>
              </w:rPr>
              <w:t>19,261</w:t>
            </w:r>
          </w:p>
        </w:tc>
        <w:tc>
          <w:tcPr>
            <w:tcW w:w="500" w:type="dxa"/>
            <w:vAlign w:val="bottom"/>
          </w:tcPr>
          <w:p>
            <w:pPr>
              <w:jc w:val="center"/>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74.33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582,346.412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4"/>
              </w:rPr>
              <w:t>20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By Son</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Held 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Michael J.</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Hoffman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124,415.687</w:t>
            </w:r>
            <w:r>
              <w:rPr>
                <w:rFonts w:ascii="Arial" w:cs="Arial" w:eastAsia="Arial" w:hAnsi="Arial"/>
                <w:sz w:val="22"/>
                <w:szCs w:val="22"/>
                <w:color w:val="008000"/>
                <w:w w:val="88"/>
                <w:vertAlign w:val="superscript"/>
              </w:rPr>
              <w:t>(3)</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Irrevocable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Lifetime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The Toro</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9"/>
              </w:rPr>
              <w:t>67,472.048</w:t>
            </w:r>
            <w:r>
              <w:rPr>
                <w:rFonts w:ascii="Arial" w:cs="Arial" w:eastAsia="Arial" w:hAnsi="Arial"/>
                <w:sz w:val="22"/>
                <w:szCs w:val="22"/>
                <w:color w:val="008000"/>
                <w:w w:val="89"/>
                <w:vertAlign w:val="superscript"/>
              </w:rPr>
              <w:t>(4)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Savings &amp;</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7"/>
                <w:szCs w:val="17"/>
                <w:color w:val="0000FF"/>
              </w:rPr>
              <w:t>ESOP</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12/04/2015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69,000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12/04/2025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69,000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69,000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2013 to Fiscal 2015 Performance Period under The Toro Company Amended and Restated 2010 Equity and Incentive Plan, as amended, (the "Amended and Restated 2010 Plan") as approved by the registrant's Compensation &amp; Human Resources Committee of its Board of Directors on December 1, 2015, and which was conditioned upon and subject to confirmation by the registrant's Fiscal 2015 financial results that were released on December 3, 2015.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1,182.76 shares of common stock acquired by the reporting person under the dividend reinvestment feature of The Toro Company Direct Stock Purchase Plan (the "DRIP") since the date of his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417.594 shares of common stock acquired by the reporting person under the DRIP since the date of his last report.</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226.456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12/07/2015</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63"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2019-12-23T20:54:35Z</dcterms:created>
  <dcterms:modified xsi:type="dcterms:W3CDTF">2019-12-23T20:54:35Z</dcterms:modified>
</cp:coreProperties>
</file>