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64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64400"/>
                    </a:xfrm>
                    <a:prstGeom prst="rect">
                      <a:avLst/>
                    </a:prstGeom>
                    <a:noFill/>
                  </pic:spPr>
                </pic:pic>
              </a:graphicData>
            </a:graphic>
          </wp:anchor>
        </w:drawing>
      </w:r>
    </w:p>
    <w:p>
      <w:pPr>
        <w:spacing w:after="0" w:line="104" w:lineRule="exact"/>
        <w:rPr>
          <w:sz w:val="24"/>
          <w:szCs w:val="24"/>
          <w:color w:val="auto"/>
        </w:rPr>
      </w:pPr>
    </w:p>
    <w:p>
      <w:pPr>
        <w:sectPr>
          <w:pgSz w:w="11900" w:h="16863"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VP, Treasurer &amp; CFO</w:t>
      </w:r>
    </w:p>
    <w:p>
      <w:pPr>
        <w:spacing w:after="0" w:line="333" w:lineRule="exact"/>
        <w:rPr>
          <w:sz w:val="24"/>
          <w:szCs w:val="24"/>
          <w:color w:val="auto"/>
        </w:rPr>
      </w:pPr>
    </w:p>
    <w:p>
      <w:pPr>
        <w:sectPr>
          <w:pgSz w:w="11900" w:h="16863"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63"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520" w:type="dxa"/>
            <w:vAlign w:val="bottom"/>
          </w:tcPr>
          <w:p>
            <w:pPr>
              <w:spacing w:after="0"/>
              <w:rPr>
                <w:sz w:val="11"/>
                <w:szCs w:val="11"/>
                <w:color w:val="auto"/>
              </w:rPr>
            </w:pPr>
          </w:p>
        </w:tc>
        <w:tc>
          <w:tcPr>
            <w:tcW w:w="180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12/06/2018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rPr>
              <w:t>13,219</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14,645.344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right"/>
              <w:ind w:right="89"/>
              <w:spacing w:after="0"/>
              <w:rPr>
                <w:sz w:val="20"/>
                <w:szCs w:val="20"/>
                <w:color w:val="auto"/>
              </w:rPr>
            </w:pPr>
            <w:r>
              <w:rPr>
                <w:rFonts w:ascii="Arial" w:cs="Arial" w:eastAsia="Arial" w:hAnsi="Arial"/>
                <w:sz w:val="17"/>
                <w:szCs w:val="17"/>
                <w:color w:val="0000FF"/>
              </w:rPr>
              <w:t>12/06/2018</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840" w:type="dxa"/>
            <w:vAlign w:val="bottom"/>
          </w:tcPr>
          <w:p>
            <w:pPr>
              <w:jc w:val="right"/>
              <w:ind w:right="151"/>
              <w:spacing w:after="0"/>
              <w:rPr>
                <w:sz w:val="20"/>
                <w:szCs w:val="20"/>
                <w:color w:val="auto"/>
              </w:rPr>
            </w:pPr>
            <w:r>
              <w:rPr>
                <w:rFonts w:ascii="Arial" w:cs="Arial" w:eastAsia="Arial" w:hAnsi="Arial"/>
                <w:sz w:val="17"/>
                <w:szCs w:val="17"/>
                <w:color w:val="0000FF"/>
              </w:rPr>
              <w:t>4,046</w:t>
            </w:r>
          </w:p>
        </w:tc>
        <w:tc>
          <w:tcPr>
            <w:tcW w:w="500" w:type="dxa"/>
            <w:vAlign w:val="bottom"/>
          </w:tcPr>
          <w:p>
            <w:pPr>
              <w:ind w:left="200"/>
              <w:spacing w:after="0"/>
              <w:rPr>
                <w:sz w:val="20"/>
                <w:szCs w:val="20"/>
                <w:color w:val="auto"/>
              </w:rPr>
            </w:pPr>
            <w:r>
              <w:rPr>
                <w:rFonts w:ascii="Arial" w:cs="Arial" w:eastAsia="Arial" w:hAnsi="Arial"/>
                <w:sz w:val="17"/>
                <w:szCs w:val="17"/>
                <w:color w:val="0000FF"/>
              </w:rPr>
              <w:t>D</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58.15</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10,599.344</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Held by the</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Renee J.</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Peterson</w:t>
            </w:r>
          </w:p>
        </w:tc>
        <w:tc>
          <w:tcPr>
            <w:tcW w:w="0" w:type="dxa"/>
            <w:vAlign w:val="bottom"/>
          </w:tcPr>
          <w:p>
            <w:pPr>
              <w:spacing w:after="0"/>
              <w:rPr>
                <w:sz w:val="1"/>
                <w:szCs w:val="1"/>
                <w:color w:val="auto"/>
              </w:rPr>
            </w:pPr>
          </w:p>
        </w:tc>
      </w:tr>
      <w:tr>
        <w:trPr>
          <w:trHeight w:val="215"/>
        </w:trPr>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21"/>
        </w:trPr>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bl>
    <w:p>
      <w:pPr>
        <w:ind w:left="10500"/>
        <w:spacing w:after="0"/>
        <w:rPr>
          <w:sz w:val="20"/>
          <w:szCs w:val="20"/>
          <w:color w:val="auto"/>
        </w:rPr>
      </w:pPr>
      <w:r>
        <w:rPr>
          <w:rFonts w:ascii="Arial" w:cs="Arial" w:eastAsia="Arial" w:hAnsi="Arial"/>
          <w:sz w:val="17"/>
          <w:szCs w:val="17"/>
          <w:color w:val="0000FF"/>
        </w:rPr>
        <w:t>Annuity</w:t>
      </w:r>
    </w:p>
    <w:p>
      <w:pPr>
        <w:spacing w:after="0" w:line="19"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Trust</w:t>
      </w:r>
    </w:p>
    <w:p>
      <w:pPr>
        <w:spacing w:after="0" w:line="14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The Toro</w:t>
      </w:r>
    </w:p>
    <w:p>
      <w:pPr>
        <w:spacing w:after="0" w:line="2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Company</w:t>
      </w:r>
    </w:p>
    <w:p>
      <w:pPr>
        <w:ind w:left="80"/>
        <w:spacing w:after="0"/>
        <w:tabs>
          <w:tab w:leader="none" w:pos="8540" w:val="left"/>
          <w:tab w:leader="none" w:pos="9920" w:val="left"/>
          <w:tab w:leader="none" w:pos="104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646.538</w:t>
      </w:r>
      <w:r>
        <w:rPr>
          <w:rFonts w:ascii="Arial" w:cs="Arial" w:eastAsia="Arial" w:hAnsi="Arial"/>
          <w:sz w:val="22"/>
          <w:szCs w:val="22"/>
          <w:color w:val="008000"/>
          <w:vertAlign w:val="superscript"/>
        </w:rPr>
        <w:t>(2)</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Savings &amp;</w:t>
      </w:r>
    </w:p>
    <w:p>
      <w:pPr>
        <w:spacing w:after="0" w:line="12"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ESOP</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32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82,723.06</w:t>
            </w:r>
            <w:r>
              <w:rPr>
                <w:rFonts w:ascii="Arial" w:cs="Arial" w:eastAsia="Arial" w:hAnsi="Arial"/>
                <w:sz w:val="22"/>
                <w:szCs w:val="22"/>
                <w:color w:val="008000"/>
                <w:vertAlign w:val="superscript"/>
              </w:rPr>
              <w:t>(3)</w:t>
            </w: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12/07/2018</w:t>
            </w:r>
          </w:p>
        </w:tc>
        <w:tc>
          <w:tcPr>
            <w:tcW w:w="118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33,400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12/07/2028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33,400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tcPr>
          <w:p>
            <w:pPr>
              <w:ind w:left="300"/>
              <w:spacing w:after="0"/>
              <w:rPr>
                <w:sz w:val="20"/>
                <w:szCs w:val="20"/>
                <w:color w:val="auto"/>
              </w:rPr>
            </w:pPr>
            <w:r>
              <w:rPr>
                <w:rFonts w:ascii="Arial" w:cs="Arial" w:eastAsia="Arial" w:hAnsi="Arial"/>
                <w:sz w:val="13"/>
                <w:szCs w:val="13"/>
                <w:color w:val="0000FF"/>
              </w:rPr>
              <w:t>33,400</w:t>
            </w:r>
          </w:p>
        </w:tc>
        <w:tc>
          <w:tcPr>
            <w:tcW w:w="880" w:type="dxa"/>
            <w:vAlign w:val="bottom"/>
          </w:tcPr>
          <w:p>
            <w:pPr>
              <w:ind w:left="46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2016 to Fiscal 2018 Performance Period under The Toro Company Amended and Restated 2010 Equity and Incentive Plan, as amended and restated (the "Amended and Restated 2010 Plan"), as approved by the issuer's Compensation &amp; Human Resources Committee of its Board of Directors on December 4, 2018, and which was conditioned upon and subject to confirmation by the issuer's Fiscal 2018 financial results that were released on December 6, 2018.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2.227 net shares acquired by the reporting person since the date of her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289.903 performance share units acquired by the reporting person since the date of her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12/10/2018</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63"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4"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2019-12-23T21:19:38Z</dcterms:created>
  <dcterms:modified xsi:type="dcterms:W3CDTF">2019-12-23T21:19:38Z</dcterms:modified>
</cp:coreProperties>
</file>