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82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823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46"/>
        <w:spacing w:after="0"/>
        <w:rPr>
          <w:sz w:val="20"/>
          <w:szCs w:val="20"/>
          <w:color w:val="auto"/>
        </w:rPr>
      </w:pPr>
      <w:r>
        <w:rPr>
          <w:rFonts w:ascii="Arial" w:cs="Arial" w:eastAsia="Arial" w:hAnsi="Arial"/>
          <w:sz w:val="17"/>
          <w:szCs w:val="17"/>
          <w:color w:val="0000FF"/>
        </w:rPr>
        <w:t>VP, Finance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0000FF"/>
              </w:rPr>
              <w:t>40,717.585</w:t>
            </w:r>
            <w:r>
              <w:rPr>
                <w:rFonts w:ascii="Arial" w:cs="Arial" w:eastAsia="Arial" w:hAnsi="Arial"/>
                <w:sz w:val="22"/>
                <w:szCs w:val="22"/>
                <w:color w:val="008000"/>
                <w:vertAlign w:val="superscript"/>
              </w:rPr>
              <w:t>(1)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center"/>
              <w:ind w:right="214"/>
              <w:spacing w:after="0" w:line="214" w:lineRule="exact"/>
              <w:rPr>
                <w:sz w:val="20"/>
                <w:szCs w:val="20"/>
                <w:color w:val="auto"/>
              </w:rPr>
            </w:pPr>
            <w:r>
              <w:rPr>
                <w:rFonts w:ascii="Arial" w:cs="Arial" w:eastAsia="Arial" w:hAnsi="Arial"/>
                <w:sz w:val="17"/>
                <w:szCs w:val="17"/>
                <w:color w:val="0000FF"/>
              </w:rPr>
              <w:t>2.012</w:t>
            </w:r>
            <w:r>
              <w:rPr>
                <w:rFonts w:ascii="Arial" w:cs="Arial" w:eastAsia="Arial" w:hAnsi="Arial"/>
                <w:sz w:val="22"/>
                <w:szCs w:val="22"/>
                <w:color w:val="008000"/>
                <w:vertAlign w:val="superscript"/>
              </w:rPr>
              <w:t>(2)</w:t>
            </w:r>
          </w:p>
        </w:tc>
        <w:tc>
          <w:tcPr>
            <w:tcW w:w="980" w:type="dxa"/>
            <w:vAlign w:val="bottom"/>
          </w:tcPr>
          <w:p>
            <w:pPr>
              <w:ind w:left="480"/>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12/11/2012</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25,800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12/11/2022</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25,800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25,800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85"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83.749 shares acquired by the reporting person since the date of her last report under The Toro Company Dividend Reinvestment Plan (the "DRIP") on 30,403.890 shares of restricted stock and related DRIP shares. The restricted stock is an employment inducement grant awarded to the reporting person on August 22, 2011 (the "Inducement Grant"). The award of the Inducement Grant was previously reported on a Form 4 by the reporting person on August 24, 2011.?The Inducement Grant vests in three equal installments on the first, second and third anniversaries of the date of grant.</w:t>
      </w:r>
    </w:p>
    <w:p>
      <w:pPr>
        <w:spacing w:after="0" w:line="4"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.006 shares of common stock acquired by the reporting person under the dividend reinvestment feature of The Toro Company Investment, Savings &amp; ESOP since the date of her last report.</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12/13/2012</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2019-12-17T01:39:27Z</dcterms:created>
  <dcterms:modified xsi:type="dcterms:W3CDTF">2019-12-17T01:39:27Z</dcterms:modified>
</cp:coreProperties>
</file>