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x 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January 31, 2014</w:t>
      </w:r>
    </w:p>
    <w:p>
      <w:pPr>
        <w:spacing w:after="0" w:line="216"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2"/>
          <w:szCs w:val="22"/>
          <w:b w:val="1"/>
          <w:bCs w:val="1"/>
          <w:color w:val="auto"/>
        </w:rPr>
        <w:t>o</w:t>
      </w:r>
      <w:r>
        <w:rPr>
          <w:sz w:val="20"/>
          <w:szCs w:val="20"/>
          <w:color w:val="auto"/>
        </w:rPr>
        <w:tab/>
      </w: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215" w:lineRule="exact"/>
        <w:rPr>
          <w:sz w:val="24"/>
          <w:szCs w:val="24"/>
          <w:color w:val="auto"/>
        </w:rPr>
      </w:pPr>
    </w:p>
    <w:p>
      <w:pPr>
        <w:ind w:left="39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2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February 25, 2014 was 56,401,556.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Page</w:t>
            </w: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60" w:type="dxa"/>
            <w:vAlign w:val="bottom"/>
            <w:gridSpan w:val="10"/>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800" w:type="dxa"/>
            <w:vAlign w:val="bottom"/>
          </w:tcPr>
          <w:p>
            <w:pPr>
              <w:spacing w:after="0"/>
              <w:rPr>
                <w:sz w:val="24"/>
                <w:szCs w:val="24"/>
                <w:color w:val="auto"/>
              </w:rPr>
            </w:pPr>
          </w:p>
        </w:tc>
      </w:tr>
      <w:tr>
        <w:trPr>
          <w:trHeight w:val="412"/>
        </w:trPr>
        <w:tc>
          <w:tcPr>
            <w:tcW w:w="64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Borders>
              <w:top w:val="single" w:sz="8" w:color="0000EE"/>
            </w:tcBorders>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700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9"/>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Earnings (Unaudited) - Three Months Ended January 31, 2014 and February 1, 2013</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tcBorders>
              <w:top w:val="single" w:sz="8" w:color="0000EE"/>
            </w:tcBorders>
            <w:gridSpan w:val="8"/>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Condensed Consolidated Statements of Comprehensive Income (Unaudited) - Three Months Ended January 31, 2014 and</w:t>
              </w:r>
            </w:hyperlink>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5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February 1, 2013</w:t>
              </w:r>
            </w:hyperlink>
          </w:p>
        </w:tc>
        <w:tc>
          <w:tcPr>
            <w:tcW w:w="34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Consolidated Balance Sheets (Unaudited) — January 31, 2014, February 1, 2013, and October 31, 2013</w:t>
              </w:r>
            </w:hyperlink>
          </w:p>
        </w:tc>
        <w:tc>
          <w:tcPr>
            <w:tcW w:w="76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9"/>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Cash Flows (Unaudited) - Three Months Ended January 31, 2014 and February 1,</w:t>
              </w:r>
            </w:hyperlink>
          </w:p>
        </w:tc>
        <w:tc>
          <w:tcPr>
            <w:tcW w:w="80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2013</w:t>
              </w:r>
            </w:hyperlink>
          </w:p>
        </w:tc>
        <w:tc>
          <w:tcPr>
            <w:tcW w:w="6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Condensed Consolidated Financial Statements (Unaudited)</w:t>
              </w:r>
            </w:hyperlink>
          </w:p>
        </w:tc>
        <w:tc>
          <w:tcPr>
            <w:tcW w:w="17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412"/>
        </w:trPr>
        <w:tc>
          <w:tcPr>
            <w:tcW w:w="1140" w:type="dxa"/>
            <w:vAlign w:val="bottom"/>
            <w:gridSpan w:val="5"/>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Item 2.</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10"/>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Management’s Discussion and Analysis of Financial Condition and Results of Operations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54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2100" w:type="dxa"/>
            <w:vAlign w:val="bottom"/>
            <w:tcBorders>
              <w:bottom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140" w:type="dxa"/>
            <w:vAlign w:val="bottom"/>
            <w:gridSpan w:val="5"/>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3.</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5"/>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4.</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5"/>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7040" w:type="dxa"/>
            <w:vAlign w:val="bottom"/>
            <w:gridSpan w:val="13"/>
          </w:tcPr>
          <w:p>
            <w:pPr>
              <w:ind w:left="20"/>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OTHER INFORMATION:</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1.</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488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3"/>
          </w:tcPr>
          <w:p>
            <w:pPr>
              <w:spacing w:after="0"/>
              <w:rPr>
                <w:rFonts w:ascii="Arial" w:cs="Arial" w:eastAsia="Arial" w:hAnsi="Arial"/>
                <w:sz w:val="18"/>
                <w:szCs w:val="18"/>
                <w:b w:val="1"/>
                <w:bCs w:val="1"/>
                <w:color w:val="0000EE"/>
                <w:w w:val="94"/>
              </w:rPr>
            </w:pPr>
            <w:hyperlink w:anchor="page19">
              <w:r>
                <w:rPr>
                  <w:rFonts w:ascii="Arial" w:cs="Arial" w:eastAsia="Arial" w:hAnsi="Arial"/>
                  <w:sz w:val="18"/>
                  <w:szCs w:val="18"/>
                  <w:b w:val="1"/>
                  <w:bCs w:val="1"/>
                  <w:color w:val="0000EE"/>
                  <w:w w:val="94"/>
                </w:rPr>
                <w:t>Item 1A.</w:t>
              </w:r>
            </w:hyperlink>
          </w:p>
        </w:tc>
        <w:tc>
          <w:tcPr>
            <w:tcW w:w="4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574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140" w:type="dxa"/>
            <w:vAlign w:val="bottom"/>
            <w:gridSpan w:val="5"/>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Unregistered Sales of Equity Securities and Use of Proceeds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5"/>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5"/>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6.</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1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1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gridSpan w:val="3"/>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4"/>
          </w:tcPr>
          <w:p>
            <w:pPr>
              <w:jc w:val="center"/>
              <w:ind w:left="321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180" w:type="dxa"/>
            <w:vAlign w:val="bottom"/>
            <w:gridSpan w:val="1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9"/>
              </w:rPr>
              <w:t>Item 1. FINANCIAL STATEMENTS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Condensed Consolidated Statements of Earnings (Unaudited)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8"/>
              </w:rPr>
              <w:t>(Dollars and shares in thousands, except per share data)</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January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3"/>
              <w:spacing w:after="0" w:line="119" w:lineRule="exact"/>
              <w:rPr>
                <w:sz w:val="20"/>
                <w:szCs w:val="20"/>
                <w:color w:val="auto"/>
              </w:rPr>
            </w:pPr>
            <w:r>
              <w:rPr>
                <w:rFonts w:ascii="Arial" w:cs="Arial" w:eastAsia="Arial" w:hAnsi="Arial"/>
                <w:sz w:val="13"/>
                <w:szCs w:val="13"/>
                <w:b w:val="1"/>
                <w:bCs w:val="1"/>
                <w:color w:val="auto"/>
              </w:rPr>
              <w:t>February 1,</w:t>
            </w: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445,981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282,467</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278,844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right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17"/>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122,916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119,613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gridSpan w:val="17"/>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17"/>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(3,753)</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(4,249)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17"/>
          </w:tcPr>
          <w:p>
            <w:pPr>
              <w:ind w:left="160"/>
              <w:spacing w:after="0"/>
              <w:rPr>
                <w:sz w:val="20"/>
                <w:szCs w:val="20"/>
                <w:color w:val="auto"/>
              </w:rPr>
            </w:pPr>
            <w:r>
              <w:rPr>
                <w:rFonts w:ascii="Arial" w:cs="Arial" w:eastAsia="Arial" w:hAnsi="Arial"/>
                <w:sz w:val="18"/>
                <w:szCs w:val="18"/>
                <w:color w:val="auto"/>
              </w:rPr>
              <w:t>Earnings before income taxes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38,755</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12,886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w w:val="92"/>
              </w:rPr>
              <w:t>Net earnings</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25,869</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160" w:type="dxa"/>
            <w:vAlign w:val="bottom"/>
            <w:gridSpan w:val="17"/>
          </w:tcPr>
          <w:p>
            <w:pPr>
              <w:spacing w:after="0"/>
              <w:rPr>
                <w:sz w:val="20"/>
                <w:szCs w:val="20"/>
                <w:color w:val="auto"/>
              </w:rPr>
            </w:pPr>
            <w:r>
              <w:rPr>
                <w:rFonts w:ascii="Arial" w:cs="Arial" w:eastAsia="Arial" w:hAnsi="Arial"/>
                <w:sz w:val="18"/>
                <w:szCs w:val="18"/>
                <w:color w:val="auto"/>
              </w:rPr>
              <w:t>Basic net earnings per share of common stock</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160" w:type="dxa"/>
            <w:vAlign w:val="bottom"/>
            <w:gridSpan w:val="17"/>
          </w:tcPr>
          <w:p>
            <w:pPr>
              <w:spacing w:after="0"/>
              <w:rPr>
                <w:sz w:val="20"/>
                <w:szCs w:val="20"/>
                <w:color w:val="auto"/>
              </w:rPr>
            </w:pPr>
            <w:r>
              <w:rPr>
                <w:rFonts w:ascii="Arial" w:cs="Arial" w:eastAsia="Arial" w:hAnsi="Arial"/>
                <w:sz w:val="18"/>
                <w:szCs w:val="18"/>
                <w:color w:val="auto"/>
              </w:rPr>
              <w:t>Diluted net earnings per share of common stock</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0.44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17"/>
          </w:tcPr>
          <w:p>
            <w:pPr>
              <w:spacing w:after="0"/>
              <w:rPr>
                <w:sz w:val="20"/>
                <w:szCs w:val="20"/>
                <w:color w:val="auto"/>
              </w:rPr>
            </w:pPr>
            <w:r>
              <w:rPr>
                <w:rFonts w:ascii="Arial" w:cs="Arial" w:eastAsia="Arial" w:hAnsi="Arial"/>
                <w:sz w:val="18"/>
                <w:szCs w:val="18"/>
                <w:color w:val="auto"/>
              </w:rPr>
              <w:t>Weighted-average number of shares of common stock outstanding — Basic</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57,020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58,480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160" w:type="dxa"/>
            <w:vAlign w:val="bottom"/>
            <w:gridSpan w:val="17"/>
          </w:tcPr>
          <w:p>
            <w:pPr>
              <w:spacing w:after="0"/>
              <w:rPr>
                <w:sz w:val="20"/>
                <w:szCs w:val="20"/>
                <w:color w:val="auto"/>
              </w:rPr>
            </w:pPr>
            <w:r>
              <w:rPr>
                <w:rFonts w:ascii="Arial" w:cs="Arial" w:eastAsia="Arial" w:hAnsi="Arial"/>
                <w:sz w:val="18"/>
                <w:szCs w:val="18"/>
                <w:color w:val="auto"/>
              </w:rPr>
              <w:t>Weighted-average number of shares of common stock outstanding — Diluted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58,306</w:t>
            </w: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59,628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gridSpan w:val="11"/>
          </w:tcPr>
          <w:p>
            <w:pPr>
              <w:jc w:val="center"/>
              <w:ind w:right="980"/>
              <w:spacing w:after="0"/>
              <w:rPr>
                <w:sz w:val="20"/>
                <w:szCs w:val="20"/>
                <w:color w:val="auto"/>
              </w:rPr>
            </w:pPr>
            <w:r>
              <w:rPr>
                <w:rFonts w:ascii="Arial" w:cs="Arial" w:eastAsia="Arial" w:hAnsi="Arial"/>
                <w:sz w:val="18"/>
                <w:szCs w:val="18"/>
                <w:b w:val="1"/>
                <w:bCs w:val="1"/>
                <w:color w:val="auto"/>
                <w:w w:val="88"/>
              </w:rPr>
              <w:t>Condensed Consolidated Statements of Comprehensive Income (Unaudited)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9"/>
              </w:rPr>
              <w:t>(Dollars 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January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3"/>
              <w:spacing w:after="0" w:line="119" w:lineRule="exact"/>
              <w:rPr>
                <w:sz w:val="20"/>
                <w:szCs w:val="20"/>
                <w:color w:val="auto"/>
              </w:rPr>
            </w:pPr>
            <w:r>
              <w:rPr>
                <w:rFonts w:ascii="Arial" w:cs="Arial" w:eastAsia="Arial" w:hAnsi="Arial"/>
                <w:sz w:val="13"/>
                <w:szCs w:val="13"/>
                <w:b w:val="1"/>
                <w:bCs w:val="1"/>
                <w:color w:val="auto"/>
              </w:rPr>
              <w:t>February 1,</w:t>
            </w:r>
          </w:p>
        </w:tc>
        <w:tc>
          <w:tcPr>
            <w:tcW w:w="1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17"/>
          </w:tcPr>
          <w:p>
            <w:pPr>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17"/>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17"/>
          </w:tcPr>
          <w:p>
            <w:pPr>
              <w:ind w:left="160"/>
              <w:spacing w:after="0"/>
              <w:rPr>
                <w:sz w:val="20"/>
                <w:szCs w:val="20"/>
                <w:color w:val="auto"/>
              </w:rPr>
            </w:pPr>
            <w:r>
              <w:rPr>
                <w:rFonts w:ascii="Arial" w:cs="Arial" w:eastAsia="Arial" w:hAnsi="Arial"/>
                <w:sz w:val="18"/>
                <w:szCs w:val="18"/>
                <w:color w:val="auto"/>
              </w:rPr>
              <w:t>Derivative instruments, net of tax of $842 and $(397), respectively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1,309</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gridSpan w:val="17"/>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gridSpan w:val="18"/>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24,951</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-6081395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-6081395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ectPr>
          <w:pgSz w:w="11900" w:h="16838" w:orient="portrait"/>
          <w:cols w:equalWidth="0" w:num="1">
            <w:col w:w="11460"/>
          </w:cols>
          <w:pgMar w:left="240" w:top="324" w:right="19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February 1,</w:t>
            </w:r>
          </w:p>
        </w:tc>
        <w:tc>
          <w:tcPr>
            <w:tcW w:w="200" w:type="dxa"/>
            <w:vAlign w:val="bottom"/>
          </w:tcPr>
          <w:p>
            <w:pPr>
              <w:spacing w:after="0"/>
              <w:rPr>
                <w:sz w:val="14"/>
                <w:szCs w:val="1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104,025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60,700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182,993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199,829</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180,317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304,921</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335,700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240,089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35,507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25,291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38,590</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63,878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682,872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665,886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736,450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688,649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721,504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547,264</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515,382</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536,408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189,186</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173,267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25,776</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21,773</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22,346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91,786</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92,038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28,202</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30,606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1,039,595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984,143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140</w:t>
            </w: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192,727</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168,334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250,560</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258,909</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252,687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443,427</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427,493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223,839</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223,498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10,513</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10,974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5,969</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14,407</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6,531</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Preferred stock, par value $1.00 per share, authorized 1,000,000 voting and 850,000</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non-voting shares, none issued and outstanding</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tcPr>
          <w:p>
            <w:pPr>
              <w:spacing w:after="0" w:line="201" w:lineRule="exact"/>
              <w:rPr>
                <w:sz w:val="20"/>
                <w:szCs w:val="20"/>
                <w:color w:val="auto"/>
              </w:rPr>
            </w:pPr>
            <w:r>
              <w:rPr>
                <w:rFonts w:ascii="Arial" w:cs="Arial" w:eastAsia="Arial" w:hAnsi="Arial"/>
                <w:sz w:val="18"/>
                <w:szCs w:val="18"/>
                <w:color w:val="auto"/>
              </w:rPr>
              <w:t>Common stock, par value $1.00 per share, authorized 175,000,000 shares as of</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w w:val="97"/>
              </w:rPr>
              <w:t>January 31, 2014 and October 31, 2013, and 100,000,000 shares as of February 1,</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w w:val="95"/>
              </w:rPr>
              <w:t>2013; issued and outstanding 56,436,102 shares as of January 31, 2014, 57,854,539</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shares as of February 1, 2013, and 56,788,723 shares as of October 31, 2013</w:t>
            </w:r>
          </w:p>
        </w:tc>
        <w:tc>
          <w:tcPr>
            <w:tcW w:w="20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56,436</w:t>
            </w: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57,855</w:t>
            </w: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56,789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298,492</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264,056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(13,488)</w:t>
            </w: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(9,068)</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(12,570)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341,440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312,843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1,039,595</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984,143</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1,002,748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7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February 1,</w:t>
            </w:r>
          </w:p>
        </w:tc>
        <w:tc>
          <w:tcPr>
            <w:tcW w:w="100" w:type="dxa"/>
            <w:vAlign w:val="bottom"/>
          </w:tcPr>
          <w:p>
            <w:pPr>
              <w:spacing w:after="0"/>
              <w:rPr>
                <w:sz w:val="10"/>
                <w:szCs w:val="10"/>
                <w:color w:val="auto"/>
              </w:rPr>
            </w:pPr>
          </w:p>
        </w:tc>
      </w:tr>
      <w:tr>
        <w:trPr>
          <w:trHeight w:val="171"/>
        </w:trPr>
        <w:tc>
          <w:tcPr>
            <w:tcW w:w="74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Net earnings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25,869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31,396</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(1,266)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(1,353)</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13,285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13,517</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2,541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2,479</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deferred income taxes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(44,118)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(32,217)</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(66,825)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(83,794)</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(4,705)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59,389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46,429</w:t>
            </w:r>
          </w:p>
        </w:tc>
      </w:tr>
      <w:tr>
        <w:trPr>
          <w:trHeight w:val="210"/>
        </w:trPr>
        <w:tc>
          <w:tcPr>
            <w:tcW w:w="74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(12,594)</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(23,462)</w:t>
            </w:r>
          </w:p>
        </w:tc>
        <w:tc>
          <w:tcPr>
            <w:tcW w:w="100" w:type="dxa"/>
            <w:vAlign w:val="bottom"/>
            <w:tcBorders>
              <w:bottom w:val="single" w:sz="8" w:color="CCEEFF"/>
            </w:tcBorders>
          </w:tcPr>
          <w:p>
            <w:pPr>
              <w:spacing w:after="0"/>
              <w:rPr>
                <w:sz w:val="18"/>
                <w:szCs w:val="18"/>
                <w:color w:val="auto"/>
              </w:rPr>
            </w:pPr>
          </w:p>
        </w:tc>
      </w:tr>
      <w:tr>
        <w:trPr>
          <w:trHeight w:val="210"/>
        </w:trPr>
        <w:tc>
          <w:tcPr>
            <w:tcW w:w="7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13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1303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(18,085)</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to finance affiliate, net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4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(20,176)</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Repayments of short-term debt</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(849)</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(repayments of) long-term debt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5,527</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(42,013)</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(11,381)</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17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(45,610)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(36,332)</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(78,968)</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(65,156)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182,993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7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104,025</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three months ended January 31, 2014 cannot be annualized to determine the expected results for the fiscal year ending October 31, 2014.</w:t>
      </w:r>
    </w:p>
    <w:p>
      <w:pPr>
        <w:spacing w:after="0" w:line="178" w:lineRule="exact"/>
        <w:rPr>
          <w:sz w:val="20"/>
          <w:szCs w:val="20"/>
          <w:color w:val="auto"/>
        </w:rPr>
      </w:pPr>
    </w:p>
    <w:p>
      <w:pPr>
        <w:ind w:right="80" w:firstLine="272"/>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ind w:right="340" w:firstLine="272"/>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2013.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Adopted</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December 2011, the Financial Accounting Standards Board issued Accounting Standards Update (“ASU”) No. 2011-11, Disclosures about Offsetting Assets and Liabilities. ASU No. 2011-11 requires entities to disclose gross and net information about both instruments and transactions eligible for offset in the statement of financial position and those subject to an agreement similar to a master netting arrangement, including derivatives and other financial securities arrangements. The company adopted this guidance in the first quarter of fiscal 2014, as required. The adoption of this guidance did not have a material impact on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first quarter of fiscal 2014, the company completed the acquisition of certain assets for a quality value-priced line of outdoor lighting fixtures and accessories for the landscape lighting market. The acquisition was accounted for as a business combination and was immaterial based on the company’s consolidated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and useful lives for tangible and intangible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ectPr>
          <w:pgSz w:w="11900" w:h="16838" w:orient="portrait"/>
          <w:cols w:equalWidth="0" w:num="1">
            <w:col w:w="11420"/>
          </w:cols>
          <w:pgMar w:left="240" w:top="140" w:right="239" w:bottom="0" w:gutter="0" w:footer="0" w:header="0"/>
        </w:sectPr>
      </w:pPr>
    </w:p>
    <w:bookmarkStart w:id="4" w:name="page5"/>
    <w:bookmarkEnd w:id="4"/>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company’s incentive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non-officer employees vest in full on the three-year anniversary of the date of grant and have a ten-year term. Compensation expense equal to the grant date fair value is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78" w:lineRule="exact"/>
        <w:rPr>
          <w:sz w:val="20"/>
          <w:szCs w:val="20"/>
          <w:color w:val="auto"/>
        </w:rPr>
      </w:pPr>
    </w:p>
    <w:p>
      <w:pPr>
        <w:ind w:right="100" w:firstLine="270"/>
        <w:spacing w:after="0" w:line="271"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illustrates the assumptions for options granted in the following fiscal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360" w:type="dxa"/>
            <w:vAlign w:val="bottom"/>
            <w:gridSpan w:val="2"/>
          </w:tcPr>
          <w:p>
            <w:pPr>
              <w:ind w:left="700"/>
              <w:spacing w:after="0"/>
              <w:rPr>
                <w:sz w:val="20"/>
                <w:szCs w:val="20"/>
                <w:color w:val="auto"/>
              </w:rPr>
            </w:pPr>
            <w:r>
              <w:rPr>
                <w:rFonts w:ascii="Arial" w:cs="Arial" w:eastAsia="Arial" w:hAnsi="Arial"/>
                <w:sz w:val="14"/>
                <w:szCs w:val="14"/>
                <w:b w:val="1"/>
                <w:bCs w:val="1"/>
                <w:color w:val="auto"/>
              </w:rPr>
              <w:t>Fiscal 2014</w:t>
            </w:r>
          </w:p>
        </w:tc>
        <w:tc>
          <w:tcPr>
            <w:tcW w:w="2080" w:type="dxa"/>
            <w:vAlign w:val="bottom"/>
          </w:tcPr>
          <w:p>
            <w:pPr>
              <w:ind w:left="700"/>
              <w:spacing w:after="0"/>
              <w:rPr>
                <w:sz w:val="20"/>
                <w:szCs w:val="20"/>
                <w:color w:val="auto"/>
              </w:rPr>
            </w:pPr>
            <w:r>
              <w:rPr>
                <w:rFonts w:ascii="Arial" w:cs="Arial" w:eastAsia="Arial" w:hAnsi="Arial"/>
                <w:sz w:val="14"/>
                <w:szCs w:val="14"/>
                <w:b w:val="1"/>
                <w:bCs w:val="1"/>
                <w:color w:val="auto"/>
              </w:rPr>
              <w:t>Fiscal 2013</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Expected volatility</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34.28% - 34.42%</w:t>
            </w:r>
          </w:p>
        </w:tc>
        <w:tc>
          <w:tcPr>
            <w:tcW w:w="2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35.18% - 35.19%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34.29%</w:t>
            </w: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35.19%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1.92%</w:t>
            </w:r>
          </w:p>
        </w:tc>
        <w:tc>
          <w:tcPr>
            <w:tcW w:w="2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0.88%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 - 1.27%</w:t>
            </w: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1.04% - 1.07%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2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1.07%</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Grant date weighted-average fair value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$18.68</w:t>
            </w:r>
          </w:p>
        </w:tc>
        <w:tc>
          <w:tcPr>
            <w:tcW w:w="28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quarter of each of fiscal 2014 and 2013 was $59.31 and $42.06,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the company’s incentive plan, restricted stock and restricted stock unit awards are generally granted to certain non-officer employees. Occasionally, restricted stock or restricted stock unit awards may be granted, including to officers, in connection with hiring, mid-year promotions, leadership transition, or retention. In fiscal 2013, the company began granting restricted stock unit awards.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and restricted stock unit awards granted during the first quarter of fiscal 2014 and 2013 was $59.50 and $42.06, respectively.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6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42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January 31,</w:t>
            </w:r>
          </w:p>
        </w:tc>
        <w:tc>
          <w:tcPr>
            <w:tcW w:w="114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3"/>
                <w:szCs w:val="13"/>
                <w:b w:val="1"/>
                <w:bCs w:val="1"/>
                <w:color w:val="auto"/>
              </w:rPr>
              <w:t>February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80" w:type="dxa"/>
            <w:vAlign w:val="bottom"/>
            <w:gridSpan w:val="4"/>
            <w:vMerge w:val="continue"/>
          </w:tcPr>
          <w:p>
            <w:pPr>
              <w:spacing w:after="0"/>
              <w:rPr>
                <w:sz w:val="14"/>
                <w:szCs w:val="14"/>
                <w:color w:val="auto"/>
              </w:rPr>
            </w:pPr>
          </w:p>
        </w:tc>
        <w:tc>
          <w:tcPr>
            <w:tcW w:w="1140" w:type="dxa"/>
            <w:vAlign w:val="bottom"/>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140" w:type="dxa"/>
            <w:vAlign w:val="bottom"/>
          </w:tcPr>
          <w:p>
            <w:pPr>
              <w:jc w:val="right"/>
              <w:ind w:right="33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Weighted-average number of shares of common stock</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56,969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w w:val="94"/>
              </w:rPr>
              <w:t>Weighted-average number of shares of common stock and assumed issuance of</w:t>
            </w:r>
          </w:p>
        </w:tc>
        <w:tc>
          <w:tcPr>
            <w:tcW w:w="1140" w:type="dxa"/>
            <w:vAlign w:val="bottom"/>
          </w:tcPr>
          <w:p>
            <w:pPr>
              <w:jc w:val="right"/>
              <w:spacing w:after="0"/>
              <w:rPr>
                <w:sz w:val="20"/>
                <w:szCs w:val="20"/>
                <w:color w:val="auto"/>
              </w:rPr>
            </w:pPr>
            <w:r>
              <w:rPr>
                <w:rFonts w:ascii="Arial" w:cs="Arial" w:eastAsia="Arial" w:hAnsi="Arial"/>
                <w:sz w:val="18"/>
                <w:szCs w:val="18"/>
                <w:color w:val="auto"/>
              </w:rPr>
              <w:t>57,020</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912" w:orient="portrait"/>
          <w:cols w:equalWidth="0" w:num="1">
            <w:col w:w="11420"/>
          </w:cols>
          <w:pgMar w:left="240" w:top="125" w:right="239" w:bottom="0" w:gutter="0" w:footer="0" w:header="0"/>
        </w:sectPr>
      </w:pPr>
    </w:p>
    <w:bookmarkStart w:id="5" w:name="page6"/>
    <w:bookmarkEnd w:id="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contingent shares</w:t>
            </w:r>
          </w:p>
        </w:tc>
        <w:tc>
          <w:tcPr>
            <w:tcW w:w="114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2"/>
          </w:tcPr>
          <w:p>
            <w:pPr>
              <w:spacing w:after="0" w:line="201" w:lineRule="exact"/>
              <w:rPr>
                <w:sz w:val="20"/>
                <w:szCs w:val="20"/>
                <w:color w:val="auto"/>
              </w:rPr>
            </w:pPr>
            <w:r>
              <w:rPr>
                <w:rFonts w:ascii="Arial" w:cs="Arial" w:eastAsia="Arial" w:hAnsi="Arial"/>
                <w:sz w:val="18"/>
                <w:szCs w:val="18"/>
                <w:color w:val="auto"/>
                <w:w w:val="94"/>
              </w:rPr>
              <w:t>Weighted-average number of shares of common stock and assumed issuance of</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contingent shares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57,020</w:t>
            </w:r>
          </w:p>
        </w:tc>
        <w:tc>
          <w:tcPr>
            <w:tcW w:w="1140" w:type="dxa"/>
            <w:vAlign w:val="bottom"/>
          </w:tcPr>
          <w:p>
            <w:pPr>
              <w:jc w:val="right"/>
              <w:spacing w:after="0"/>
              <w:rPr>
                <w:sz w:val="20"/>
                <w:szCs w:val="20"/>
                <w:color w:val="auto"/>
              </w:rPr>
            </w:pPr>
            <w:r>
              <w:rPr>
                <w:rFonts w:ascii="Arial" w:cs="Arial" w:eastAsia="Arial" w:hAnsi="Arial"/>
                <w:sz w:val="18"/>
                <w:szCs w:val="18"/>
                <w:color w:val="auto"/>
              </w:rPr>
              <w:t>58,480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tcPr>
          <w:p>
            <w:pPr>
              <w:spacing w:after="0" w:line="182" w:lineRule="exact"/>
              <w:rPr>
                <w:sz w:val="20"/>
                <w:szCs w:val="20"/>
                <w:color w:val="auto"/>
              </w:rPr>
            </w:pPr>
            <w:r>
              <w:rPr>
                <w:rFonts w:ascii="Arial" w:cs="Arial" w:eastAsia="Arial" w:hAnsi="Arial"/>
                <w:sz w:val="18"/>
                <w:szCs w:val="18"/>
                <w:color w:val="auto"/>
                <w:w w:val="98"/>
              </w:rPr>
              <w:t>Weighted-average number of shares of common stock, assumed issuance of</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58,306</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59,628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contingent shares, and effect of dilutive securities</w:t>
            </w:r>
          </w:p>
        </w:tc>
        <w:tc>
          <w:tcPr>
            <w:tcW w:w="142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285"/>
        <w:spacing w:after="0" w:line="264" w:lineRule="auto"/>
        <w:rPr>
          <w:sz w:val="20"/>
          <w:szCs w:val="20"/>
          <w:color w:val="auto"/>
        </w:rPr>
      </w:pPr>
      <w:r>
        <w:rPr>
          <w:rFonts w:ascii="Arial" w:cs="Arial" w:eastAsia="Arial" w:hAnsi="Arial"/>
          <w:sz w:val="18"/>
          <w:szCs w:val="18"/>
          <w:color w:val="auto"/>
        </w:rPr>
        <w:t>Incremental shares from options and restricted stock are computed by the treasury stock method. Options and restricted stock of 185,305 and 232,231 shares during the first quarter of fiscal 2014 and 2013, respectively, were excluded from the computation of diluted net earnings per share because they were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98,379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Finished goods and service parts</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272,638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301,128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217,796</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305,464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Less: adjustment to LIFO value</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65,375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63,807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65,375</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quarter of fiscal 2014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Professional</w:t>
            </w:r>
          </w:p>
        </w:tc>
        <w:tc>
          <w:tcPr>
            <w:tcW w:w="20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Residential</w:t>
            </w:r>
          </w:p>
        </w:tc>
        <w:tc>
          <w:tcPr>
            <w:tcW w:w="320" w:type="dxa"/>
            <w:vAlign w:val="bottom"/>
          </w:tcPr>
          <w:p>
            <w:pPr>
              <w:spacing w:after="0"/>
              <w:rPr>
                <w:sz w:val="14"/>
                <w:szCs w:val="14"/>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Segment</w:t>
            </w: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91,914</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31, 2014</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976"/>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January 31, 2014</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1.5-13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1.5-10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7,053</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(4,699)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1.5-13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8,693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1.5-10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28,868</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(14,342)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14,526</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4,881</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(34,324</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October 31, 2013</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24"/>
                <w:szCs w:val="2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1.5-13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1.5-10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6,849</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1.5-13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1.5-10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28,224</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(13,478)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14,746</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Non-amortizable - trade names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4,881</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270"/>
        <w:spacing w:after="0" w:line="264" w:lineRule="auto"/>
        <w:rPr>
          <w:sz w:val="20"/>
          <w:szCs w:val="20"/>
          <w:color w:val="auto"/>
        </w:rPr>
      </w:pPr>
      <w:r>
        <w:rPr>
          <w:rFonts w:ascii="Arial" w:cs="Arial" w:eastAsia="Arial" w:hAnsi="Arial"/>
          <w:sz w:val="18"/>
          <w:szCs w:val="18"/>
          <w:color w:val="auto"/>
        </w:rPr>
        <w:t>Amortization expense for intangible assets during the first quarter of fiscal 2014 was $1.5 million. Estimated amortization expense for the remainder of fiscal 2014 and succeeding fiscal years is as follows: fiscal 2014 (remainder), $4.4 million; fiscal 2015, $5.6 million; fiscal 2016, $5.1 million; fiscal 2017, $4.2 million; fiscal 2018, $2.2 million; fiscal 2019, $1.2 million; and after fiscal 2019, $0.6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ectPr>
          <w:pgSz w:w="11900" w:h="16843" w:orient="portrait"/>
          <w:cols w:equalWidth="0" w:num="1">
            <w:col w:w="11460"/>
          </w:cols>
          <w:pgMar w:left="240" w:top="125" w:right="199" w:bottom="0" w:gutter="0" w:footer="0" w:header="0"/>
        </w:sectPr>
      </w:pPr>
    </w:p>
    <w:bookmarkStart w:id="6" w:name="page7"/>
    <w:bookmarkEnd w:id="6"/>
    <w:p>
      <w:pPr>
        <w:ind w:right="40"/>
        <w:spacing w:after="0" w:line="291"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Additionally, in connection with the joint venture, the company and an affiliate of TCFIF entered into an arrangement to provide inventory financing to dealers of the company’s products in Canada. In fiscal 2012, the company and TCFIF entered into amendments to certain of the agreements pertaining to Red Iron, among other things, to extend the initial term of Red Iron until October 31, 2017, subject to unlimited automatic two-year extensions thereafter. Either the company or TCFIF may elect not to extend the initial term or any subsequent term by giving one-year notice to the other party of its intention not to extend the term.</w:t>
      </w:r>
    </w:p>
    <w:p>
      <w:pPr>
        <w:spacing w:after="0" w:line="167" w:lineRule="exact"/>
        <w:rPr>
          <w:sz w:val="20"/>
          <w:szCs w:val="20"/>
          <w:color w:val="auto"/>
        </w:rPr>
      </w:pPr>
    </w:p>
    <w:p>
      <w:pPr>
        <w:ind w:right="40" w:firstLine="270"/>
        <w:spacing w:after="0" w:line="271"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January 31, 2014 was $16.0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$0.4 million as of January 31, 2014.</w:t>
      </w:r>
    </w:p>
    <w:p>
      <w:pPr>
        <w:spacing w:after="0" w:line="179"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three months ended January 31, 2014 and February 1, 2013 was $247.1 million and $270.9 million, respectively.</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January 31, 2014, Red Iron’s total assets were $315.3 million and total liabilities were $279.8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sells extended warranty coverage on select products for a prescribed period after the factory warranty period expires.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Warranty provisions, claims, and changes in estimates for the first quarter of each of fiscal 2014 and 2013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January 31,</w:t>
            </w:r>
          </w:p>
        </w:tc>
        <w:tc>
          <w:tcPr>
            <w:tcW w:w="28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595"/>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right"/>
              <w:ind w:right="57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72,177</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Warranty provisions</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8,148</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(7,501)</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Changes in estimates</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2,298</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66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Professional</w:t>
            </w:r>
          </w:p>
        </w:tc>
        <w:tc>
          <w:tcPr>
            <w:tcW w:w="220" w:type="dxa"/>
            <w:vAlign w:val="bottom"/>
          </w:tcPr>
          <w:p>
            <w:pPr>
              <w:spacing w:after="0"/>
              <w:rPr>
                <w:sz w:val="14"/>
                <w:szCs w:val="14"/>
                <w:color w:val="auto"/>
              </w:rPr>
            </w:pPr>
          </w:p>
        </w:tc>
        <w:tc>
          <w:tcPr>
            <w:tcW w:w="14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14"/>
                <w:szCs w:val="14"/>
                <w:color w:val="auto"/>
              </w:rPr>
            </w:pPr>
          </w:p>
        </w:tc>
        <w:tc>
          <w:tcPr>
            <w:tcW w:w="13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 2014</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147,570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5,476</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(5,598)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47,463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18,134</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(26,842)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38,755</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604,180</w:t>
            </w:r>
          </w:p>
        </w:tc>
        <w:tc>
          <w:tcPr>
            <w:tcW w:w="2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201,580</w:t>
            </w: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233,835</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1,039,595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February 1, 2013</w:t>
            </w: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22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329,144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120,947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15,455</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(15,539)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60,738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12,154</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(29,494)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43,398</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592,554</w:t>
            </w:r>
          </w:p>
        </w:tc>
        <w:tc>
          <w:tcPr>
            <w:tcW w:w="2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229,252</w:t>
            </w:r>
          </w:p>
        </w:tc>
        <w:tc>
          <w:tcPr>
            <w:tcW w:w="3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162,337</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984,143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7" w:name="page8"/>
    <w:bookmarkEnd w:id="7"/>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January 31,</w:t>
            </w:r>
          </w:p>
        </w:tc>
        <w:tc>
          <w:tcPr>
            <w:tcW w:w="2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57"/>
              <w:spacing w:after="0" w:line="119" w:lineRule="exact"/>
              <w:rPr>
                <w:sz w:val="20"/>
                <w:szCs w:val="20"/>
                <w:color w:val="auto"/>
              </w:rPr>
            </w:pPr>
            <w:r>
              <w:rPr>
                <w:rFonts w:ascii="Arial" w:cs="Arial" w:eastAsia="Arial" w:hAnsi="Arial"/>
                <w:sz w:val="13"/>
                <w:szCs w:val="13"/>
                <w:b w:val="1"/>
                <w:bCs w:val="1"/>
                <w:color w:val="auto"/>
              </w:rPr>
              <w:t>February 1,</w:t>
            </w:r>
          </w:p>
        </w:tc>
        <w:tc>
          <w:tcPr>
            <w:tcW w:w="1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(21,684)</w:t>
            </w: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(3,753)</w:t>
            </w:r>
          </w:p>
        </w:tc>
        <w:tc>
          <w:tcPr>
            <w:tcW w:w="2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(4,249)</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1237"/>
              <w:spacing w:after="0"/>
              <w:rPr>
                <w:sz w:val="20"/>
                <w:szCs w:val="20"/>
                <w:color w:val="auto"/>
              </w:rPr>
            </w:pPr>
            <w:r>
              <w:rPr>
                <w:rFonts w:ascii="Arial" w:cs="Arial" w:eastAsia="Arial" w:hAnsi="Arial"/>
                <w:sz w:val="18"/>
                <w:szCs w:val="18"/>
                <w:color w:val="auto"/>
                <w:w w:val="89"/>
              </w:rPr>
              <w:t>10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 Authorized</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March 12, 2013, following approval by the company’s shareholders at its 2013 annual meeting of shareholders, the company amended its Restated Certificate of Incorporation by filing a Certificate of Amendment to Restated Certificate of Incorporation with the Secretary of State of Delaware to increase the number of authorized shares of common stock from 100,000,000 to 175,000,000.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(“AOCL”), net of tax,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ind w:left="1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4"/>
              </w:rPr>
              <w:t>3,730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Pension and retiree medical benefits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740"/>
              <w:spacing w:after="0"/>
              <w:rPr>
                <w:sz w:val="20"/>
                <w:szCs w:val="20"/>
                <w:color w:val="auto"/>
              </w:rPr>
            </w:pPr>
            <w:r>
              <w:rPr>
                <w:rFonts w:ascii="Arial" w:cs="Arial" w:eastAsia="Arial" w:hAnsi="Arial"/>
                <w:sz w:val="18"/>
                <w:szCs w:val="18"/>
                <w:color w:val="auto"/>
              </w:rPr>
              <w:t>4,320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1,018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Total accumulated other comprehensive loss</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13,488</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4"/>
              </w:rPr>
              <w:t>9,068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accumulated other comprehensive loss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Cash Flow</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Benefits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2,184</w:t>
            </w: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AOCL</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 period other comprehensive loss (income)</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31, 2014</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and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has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foreign currency exchange rate exposures are with the Euro, the Australian dollar, the Canadian dollar, the British pound, the Mexican peso, the Japanese yen, the Chinese Yuan, and the Romanian New Leu against the U.S. dollar, as well as the Romanian New Leu against the Euro.</w:t>
      </w:r>
    </w:p>
    <w:p>
      <w:pPr>
        <w:spacing w:after="0" w:line="18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b w:val="1"/>
          <w:bCs w:val="1"/>
          <w:i w:val="1"/>
          <w:iCs w:val="1"/>
          <w:color w:val="auto"/>
        </w:rPr>
        <w:t>Cash flow hedges</w:t>
      </w:r>
      <w:r>
        <w:rPr>
          <w:rFonts w:ascii="Arial" w:cs="Arial" w:eastAsia="Arial" w:hAnsi="Arial"/>
          <w:sz w:val="17"/>
          <w:szCs w:val="17"/>
          <w:color w:val="auto"/>
        </w:rPr>
        <w:t>. The company recognizes all derivative instruments as either assets or liabilities at fair value on the consolidated balance sheet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w:t>
      </w:r>
    </w:p>
    <w:p>
      <w:pPr>
        <w:sectPr>
          <w:pgSz w:w="11900" w:h="16840" w:orient="portrait"/>
          <w:cols w:equalWidth="0" w:num="1">
            <w:col w:w="11460"/>
          </w:cols>
          <w:pgMar w:left="240" w:top="125" w:right="199" w:bottom="0" w:gutter="0" w:footer="0" w:header="0"/>
        </w:sectPr>
      </w:pPr>
    </w:p>
    <w:bookmarkStart w:id="8" w:name="page9"/>
    <w:bookmarkEnd w:id="8"/>
    <w:p>
      <w:pPr>
        <w:ind w:right="180"/>
        <w:spacing w:after="0" w:line="277" w:lineRule="auto"/>
        <w:rPr>
          <w:sz w:val="20"/>
          <w:szCs w:val="20"/>
          <w:color w:val="auto"/>
        </w:rPr>
      </w:pPr>
      <w:r>
        <w:rPr>
          <w:rFonts w:ascii="Arial" w:cs="Arial" w:eastAsia="Arial" w:hAnsi="Arial"/>
          <w:sz w:val="18"/>
          <w:szCs w:val="18"/>
          <w:color w:val="auto"/>
        </w:rPr>
        <w:t>sales and purchases is two years. Results of hedges of intercompany loans are recorded in other income, net as an offset to the remeasurement of the foreign loan balance.</w:t>
      </w:r>
    </w:p>
    <w:p>
      <w:pPr>
        <w:spacing w:after="0" w:line="170" w:lineRule="exact"/>
        <w:rPr>
          <w:sz w:val="20"/>
          <w:szCs w:val="20"/>
          <w:color w:val="auto"/>
        </w:rPr>
      </w:pPr>
    </w:p>
    <w:p>
      <w:pPr>
        <w:ind w:firstLine="270"/>
        <w:spacing w:after="0" w:line="268" w:lineRule="auto"/>
        <w:rPr>
          <w:sz w:val="20"/>
          <w:szCs w:val="20"/>
          <w:color w:val="auto"/>
        </w:rPr>
      </w:pPr>
      <w:r>
        <w:rPr>
          <w:rFonts w:ascii="Arial" w:cs="Arial" w:eastAsia="Arial" w:hAnsi="Arial"/>
          <w:sz w:val="17"/>
          <w:szCs w:val="17"/>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 recognizing future changes in the fair value in other income, net. For the first quarter of fiscal 2014, there were no gains or losses on contracts reclassified into earnings as a result of the discontinuance of cash flow hedges. As of January 31, 2014, the notional amount outstanding of forward contracts designated as cash flow hedges was $99.9 million. Additionally, the company has one cross currency interest rate swap instrument outstanding as of January 31, 2014 for a fixed pay notional of 36.6 million Romanian New Leu and receive floating notional of 8.5 million Euro.</w:t>
      </w:r>
    </w:p>
    <w:p>
      <w:pPr>
        <w:spacing w:after="0" w:line="18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Asset Derivatives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Borders>
              <w:bottom w:val="single" w:sz="8" w:color="auto"/>
            </w:tcBorders>
            <w:gridSpan w:val="3"/>
          </w:tcPr>
          <w:p>
            <w:pPr>
              <w:ind w:left="560"/>
              <w:spacing w:after="0" w:line="129" w:lineRule="exact"/>
              <w:rPr>
                <w:sz w:val="20"/>
                <w:szCs w:val="20"/>
                <w:color w:val="auto"/>
              </w:rPr>
            </w:pPr>
            <w:r>
              <w:rPr>
                <w:rFonts w:ascii="Arial" w:cs="Arial" w:eastAsia="Arial" w:hAnsi="Arial"/>
                <w:sz w:val="13"/>
                <w:szCs w:val="13"/>
                <w:b w:val="1"/>
                <w:bCs w:val="1"/>
                <w:color w:val="auto"/>
                <w:w w:val="90"/>
              </w:rPr>
              <w:t>January 31, 2014</w:t>
            </w: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February 1, 2013</w:t>
            </w: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Borders>
              <w:bottom w:val="single" w:sz="8" w:color="auto"/>
            </w:tcBorders>
            <w:gridSpan w:val="3"/>
          </w:tcPr>
          <w:p>
            <w:pPr>
              <w:ind w:left="580"/>
              <w:spacing w:after="0" w:line="129" w:lineRule="exact"/>
              <w:rPr>
                <w:sz w:val="20"/>
                <w:szCs w:val="20"/>
                <w:color w:val="auto"/>
              </w:rPr>
            </w:pPr>
            <w:r>
              <w:rPr>
                <w:rFonts w:ascii="Arial" w:cs="Arial" w:eastAsia="Arial" w:hAnsi="Arial"/>
                <w:sz w:val="13"/>
                <w:szCs w:val="13"/>
                <w:b w:val="1"/>
                <w:bCs w:val="1"/>
                <w:color w:val="auto"/>
                <w:w w:val="90"/>
              </w:rPr>
              <w:t>January 31, 2014</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February 1, 2013</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1"/>
              </w:rPr>
              <w:t>Balance</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Balance</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Balance</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1"/>
              </w:rPr>
              <w:t>Balance</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Sheet</w:t>
            </w:r>
          </w:p>
        </w:tc>
        <w:tc>
          <w:tcPr>
            <w:tcW w:w="160" w:type="dxa"/>
            <w:vAlign w:val="bottom"/>
          </w:tcPr>
          <w:p>
            <w:pPr>
              <w:spacing w:after="0"/>
              <w:rPr>
                <w:sz w:val="11"/>
                <w:szCs w:val="11"/>
                <w:color w:val="auto"/>
              </w:rPr>
            </w:pPr>
          </w:p>
        </w:tc>
        <w:tc>
          <w:tcPr>
            <w:tcW w:w="6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3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78"/>
              </w:rPr>
              <w:t>Sheet</w:t>
            </w:r>
          </w:p>
        </w:tc>
        <w:tc>
          <w:tcPr>
            <w:tcW w:w="160" w:type="dxa"/>
            <w:vAlign w:val="bottom"/>
          </w:tcPr>
          <w:p>
            <w:pPr>
              <w:spacing w:after="0"/>
              <w:rPr>
                <w:sz w:val="11"/>
                <w:szCs w:val="11"/>
                <w:color w:val="auto"/>
              </w:rPr>
            </w:pPr>
          </w:p>
        </w:tc>
        <w:tc>
          <w:tcPr>
            <w:tcW w:w="7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Fair</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8"/>
              </w:rPr>
              <w:t>Sheet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Sheet</w:t>
            </w:r>
          </w:p>
        </w:tc>
        <w:tc>
          <w:tcPr>
            <w:tcW w:w="140" w:type="dxa"/>
            <w:vAlign w:val="bottom"/>
          </w:tcPr>
          <w:p>
            <w:pPr>
              <w:spacing w:after="0"/>
              <w:rPr>
                <w:sz w:val="11"/>
                <w:szCs w:val="11"/>
                <w:color w:val="auto"/>
              </w:rPr>
            </w:pPr>
          </w:p>
        </w:tc>
        <w:tc>
          <w:tcPr>
            <w:tcW w:w="6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2420" w:type="dxa"/>
            <w:vAlign w:val="bottom"/>
            <w:gridSpan w:val="3"/>
          </w:tcPr>
          <w:p>
            <w:pPr>
              <w:spacing w:after="0"/>
              <w:rPr>
                <w:sz w:val="20"/>
                <w:szCs w:val="20"/>
                <w:color w:val="auto"/>
              </w:rPr>
            </w:pPr>
            <w:r>
              <w:rPr>
                <w:rFonts w:ascii="Arial" w:cs="Arial" w:eastAsia="Arial" w:hAnsi="Arial"/>
                <w:sz w:val="13"/>
                <w:szCs w:val="13"/>
                <w:b w:val="1"/>
                <w:bCs w:val="1"/>
                <w:color w:val="auto"/>
              </w:rPr>
              <w:t>(Dollars in thousands)</w:t>
            </w: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Location</w:t>
            </w:r>
          </w:p>
        </w:tc>
        <w:tc>
          <w:tcPr>
            <w:tcW w:w="160" w:type="dxa"/>
            <w:vAlign w:val="bottom"/>
          </w:tcPr>
          <w:p>
            <w:pPr>
              <w:spacing w:after="0"/>
              <w:rPr>
                <w:sz w:val="13"/>
                <w:szCs w:val="13"/>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Location</w:t>
            </w:r>
          </w:p>
        </w:tc>
        <w:tc>
          <w:tcPr>
            <w:tcW w:w="160" w:type="dxa"/>
            <w:vAlign w:val="bottom"/>
          </w:tcPr>
          <w:p>
            <w:pPr>
              <w:spacing w:after="0"/>
              <w:rPr>
                <w:sz w:val="13"/>
                <w:szCs w:val="13"/>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Value</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Location</w:t>
            </w:r>
          </w:p>
        </w:tc>
        <w:tc>
          <w:tcPr>
            <w:tcW w:w="14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40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Derivatives Designated as Hedging</w:t>
            </w:r>
          </w:p>
        </w:tc>
        <w:tc>
          <w:tcPr>
            <w:tcW w:w="1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Instruments</w:t>
            </w: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Forward currency contracts</w:t>
            </w:r>
          </w:p>
        </w:tc>
        <w:tc>
          <w:tcPr>
            <w:tcW w:w="1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Prepaid expenses</w:t>
            </w: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1,527</w:t>
            </w:r>
          </w:p>
        </w:tc>
        <w:tc>
          <w:tcPr>
            <w:tcW w:w="14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Prepaid expenses</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1,119</w:t>
            </w:r>
          </w:p>
        </w:tc>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3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147</w:t>
            </w:r>
          </w:p>
        </w:tc>
        <w:tc>
          <w:tcPr>
            <w:tcW w:w="148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liabilities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2,508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Cross currency contract</w:t>
            </w:r>
          </w:p>
        </w:tc>
        <w:tc>
          <w:tcPr>
            <w:tcW w:w="1360" w:type="dxa"/>
            <w:vAlign w:val="bottom"/>
            <w:gridSpan w:val="2"/>
          </w:tcPr>
          <w:p>
            <w:pPr>
              <w:spacing w:after="0" w:line="135" w:lineRule="exact"/>
              <w:rPr>
                <w:sz w:val="20"/>
                <w:szCs w:val="20"/>
                <w:color w:val="auto"/>
              </w:rPr>
            </w:pPr>
            <w:r>
              <w:rPr>
                <w:rFonts w:ascii="Arial" w:cs="Arial" w:eastAsia="Arial" w:hAnsi="Arial"/>
                <w:sz w:val="13"/>
                <w:szCs w:val="13"/>
                <w:color w:val="auto"/>
              </w:rPr>
              <w:t>Prepaid expenses</w:t>
            </w:r>
          </w:p>
        </w:tc>
        <w:tc>
          <w:tcPr>
            <w:tcW w:w="16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Prepaid expenses</w:t>
            </w:r>
          </w:p>
        </w:tc>
        <w:tc>
          <w:tcPr>
            <w:tcW w:w="1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w:t>
            </w:r>
          </w:p>
        </w:tc>
        <w:tc>
          <w:tcPr>
            <w:tcW w:w="1160" w:type="dxa"/>
            <w:vAlign w:val="bottom"/>
          </w:tcPr>
          <w:p>
            <w:pPr>
              <w:spacing w:after="0" w:line="135" w:lineRule="exact"/>
              <w:rPr>
                <w:sz w:val="20"/>
                <w:szCs w:val="20"/>
                <w:color w:val="auto"/>
              </w:rPr>
            </w:pPr>
            <w:r>
              <w:rPr>
                <w:rFonts w:ascii="Arial" w:cs="Arial" w:eastAsia="Arial" w:hAnsi="Arial"/>
                <w:sz w:val="13"/>
                <w:szCs w:val="13"/>
                <w:color w:val="auto"/>
              </w:rPr>
              <w:t>Accrued liabilities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274</w:t>
            </w:r>
          </w:p>
        </w:tc>
        <w:tc>
          <w:tcPr>
            <w:tcW w:w="148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Accrued liabilities</w:t>
            </w: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40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8"/>
              </w:rPr>
              <w:t>Derivatives Not Designated as Hedging</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gridSpan w:val="2"/>
          </w:tcPr>
          <w:p>
            <w:pPr>
              <w:ind w:left="160"/>
              <w:spacing w:after="0"/>
              <w:rPr>
                <w:sz w:val="20"/>
                <w:szCs w:val="20"/>
                <w:color w:val="auto"/>
              </w:rPr>
            </w:pPr>
            <w:r>
              <w:rPr>
                <w:rFonts w:ascii="Arial" w:cs="Arial" w:eastAsia="Arial" w:hAnsi="Arial"/>
                <w:sz w:val="13"/>
                <w:szCs w:val="13"/>
                <w:b w:val="1"/>
                <w:bCs w:val="1"/>
                <w:color w:val="auto"/>
              </w:rPr>
              <w:t>Instruments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Arial" w:cs="Arial" w:eastAsia="Arial" w:hAnsi="Arial"/>
                <w:sz w:val="13"/>
                <w:szCs w:val="13"/>
                <w:color w:val="auto"/>
              </w:rPr>
              <w:t>Forward currency contracts</w:t>
            </w:r>
          </w:p>
        </w:tc>
        <w:tc>
          <w:tcPr>
            <w:tcW w:w="1360" w:type="dxa"/>
            <w:vAlign w:val="bottom"/>
            <w:gridSpan w:val="2"/>
          </w:tcPr>
          <w:p>
            <w:pPr>
              <w:spacing w:after="0" w:line="135" w:lineRule="exact"/>
              <w:rPr>
                <w:sz w:val="20"/>
                <w:szCs w:val="20"/>
                <w:color w:val="auto"/>
              </w:rPr>
            </w:pPr>
            <w:r>
              <w:rPr>
                <w:rFonts w:ascii="Arial" w:cs="Arial" w:eastAsia="Arial" w:hAnsi="Arial"/>
                <w:sz w:val="13"/>
                <w:szCs w:val="13"/>
                <w:color w:val="auto"/>
              </w:rPr>
              <w:t>Prepaid expenses</w:t>
            </w:r>
          </w:p>
        </w:tc>
        <w:tc>
          <w:tcPr>
            <w:tcW w:w="16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1,250</w:t>
            </w:r>
          </w:p>
        </w:tc>
        <w:tc>
          <w:tcPr>
            <w:tcW w:w="14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Prepaid expenses</w:t>
            </w:r>
          </w:p>
        </w:tc>
        <w:tc>
          <w:tcPr>
            <w:tcW w:w="1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99</w:t>
            </w:r>
          </w:p>
        </w:tc>
        <w:tc>
          <w:tcPr>
            <w:tcW w:w="1160" w:type="dxa"/>
            <w:vAlign w:val="bottom"/>
          </w:tcPr>
          <w:p>
            <w:pPr>
              <w:spacing w:after="0" w:line="135" w:lineRule="exact"/>
              <w:rPr>
                <w:sz w:val="20"/>
                <w:szCs w:val="20"/>
                <w:color w:val="auto"/>
              </w:rPr>
            </w:pPr>
            <w:r>
              <w:rPr>
                <w:rFonts w:ascii="Arial" w:cs="Arial" w:eastAsia="Arial" w:hAnsi="Arial"/>
                <w:sz w:val="13"/>
                <w:szCs w:val="13"/>
                <w:color w:val="auto"/>
              </w:rPr>
              <w:t>Accrued liabilities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Accrued liabilities</w:t>
            </w: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w:t>
            </w:r>
          </w:p>
        </w:tc>
        <w:tc>
          <w:tcPr>
            <w:tcW w:w="1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Prepaid expenses</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8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Prepaid expenses</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171</w:t>
            </w:r>
          </w:p>
        </w:tc>
        <w:tc>
          <w:tcPr>
            <w:tcW w:w="148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liabilities</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Derivatives</w:t>
            </w: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2,777</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1,255</w:t>
            </w:r>
          </w:p>
        </w:tc>
        <w:tc>
          <w:tcPr>
            <w:tcW w:w="1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three months ended January 31, 2014 and February 1, 2013,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Location of Gain (Loss)</w:t>
            </w:r>
          </w:p>
        </w:tc>
        <w:tc>
          <w:tcPr>
            <w:tcW w:w="100" w:type="dxa"/>
            <w:vAlign w:val="bottom"/>
          </w:tcPr>
          <w:p>
            <w:pPr>
              <w:spacing w:after="0"/>
              <w:rPr>
                <w:sz w:val="12"/>
                <w:szCs w:val="12"/>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6"/>
              </w:rPr>
              <w:t>Gain (Loss)</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Location of Gain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100" w:type="dxa"/>
            <w:vAlign w:val="bottom"/>
          </w:tcPr>
          <w:p>
            <w:pPr>
              <w:spacing w:after="0"/>
              <w:rPr>
                <w:sz w:val="11"/>
                <w:szCs w:val="11"/>
                <w:color w:val="auto"/>
              </w:rPr>
            </w:pPr>
          </w:p>
        </w:tc>
        <w:tc>
          <w:tcPr>
            <w:tcW w:w="190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tcPr>
          <w:p>
            <w:pPr>
              <w:jc w:val="center"/>
              <w:ind w:left="118"/>
              <w:spacing w:after="0" w:line="135" w:lineRule="exact"/>
              <w:rPr>
                <w:sz w:val="20"/>
                <w:szCs w:val="20"/>
                <w:color w:val="auto"/>
              </w:rPr>
            </w:pPr>
            <w:r>
              <w:rPr>
                <w:rFonts w:ascii="Arial" w:cs="Arial" w:eastAsia="Arial" w:hAnsi="Arial"/>
                <w:sz w:val="13"/>
                <w:szCs w:val="13"/>
                <w:b w:val="1"/>
                <w:bCs w:val="1"/>
                <w:color w:val="auto"/>
                <w:w w:val="89"/>
              </w:rPr>
              <w:t>Gain (Loss)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100" w:type="dxa"/>
            <w:vAlign w:val="bottom"/>
          </w:tcPr>
          <w:p>
            <w:pPr>
              <w:spacing w:after="0"/>
              <w:rPr>
                <w:sz w:val="11"/>
                <w:szCs w:val="11"/>
                <w:color w:val="auto"/>
              </w:rPr>
            </w:pPr>
          </w:p>
        </w:tc>
        <w:tc>
          <w:tcPr>
            <w:tcW w:w="1420" w:type="dxa"/>
            <w:vAlign w:val="bottom"/>
            <w:gridSpan w:val="4"/>
          </w:tcPr>
          <w:p>
            <w:pPr>
              <w:jc w:val="center"/>
              <w:ind w:left="218"/>
              <w:spacing w:after="0" w:line="135" w:lineRule="exact"/>
              <w:rPr>
                <w:sz w:val="20"/>
                <w:szCs w:val="20"/>
                <w:color w:val="auto"/>
              </w:rPr>
            </w:pPr>
            <w:r>
              <w:rPr>
                <w:rFonts w:ascii="Arial" w:cs="Arial" w:eastAsia="Arial" w:hAnsi="Arial"/>
                <w:sz w:val="13"/>
                <w:szCs w:val="13"/>
                <w:b w:val="1"/>
                <w:bCs w:val="1"/>
                <w:color w:val="auto"/>
                <w:w w:val="86"/>
              </w:rPr>
              <w:t>Gain (Loss)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100" w:type="dxa"/>
            <w:vAlign w:val="bottom"/>
          </w:tcPr>
          <w:p>
            <w:pPr>
              <w:spacing w:after="0"/>
              <w:rPr>
                <w:sz w:val="11"/>
                <w:szCs w:val="11"/>
                <w:color w:val="auto"/>
              </w:rPr>
            </w:pPr>
          </w:p>
        </w:tc>
        <w:tc>
          <w:tcPr>
            <w:tcW w:w="190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tcPr>
          <w:p>
            <w:pPr>
              <w:jc w:val="center"/>
              <w:ind w:left="118"/>
              <w:spacing w:after="0" w:line="135" w:lineRule="exact"/>
              <w:rPr>
                <w:sz w:val="20"/>
                <w:szCs w:val="20"/>
                <w:color w:val="auto"/>
              </w:rPr>
            </w:pPr>
            <w:r>
              <w:rPr>
                <w:rFonts w:ascii="Arial" w:cs="Arial" w:eastAsia="Arial" w:hAnsi="Arial"/>
                <w:sz w:val="13"/>
                <w:szCs w:val="13"/>
                <w:b w:val="1"/>
                <w:bCs w:val="1"/>
                <w:color w:val="auto"/>
                <w:w w:val="89"/>
              </w:rPr>
              <w:t>Recognized in OCI 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from AOCL</w:t>
            </w:r>
          </w:p>
        </w:tc>
        <w:tc>
          <w:tcPr>
            <w:tcW w:w="100" w:type="dxa"/>
            <w:vAlign w:val="bottom"/>
          </w:tcPr>
          <w:p>
            <w:pPr>
              <w:spacing w:after="0"/>
              <w:rPr>
                <w:sz w:val="11"/>
                <w:szCs w:val="11"/>
                <w:color w:val="auto"/>
              </w:rPr>
            </w:pPr>
          </w:p>
        </w:tc>
        <w:tc>
          <w:tcPr>
            <w:tcW w:w="1420" w:type="dxa"/>
            <w:vAlign w:val="bottom"/>
            <w:gridSpan w:val="4"/>
          </w:tcPr>
          <w:p>
            <w:pPr>
              <w:jc w:val="center"/>
              <w:ind w:left="218"/>
              <w:spacing w:after="0" w:line="135" w:lineRule="exact"/>
              <w:rPr>
                <w:sz w:val="20"/>
                <w:szCs w:val="20"/>
                <w:color w:val="auto"/>
              </w:rPr>
            </w:pPr>
            <w:r>
              <w:rPr>
                <w:rFonts w:ascii="Arial" w:cs="Arial" w:eastAsia="Arial" w:hAnsi="Arial"/>
                <w:sz w:val="13"/>
                <w:szCs w:val="13"/>
                <w:b w:val="1"/>
                <w:bCs w:val="1"/>
                <w:color w:val="auto"/>
                <w:w w:val="86"/>
              </w:rPr>
              <w:t>Reclassified from</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(Ineffective Portion</w:t>
            </w:r>
          </w:p>
        </w:tc>
        <w:tc>
          <w:tcPr>
            <w:tcW w:w="100" w:type="dxa"/>
            <w:vAlign w:val="bottom"/>
          </w:tcPr>
          <w:p>
            <w:pPr>
              <w:spacing w:after="0"/>
              <w:rPr>
                <w:sz w:val="11"/>
                <w:szCs w:val="11"/>
                <w:color w:val="auto"/>
              </w:rPr>
            </w:pPr>
          </w:p>
        </w:tc>
        <w:tc>
          <w:tcPr>
            <w:tcW w:w="190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tcPr>
          <w:p>
            <w:pPr>
              <w:jc w:val="center"/>
              <w:ind w:left="118"/>
              <w:spacing w:after="0" w:line="135" w:lineRule="exact"/>
              <w:rPr>
                <w:sz w:val="20"/>
                <w:szCs w:val="20"/>
                <w:color w:val="auto"/>
              </w:rPr>
            </w:pPr>
            <w:r>
              <w:rPr>
                <w:rFonts w:ascii="Arial" w:cs="Arial" w:eastAsia="Arial" w:hAnsi="Arial"/>
                <w:sz w:val="13"/>
                <w:szCs w:val="13"/>
                <w:b w:val="1"/>
                <w:bCs w:val="1"/>
                <w:color w:val="auto"/>
                <w:w w:val="86"/>
              </w:rPr>
              <w:t>Derivatives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into Income</w:t>
            </w:r>
          </w:p>
        </w:tc>
        <w:tc>
          <w:tcPr>
            <w:tcW w:w="100" w:type="dxa"/>
            <w:vAlign w:val="bottom"/>
          </w:tcPr>
          <w:p>
            <w:pPr>
              <w:spacing w:after="0"/>
              <w:rPr>
                <w:sz w:val="11"/>
                <w:szCs w:val="11"/>
                <w:color w:val="auto"/>
              </w:rPr>
            </w:pPr>
          </w:p>
        </w:tc>
        <w:tc>
          <w:tcPr>
            <w:tcW w:w="1420" w:type="dxa"/>
            <w:vAlign w:val="bottom"/>
            <w:gridSpan w:val="4"/>
          </w:tcPr>
          <w:p>
            <w:pPr>
              <w:jc w:val="center"/>
              <w:ind w:left="218"/>
              <w:spacing w:after="0" w:line="135" w:lineRule="exact"/>
              <w:rPr>
                <w:sz w:val="20"/>
                <w:szCs w:val="20"/>
                <w:color w:val="auto"/>
              </w:rPr>
            </w:pPr>
            <w:r>
              <w:rPr>
                <w:rFonts w:ascii="Arial" w:cs="Arial" w:eastAsia="Arial" w:hAnsi="Arial"/>
                <w:sz w:val="13"/>
                <w:szCs w:val="13"/>
                <w:b w:val="1"/>
                <w:bCs w:val="1"/>
                <w:color w:val="auto"/>
                <w:w w:val="89"/>
              </w:rPr>
              <w:t>AOCL into Income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and excluded from</w:t>
            </w:r>
          </w:p>
        </w:tc>
        <w:tc>
          <w:tcPr>
            <w:tcW w:w="100" w:type="dxa"/>
            <w:vAlign w:val="bottom"/>
          </w:tcPr>
          <w:p>
            <w:pPr>
              <w:spacing w:after="0"/>
              <w:rPr>
                <w:sz w:val="11"/>
                <w:szCs w:val="11"/>
                <w:color w:val="auto"/>
              </w:rPr>
            </w:pPr>
          </w:p>
        </w:tc>
        <w:tc>
          <w:tcPr>
            <w:tcW w:w="190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53"/>
        </w:trPr>
        <w:tc>
          <w:tcPr>
            <w:tcW w:w="1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Pr>
          <w:p>
            <w:pPr>
              <w:spacing w:after="0"/>
              <w:rPr>
                <w:sz w:val="13"/>
                <w:szCs w:val="13"/>
                <w:color w:val="auto"/>
              </w:rPr>
            </w:pPr>
          </w:p>
        </w:tc>
        <w:tc>
          <w:tcPr>
            <w:tcW w:w="1620" w:type="dxa"/>
            <w:vAlign w:val="bottom"/>
            <w:gridSpan w:val="3"/>
          </w:tcPr>
          <w:p>
            <w:pPr>
              <w:jc w:val="center"/>
              <w:ind w:left="118"/>
              <w:spacing w:after="0"/>
              <w:rPr>
                <w:sz w:val="20"/>
                <w:szCs w:val="20"/>
                <w:color w:val="auto"/>
              </w:rPr>
            </w:pPr>
            <w:r>
              <w:rPr>
                <w:rFonts w:ascii="Arial" w:cs="Arial" w:eastAsia="Arial" w:hAnsi="Arial"/>
                <w:sz w:val="13"/>
                <w:szCs w:val="13"/>
                <w:b w:val="1"/>
                <w:bCs w:val="1"/>
                <w:color w:val="auto"/>
                <w:w w:val="89"/>
              </w:rPr>
              <w:t>(Effective Portion)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(Effective Portion)</w:t>
            </w:r>
          </w:p>
        </w:tc>
        <w:tc>
          <w:tcPr>
            <w:tcW w:w="100" w:type="dxa"/>
            <w:vAlign w:val="bottom"/>
          </w:tcPr>
          <w:p>
            <w:pPr>
              <w:spacing w:after="0"/>
              <w:rPr>
                <w:sz w:val="13"/>
                <w:szCs w:val="13"/>
                <w:color w:val="auto"/>
              </w:rPr>
            </w:pPr>
          </w:p>
        </w:tc>
        <w:tc>
          <w:tcPr>
            <w:tcW w:w="1420" w:type="dxa"/>
            <w:vAlign w:val="bottom"/>
            <w:gridSpan w:val="4"/>
          </w:tcPr>
          <w:p>
            <w:pPr>
              <w:jc w:val="center"/>
              <w:ind w:left="238"/>
              <w:spacing w:after="0"/>
              <w:rPr>
                <w:sz w:val="20"/>
                <w:szCs w:val="20"/>
                <w:color w:val="auto"/>
              </w:rPr>
            </w:pPr>
            <w:r>
              <w:rPr>
                <w:rFonts w:ascii="Arial" w:cs="Arial" w:eastAsia="Arial" w:hAnsi="Arial"/>
                <w:sz w:val="13"/>
                <w:szCs w:val="13"/>
                <w:b w:val="1"/>
                <w:bCs w:val="1"/>
                <w:color w:val="auto"/>
                <w:w w:val="89"/>
              </w:rPr>
              <w:t>(Effective Portion)</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Effectiveness Testing)</w:t>
            </w:r>
          </w:p>
        </w:tc>
        <w:tc>
          <w:tcPr>
            <w:tcW w:w="100" w:type="dxa"/>
            <w:vAlign w:val="bottom"/>
          </w:tcPr>
          <w:p>
            <w:pPr>
              <w:spacing w:after="0"/>
              <w:rPr>
                <w:sz w:val="13"/>
                <w:szCs w:val="13"/>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4"/>
              </w:rPr>
              <w:t>Effectiveness Testing)</w:t>
            </w:r>
          </w:p>
        </w:tc>
        <w:tc>
          <w:tcPr>
            <w:tcW w:w="0" w:type="dxa"/>
            <w:vAlign w:val="bottom"/>
          </w:tcPr>
          <w:p>
            <w:pPr>
              <w:spacing w:after="0"/>
              <w:rPr>
                <w:sz w:val="1"/>
                <w:szCs w:val="1"/>
                <w:color w:val="auto"/>
              </w:rPr>
            </w:pPr>
          </w:p>
        </w:tc>
      </w:tr>
      <w:tr>
        <w:trPr>
          <w:trHeight w:val="110"/>
        </w:trPr>
        <w:tc>
          <w:tcPr>
            <w:tcW w:w="1960" w:type="dxa"/>
            <w:vAlign w:val="bottom"/>
            <w:gridSpan w:val="2"/>
            <w:vMerge w:val="continue"/>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right"/>
              <w:ind w:right="300"/>
              <w:spacing w:after="0" w:line="110" w:lineRule="exact"/>
              <w:rPr>
                <w:sz w:val="20"/>
                <w:szCs w:val="20"/>
                <w:color w:val="auto"/>
              </w:rPr>
            </w:pPr>
            <w:r>
              <w:rPr>
                <w:rFonts w:ascii="Arial" w:cs="Arial" w:eastAsia="Arial" w:hAnsi="Arial"/>
                <w:sz w:val="12"/>
                <w:szCs w:val="12"/>
                <w:b w:val="1"/>
                <w:bCs w:val="1"/>
                <w:color w:val="auto"/>
                <w:w w:val="99"/>
              </w:rPr>
              <w:t>January 31,</w:t>
            </w:r>
          </w:p>
        </w:tc>
        <w:tc>
          <w:tcPr>
            <w:tcW w:w="920" w:type="dxa"/>
            <w:vAlign w:val="bottom"/>
            <w:tcBorders>
              <w:top w:val="single" w:sz="8" w:color="auto"/>
            </w:tcBorders>
            <w:gridSpan w:val="2"/>
          </w:tcPr>
          <w:p>
            <w:pPr>
              <w:jc w:val="right"/>
              <w:ind w:right="77"/>
              <w:spacing w:after="0" w:line="110" w:lineRule="exact"/>
              <w:rPr>
                <w:sz w:val="20"/>
                <w:szCs w:val="20"/>
                <w:color w:val="auto"/>
              </w:rPr>
            </w:pPr>
            <w:r>
              <w:rPr>
                <w:rFonts w:ascii="Arial" w:cs="Arial" w:eastAsia="Arial" w:hAnsi="Arial"/>
                <w:sz w:val="12"/>
                <w:szCs w:val="12"/>
                <w:b w:val="1"/>
                <w:bCs w:val="1"/>
                <w:color w:val="auto"/>
              </w:rPr>
              <w:t>February 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2"/>
          </w:tcPr>
          <w:p>
            <w:pPr>
              <w:ind w:left="40"/>
              <w:spacing w:after="0" w:line="110" w:lineRule="exact"/>
              <w:rPr>
                <w:sz w:val="20"/>
                <w:szCs w:val="20"/>
                <w:color w:val="auto"/>
              </w:rPr>
            </w:pPr>
            <w:r>
              <w:rPr>
                <w:rFonts w:ascii="Arial" w:cs="Arial" w:eastAsia="Arial" w:hAnsi="Arial"/>
                <w:sz w:val="12"/>
                <w:szCs w:val="12"/>
                <w:b w:val="1"/>
                <w:bCs w:val="1"/>
                <w:color w:val="auto"/>
              </w:rPr>
              <w:t>January 31,</w:t>
            </w:r>
          </w:p>
        </w:tc>
        <w:tc>
          <w:tcPr>
            <w:tcW w:w="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ind w:right="17"/>
              <w:spacing w:after="0" w:line="110" w:lineRule="exact"/>
              <w:rPr>
                <w:sz w:val="20"/>
                <w:szCs w:val="20"/>
                <w:color w:val="auto"/>
              </w:rPr>
            </w:pPr>
            <w:r>
              <w:rPr>
                <w:rFonts w:ascii="Arial" w:cs="Arial" w:eastAsia="Arial" w:hAnsi="Arial"/>
                <w:sz w:val="12"/>
                <w:szCs w:val="12"/>
                <w:b w:val="1"/>
                <w:bCs w:val="1"/>
                <w:color w:val="auto"/>
              </w:rPr>
              <w:t>February 1,</w:t>
            </w:r>
          </w:p>
        </w:tc>
        <w:tc>
          <w:tcPr>
            <w:tcW w:w="180" w:type="dxa"/>
            <w:vAlign w:val="bottom"/>
          </w:tcPr>
          <w:p>
            <w:pPr>
              <w:spacing w:after="0"/>
              <w:rPr>
                <w:sz w:val="9"/>
                <w:szCs w:val="9"/>
                <w:color w:val="auto"/>
              </w:rPr>
            </w:pPr>
          </w:p>
        </w:tc>
        <w:tc>
          <w:tcPr>
            <w:tcW w:w="1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6"/>
              </w:rPr>
              <w:t>January 31,</w:t>
            </w: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19"/>
              <w:spacing w:after="0" w:line="110" w:lineRule="exact"/>
              <w:rPr>
                <w:sz w:val="20"/>
                <w:szCs w:val="20"/>
                <w:color w:val="auto"/>
              </w:rPr>
            </w:pPr>
            <w:r>
              <w:rPr>
                <w:rFonts w:ascii="Arial" w:cs="Arial" w:eastAsia="Arial" w:hAnsi="Arial"/>
                <w:sz w:val="12"/>
                <w:szCs w:val="12"/>
                <w:b w:val="1"/>
                <w:bCs w:val="1"/>
                <w:color w:val="auto"/>
                <w:w w:val="98"/>
              </w:rPr>
              <w:t>February 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w:t>
            </w:r>
          </w:p>
        </w:tc>
        <w:tc>
          <w:tcPr>
            <w:tcW w:w="100" w:type="dxa"/>
            <w:vAlign w:val="bottom"/>
          </w:tcPr>
          <w:p>
            <w:pPr>
              <w:spacing w:after="0"/>
              <w:rPr>
                <w:sz w:val="13"/>
                <w:szCs w:val="13"/>
                <w:color w:val="auto"/>
              </w:rPr>
            </w:pPr>
          </w:p>
        </w:tc>
        <w:tc>
          <w:tcPr>
            <w:tcW w:w="820" w:type="dxa"/>
            <w:vAlign w:val="bottom"/>
          </w:tcPr>
          <w:p>
            <w:pPr>
              <w:jc w:val="right"/>
              <w:ind w:right="278"/>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2013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78"/>
              <w:spacing w:after="0"/>
              <w:rPr>
                <w:sz w:val="20"/>
                <w:szCs w:val="20"/>
                <w:color w:val="auto"/>
              </w:rPr>
            </w:pPr>
            <w:r>
              <w:rPr>
                <w:rFonts w:ascii="Arial" w:cs="Arial" w:eastAsia="Arial" w:hAnsi="Arial"/>
                <w:sz w:val="13"/>
                <w:szCs w:val="13"/>
                <w:b w:val="1"/>
                <w:bCs w:val="1"/>
                <w:color w:val="auto"/>
              </w:rPr>
              <w:t>2014</w:t>
            </w:r>
          </w:p>
        </w:tc>
        <w:tc>
          <w:tcPr>
            <w:tcW w:w="180" w:type="dxa"/>
            <w:vAlign w:val="bottom"/>
          </w:tcPr>
          <w:p>
            <w:pPr>
              <w:spacing w:after="0"/>
              <w:rPr>
                <w:sz w:val="13"/>
                <w:szCs w:val="13"/>
                <w:color w:val="auto"/>
              </w:rPr>
            </w:pPr>
          </w:p>
        </w:tc>
        <w:tc>
          <w:tcPr>
            <w:tcW w:w="800" w:type="dxa"/>
            <w:vAlign w:val="bottom"/>
            <w:gridSpan w:val="3"/>
          </w:tcPr>
          <w:p>
            <w:pPr>
              <w:jc w:val="right"/>
              <w:ind w:right="217"/>
              <w:spacing w:after="0"/>
              <w:rPr>
                <w:sz w:val="20"/>
                <w:szCs w:val="20"/>
                <w:color w:val="auto"/>
              </w:rPr>
            </w:pPr>
            <w:r>
              <w:rPr>
                <w:rFonts w:ascii="Arial" w:cs="Arial" w:eastAsia="Arial" w:hAnsi="Arial"/>
                <w:sz w:val="13"/>
                <w:szCs w:val="13"/>
                <w:b w:val="1"/>
                <w:bCs w:val="1"/>
                <w:color w:val="auto"/>
              </w:rPr>
              <w:t>2013</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58"/>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239"/>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7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1,894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jc w:val="right"/>
              <w:ind w:right="526"/>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(849)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560" w:type="dxa"/>
            <w:vAlign w:val="bottom"/>
            <w:tcBorders>
              <w:top w:val="single" w:sz="8" w:color="CCEEFF"/>
              <w:bottom w:val="single" w:sz="8" w:color="CCEEFF"/>
            </w:tcBorders>
            <w:gridSpan w:val="3"/>
            <w:shd w:val="clear" w:color="auto" w:fill="CCEEFF"/>
          </w:tcPr>
          <w:p>
            <w:pPr>
              <w:ind w:left="60"/>
              <w:spacing w:after="0" w:line="129" w:lineRule="exact"/>
              <w:rPr>
                <w:sz w:val="20"/>
                <w:szCs w:val="20"/>
                <w:color w:val="auto"/>
              </w:rPr>
            </w:pPr>
            <w:r>
              <w:rPr>
                <w:rFonts w:ascii="Arial" w:cs="Arial" w:eastAsia="Arial" w:hAnsi="Arial"/>
                <w:sz w:val="13"/>
                <w:szCs w:val="13"/>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CCEEFF"/>
            </w:tcBorders>
            <w:shd w:val="clear" w:color="auto" w:fill="CCEEFF"/>
          </w:tcPr>
          <w:p>
            <w:pPr>
              <w:jc w:val="right"/>
              <w:ind w:right="323"/>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7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(399)</w:t>
            </w:r>
          </w:p>
        </w:tc>
        <w:tc>
          <w:tcPr>
            <w:tcW w:w="640" w:type="dxa"/>
            <w:vAlign w:val="bottom"/>
          </w:tcPr>
          <w:p>
            <w:pPr>
              <w:spacing w:after="0" w:line="20" w:lineRule="exact"/>
              <w:rPr>
                <w:sz w:val="1"/>
                <w:szCs w:val="1"/>
                <w:color w:val="auto"/>
              </w:rPr>
            </w:pPr>
          </w:p>
        </w:tc>
        <w:tc>
          <w:tcPr>
            <w:tcW w:w="40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238</w:t>
            </w:r>
          </w:p>
        </w:tc>
        <w:tc>
          <w:tcPr>
            <w:tcW w:w="1560" w:type="dxa"/>
            <w:vAlign w:val="bottom"/>
            <w:gridSpan w:val="3"/>
            <w:vMerge w:val="restart"/>
          </w:tcPr>
          <w:p>
            <w:pPr>
              <w:ind w:left="60"/>
              <w:spacing w:after="0" w:line="129" w:lineRule="exact"/>
              <w:rPr>
                <w:sz w:val="20"/>
                <w:szCs w:val="20"/>
                <w:color w:val="auto"/>
              </w:rPr>
            </w:pPr>
            <w:r>
              <w:rPr>
                <w:rFonts w:ascii="Arial" w:cs="Arial" w:eastAsia="Arial" w:hAnsi="Arial"/>
                <w:sz w:val="13"/>
                <w:szCs w:val="13"/>
                <w:color w:val="auto"/>
              </w:rPr>
              <w:t>Cost of sales</w:t>
            </w:r>
          </w:p>
        </w:tc>
        <w:tc>
          <w:tcPr>
            <w:tcW w:w="100" w:type="dxa"/>
            <w:vAlign w:val="bottom"/>
          </w:tcPr>
          <w:p>
            <w:pPr>
              <w:spacing w:after="0" w:line="20" w:lineRule="exact"/>
              <w:rPr>
                <w:sz w:val="1"/>
                <w:szCs w:val="1"/>
                <w:color w:val="auto"/>
              </w:rPr>
            </w:pPr>
          </w:p>
        </w:tc>
        <w:tc>
          <w:tcPr>
            <w:tcW w:w="820" w:type="dxa"/>
            <w:vAlign w:val="bottom"/>
            <w:vMerge w:val="restart"/>
          </w:tcPr>
          <w:p>
            <w:pPr>
              <w:jc w:val="right"/>
              <w:spacing w:after="0" w:line="129" w:lineRule="exact"/>
              <w:rPr>
                <w:sz w:val="20"/>
                <w:szCs w:val="20"/>
                <w:color w:val="auto"/>
              </w:rPr>
            </w:pPr>
            <w:r>
              <w:rPr>
                <w:rFonts w:ascii="Arial" w:cs="Arial" w:eastAsia="Arial" w:hAnsi="Arial"/>
                <w:sz w:val="13"/>
                <w:szCs w:val="13"/>
                <w:color w:val="auto"/>
              </w:rPr>
              <w:t>47</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vMerge w:val="restart"/>
          </w:tcPr>
          <w:p>
            <w:pPr>
              <w:jc w:val="right"/>
              <w:ind w:right="180"/>
              <w:spacing w:after="0" w:line="129" w:lineRule="exact"/>
              <w:rPr>
                <w:sz w:val="20"/>
                <w:szCs w:val="20"/>
                <w:color w:val="auto"/>
              </w:rPr>
            </w:pPr>
            <w:r>
              <w:rPr>
                <w:rFonts w:ascii="Arial" w:cs="Arial" w:eastAsia="Arial" w:hAnsi="Arial"/>
                <w:sz w:val="13"/>
                <w:szCs w:val="13"/>
                <w:color w:val="auto"/>
              </w:rPr>
              <w:t>64</w:t>
            </w: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(186)</w:t>
            </w:r>
          </w:p>
        </w:tc>
        <w:tc>
          <w:tcPr>
            <w:tcW w:w="6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(199)</w:t>
            </w:r>
          </w:p>
        </w:tc>
        <w:tc>
          <w:tcPr>
            <w:tcW w:w="156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Other income, net</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123</w:t>
            </w: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(547)</w:t>
            </w:r>
          </w:p>
        </w:tc>
        <w:tc>
          <w:tcPr>
            <w:tcW w:w="1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60" w:type="dxa"/>
            <w:vAlign w:val="bottom"/>
            <w:gridSpan w:val="2"/>
          </w:tcPr>
          <w:p>
            <w:pPr>
              <w:spacing w:after="0" w:line="129" w:lineRule="exact"/>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1,309</w:t>
            </w:r>
          </w:p>
        </w:tc>
        <w:tc>
          <w:tcPr>
            <w:tcW w:w="16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(810)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(283)</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(1,029)</w:t>
            </w:r>
          </w:p>
        </w:tc>
        <w:tc>
          <w:tcPr>
            <w:tcW w:w="1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January 31, 2014, the company expects to reclassify approximately $1.6 million of gains from AOCL to earnings during the next twelve months.</w:t>
      </w:r>
    </w:p>
    <w:p>
      <w:pPr>
        <w:spacing w:after="0" w:line="248"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Gain (Loss) Recognized in Net Earnings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(Loss)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January 31,</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258"/>
              <w:spacing w:after="0" w:line="119" w:lineRule="exact"/>
              <w:rPr>
                <w:sz w:val="20"/>
                <w:szCs w:val="20"/>
                <w:color w:val="auto"/>
              </w:rPr>
            </w:pPr>
            <w:r>
              <w:rPr>
                <w:rFonts w:ascii="Arial" w:cs="Arial" w:eastAsia="Arial" w:hAnsi="Arial"/>
                <w:sz w:val="13"/>
                <w:szCs w:val="13"/>
                <w:b w:val="1"/>
                <w:bCs w:val="1"/>
                <w:color w:val="auto"/>
              </w:rPr>
              <w:t>February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2"/>
              </w:rPr>
              <w:t>Recognized in Net Earnings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47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Cross currency contracts</w:t>
            </w:r>
          </w:p>
        </w:tc>
        <w:tc>
          <w:tcPr>
            <w:tcW w:w="2660" w:type="dxa"/>
            <w:vAlign w:val="bottom"/>
            <w:gridSpan w:val="2"/>
          </w:tcPr>
          <w:p>
            <w:pPr>
              <w:ind w:left="2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270"/>
        <w:spacing w:after="0" w:line="276" w:lineRule="auto"/>
        <w:rPr>
          <w:sz w:val="20"/>
          <w:szCs w:val="20"/>
          <w:color w:val="auto"/>
        </w:rPr>
      </w:pPr>
      <w:r>
        <w:rPr>
          <w:rFonts w:ascii="Arial" w:cs="Arial" w:eastAsia="Arial" w:hAnsi="Arial"/>
          <w:sz w:val="17"/>
          <w:szCs w:val="17"/>
          <w:color w:val="auto"/>
        </w:rPr>
        <w:t>The company entered into an International Swap Dealers Association Master Agreement (“ISDA”) with each counterparty that permits the net settlement of amounts owed under their respective contracts. The ISDA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ectPr>
          <w:pgSz w:w="11900" w:h="16838" w:orient="portrait"/>
          <w:cols w:equalWidth="0" w:num="1">
            <w:col w:w="11420"/>
          </w:cols>
          <w:pgMar w:left="240" w:top="125" w:right="239" w:bottom="169" w:gutter="0" w:footer="0" w:header="0"/>
        </w:sectPr>
      </w:pPr>
    </w:p>
    <w:bookmarkStart w:id="9" w:name="page10"/>
    <w:bookmarkEnd w:id="9"/>
    <w:p>
      <w:pPr>
        <w:ind w:left="280"/>
        <w:spacing w:after="0"/>
        <w:rPr>
          <w:sz w:val="20"/>
          <w:szCs w:val="20"/>
          <w:color w:val="auto"/>
        </w:rPr>
      </w:pPr>
      <w:r>
        <w:rPr>
          <w:rFonts w:ascii="Arial" w:cs="Arial" w:eastAsia="Arial" w:hAnsi="Arial"/>
          <w:sz w:val="16"/>
          <w:szCs w:val="16"/>
          <w:color w:val="auto"/>
        </w:rPr>
        <w:t>The following tables show the effects of the master netting arrangements on the fair value of the company’s derivative contracts that are recorded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10"/>
        </w:trPr>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1"/>
              </w:rPr>
              <w:t>Gross Amounts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4"/>
              </w:rPr>
              <w:t>Gross Liabilities</w:t>
            </w:r>
          </w:p>
        </w:tc>
        <w:tc>
          <w:tcPr>
            <w:tcW w:w="100" w:type="dxa"/>
            <w:vAlign w:val="bottom"/>
          </w:tcPr>
          <w:p>
            <w:pPr>
              <w:spacing w:after="0"/>
              <w:rPr>
                <w:sz w:val="9"/>
                <w:szCs w:val="9"/>
                <w:color w:val="auto"/>
              </w:rPr>
            </w:pPr>
          </w:p>
        </w:tc>
        <w:tc>
          <w:tcPr>
            <w:tcW w:w="1280" w:type="dxa"/>
            <w:vAlign w:val="bottom"/>
          </w:tcPr>
          <w:p>
            <w:pPr>
              <w:jc w:val="center"/>
              <w:ind w:right="38"/>
              <w:spacing w:after="0" w:line="110" w:lineRule="exact"/>
              <w:rPr>
                <w:sz w:val="20"/>
                <w:szCs w:val="20"/>
                <w:color w:val="auto"/>
              </w:rPr>
            </w:pPr>
            <w:r>
              <w:rPr>
                <w:rFonts w:ascii="Arial" w:cs="Arial" w:eastAsia="Arial" w:hAnsi="Arial"/>
                <w:sz w:val="12"/>
                <w:szCs w:val="12"/>
                <w:b w:val="1"/>
                <w:bCs w:val="1"/>
                <w:color w:val="auto"/>
                <w:w w:val="93"/>
              </w:rPr>
              <w:t>Net Amounts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3"/>
              </w:rPr>
              <w:t>Gross Amounts</w:t>
            </w:r>
          </w:p>
        </w:tc>
        <w:tc>
          <w:tcPr>
            <w:tcW w:w="120" w:type="dxa"/>
            <w:vAlign w:val="bottom"/>
          </w:tcPr>
          <w:p>
            <w:pPr>
              <w:spacing w:after="0"/>
              <w:rPr>
                <w:sz w:val="9"/>
                <w:szCs w:val="9"/>
                <w:color w:val="auto"/>
              </w:rPr>
            </w:pPr>
          </w:p>
        </w:tc>
        <w:tc>
          <w:tcPr>
            <w:tcW w:w="118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87"/>
              </w:rPr>
              <w:t>Gross Assets</w:t>
            </w:r>
          </w:p>
        </w:tc>
        <w:tc>
          <w:tcPr>
            <w:tcW w:w="100" w:type="dxa"/>
            <w:vAlign w:val="bottom"/>
          </w:tcPr>
          <w:p>
            <w:pPr>
              <w:spacing w:after="0"/>
              <w:rPr>
                <w:sz w:val="9"/>
                <w:szCs w:val="9"/>
                <w:color w:val="auto"/>
              </w:rPr>
            </w:pPr>
          </w:p>
        </w:tc>
        <w:tc>
          <w:tcPr>
            <w:tcW w:w="1300" w:type="dxa"/>
            <w:vAlign w:val="bottom"/>
          </w:tcPr>
          <w:p>
            <w:pPr>
              <w:jc w:val="center"/>
              <w:ind w:right="38"/>
              <w:spacing w:after="0" w:line="110" w:lineRule="exact"/>
              <w:rPr>
                <w:sz w:val="20"/>
                <w:szCs w:val="20"/>
                <w:color w:val="auto"/>
              </w:rPr>
            </w:pPr>
            <w:r>
              <w:rPr>
                <w:rFonts w:ascii="Arial" w:cs="Arial" w:eastAsia="Arial" w:hAnsi="Arial"/>
                <w:sz w:val="12"/>
                <w:szCs w:val="12"/>
                <w:b w:val="1"/>
                <w:bCs w:val="1"/>
                <w:color w:val="auto"/>
                <w:w w:val="93"/>
              </w:rPr>
              <w:t>Net Amounts of</w:t>
            </w:r>
          </w:p>
        </w:tc>
        <w:tc>
          <w:tcPr>
            <w:tcW w:w="140" w:type="dxa"/>
            <w:vAlign w:val="bottom"/>
          </w:tcPr>
          <w:p>
            <w:pPr>
              <w:spacing w:after="0"/>
              <w:rPr>
                <w:sz w:val="9"/>
                <w:szCs w:val="9"/>
                <w:color w:val="auto"/>
              </w:rPr>
            </w:pPr>
          </w:p>
        </w:tc>
      </w:tr>
      <w:tr>
        <w:trPr>
          <w:trHeight w:val="135"/>
        </w:trPr>
        <w:tc>
          <w:tcPr>
            <w:tcW w:w="2080" w:type="dxa"/>
            <w:vAlign w:val="bottom"/>
          </w:tcPr>
          <w:p>
            <w:pPr>
              <w:spacing w:after="0" w:line="135" w:lineRule="exact"/>
              <w:rPr>
                <w:sz w:val="20"/>
                <w:szCs w:val="20"/>
                <w:color w:val="auto"/>
              </w:rPr>
            </w:pPr>
            <w:r>
              <w:rPr>
                <w:rFonts w:ascii="Arial" w:cs="Arial" w:eastAsia="Arial" w:hAnsi="Arial"/>
                <w:sz w:val="13"/>
                <w:szCs w:val="13"/>
                <w:b w:val="1"/>
                <w:bCs w:val="1"/>
                <w:color w:val="auto"/>
              </w:rPr>
              <w:t>(Dollars in thousands)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of Recognized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100" w:type="dxa"/>
            <w:vAlign w:val="bottom"/>
          </w:tcPr>
          <w:p>
            <w:pPr>
              <w:spacing w:after="0"/>
              <w:rPr>
                <w:sz w:val="11"/>
                <w:szCs w:val="11"/>
                <w:color w:val="auto"/>
              </w:rPr>
            </w:pPr>
          </w:p>
        </w:tc>
        <w:tc>
          <w:tcPr>
            <w:tcW w:w="15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1"/>
              </w:rPr>
              <w:t>of Assets Presented</w:t>
            </w:r>
          </w:p>
        </w:tc>
        <w:tc>
          <w:tcPr>
            <w:tcW w:w="10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of Recognized</w:t>
            </w:r>
          </w:p>
        </w:tc>
        <w:tc>
          <w:tcPr>
            <w:tcW w:w="12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10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Liabilities Presented</w:t>
            </w:r>
          </w:p>
        </w:tc>
      </w:tr>
      <w:tr>
        <w:trPr>
          <w:trHeight w:val="153"/>
        </w:trPr>
        <w:tc>
          <w:tcPr>
            <w:tcW w:w="2080" w:type="dxa"/>
            <w:vAlign w:val="bottom"/>
          </w:tcPr>
          <w:p>
            <w:pPr>
              <w:spacing w:after="0"/>
              <w:rPr>
                <w:sz w:val="20"/>
                <w:szCs w:val="20"/>
                <w:color w:val="auto"/>
              </w:rPr>
            </w:pPr>
            <w:r>
              <w:rPr>
                <w:rFonts w:ascii="Arial" w:cs="Arial" w:eastAsia="Arial" w:hAnsi="Arial"/>
                <w:sz w:val="13"/>
                <w:szCs w:val="13"/>
                <w:b w:val="1"/>
                <w:bCs w:val="1"/>
                <w:color w:val="auto"/>
              </w:rPr>
              <w:t>January 31, 2014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Balance Sheet</w:t>
            </w:r>
          </w:p>
        </w:tc>
        <w:tc>
          <w:tcPr>
            <w:tcW w:w="100" w:type="dxa"/>
            <w:vAlign w:val="bottom"/>
          </w:tcPr>
          <w:p>
            <w:pPr>
              <w:spacing w:after="0"/>
              <w:rPr>
                <w:sz w:val="13"/>
                <w:szCs w:val="13"/>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in the Balance Sheet</w:t>
            </w:r>
          </w:p>
        </w:tc>
        <w:tc>
          <w:tcPr>
            <w:tcW w:w="1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Liabilities</w:t>
            </w:r>
          </w:p>
        </w:tc>
        <w:tc>
          <w:tcPr>
            <w:tcW w:w="12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Balance Sheet</w:t>
            </w:r>
          </w:p>
        </w:tc>
        <w:tc>
          <w:tcPr>
            <w:tcW w:w="10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 the Balance Sheet</w:t>
            </w:r>
          </w:p>
        </w:tc>
      </w:tr>
      <w:tr>
        <w:trPr>
          <w:trHeight w:val="129"/>
        </w:trPr>
        <w:tc>
          <w:tcPr>
            <w:tcW w:w="2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2,916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(139)</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2,777</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w:t>
            </w:r>
          </w:p>
        </w:tc>
        <w:tc>
          <w:tcPr>
            <w:tcW w:w="140" w:type="dxa"/>
            <w:vAlign w:val="bottom"/>
            <w:tcBorders>
              <w:top w:val="single" w:sz="8" w:color="CCEEFF"/>
            </w:tcBorders>
            <w:shd w:val="clear" w:color="auto" w:fill="CCEEFF"/>
          </w:tcPr>
          <w:p>
            <w:pPr>
              <w:spacing w:after="0"/>
              <w:rPr>
                <w:sz w:val="11"/>
                <w:szCs w:val="11"/>
                <w:color w:val="auto"/>
              </w:rPr>
            </w:pPr>
          </w:p>
        </w:tc>
      </w:tr>
      <w:tr>
        <w:trPr>
          <w:trHeight w:val="135"/>
        </w:trPr>
        <w:tc>
          <w:tcPr>
            <w:tcW w:w="2080" w:type="dxa"/>
            <w:vAlign w:val="bottom"/>
          </w:tcPr>
          <w:p>
            <w:pPr>
              <w:spacing w:after="0" w:line="135" w:lineRule="exact"/>
              <w:rPr>
                <w:sz w:val="20"/>
                <w:szCs w:val="20"/>
                <w:color w:val="auto"/>
              </w:rPr>
            </w:pPr>
            <w:r>
              <w:rPr>
                <w:rFonts w:ascii="Arial" w:cs="Arial" w:eastAsia="Arial" w:hAnsi="Arial"/>
                <w:sz w:val="13"/>
                <w:szCs w:val="13"/>
                <w:color w:val="auto"/>
              </w:rPr>
              <w:t>Cross currency contracts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(445)</w:t>
            </w:r>
          </w:p>
        </w:tc>
        <w:tc>
          <w:tcPr>
            <w:tcW w:w="12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(445)</w:t>
            </w:r>
          </w:p>
        </w:tc>
      </w:tr>
      <w:tr>
        <w:trPr>
          <w:trHeight w:val="129"/>
        </w:trPr>
        <w:tc>
          <w:tcPr>
            <w:tcW w:w="20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2,916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(139)</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2,777</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(592)</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2"/>
        </w:trPr>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10"/>
        </w:trPr>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1"/>
              </w:rPr>
              <w:t>Gross Amounts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4"/>
              </w:rPr>
              <w:t>Gross Liabilities</w:t>
            </w:r>
          </w:p>
        </w:tc>
        <w:tc>
          <w:tcPr>
            <w:tcW w:w="100" w:type="dxa"/>
            <w:vAlign w:val="bottom"/>
          </w:tcPr>
          <w:p>
            <w:pPr>
              <w:spacing w:after="0"/>
              <w:rPr>
                <w:sz w:val="9"/>
                <w:szCs w:val="9"/>
                <w:color w:val="auto"/>
              </w:rPr>
            </w:pPr>
          </w:p>
        </w:tc>
        <w:tc>
          <w:tcPr>
            <w:tcW w:w="1280" w:type="dxa"/>
            <w:vAlign w:val="bottom"/>
          </w:tcPr>
          <w:p>
            <w:pPr>
              <w:jc w:val="center"/>
              <w:ind w:right="38"/>
              <w:spacing w:after="0" w:line="110" w:lineRule="exact"/>
              <w:rPr>
                <w:sz w:val="20"/>
                <w:szCs w:val="20"/>
                <w:color w:val="auto"/>
              </w:rPr>
            </w:pPr>
            <w:r>
              <w:rPr>
                <w:rFonts w:ascii="Arial" w:cs="Arial" w:eastAsia="Arial" w:hAnsi="Arial"/>
                <w:sz w:val="12"/>
                <w:szCs w:val="12"/>
                <w:b w:val="1"/>
                <w:bCs w:val="1"/>
                <w:color w:val="auto"/>
                <w:w w:val="93"/>
              </w:rPr>
              <w:t>Net Amounts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3"/>
              </w:rPr>
              <w:t>Gross Amounts</w:t>
            </w:r>
          </w:p>
        </w:tc>
        <w:tc>
          <w:tcPr>
            <w:tcW w:w="120" w:type="dxa"/>
            <w:vAlign w:val="bottom"/>
          </w:tcPr>
          <w:p>
            <w:pPr>
              <w:spacing w:after="0"/>
              <w:rPr>
                <w:sz w:val="9"/>
                <w:szCs w:val="9"/>
                <w:color w:val="auto"/>
              </w:rPr>
            </w:pPr>
          </w:p>
        </w:tc>
        <w:tc>
          <w:tcPr>
            <w:tcW w:w="118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87"/>
              </w:rPr>
              <w:t>Gross Assets</w:t>
            </w:r>
          </w:p>
        </w:tc>
        <w:tc>
          <w:tcPr>
            <w:tcW w:w="100" w:type="dxa"/>
            <w:vAlign w:val="bottom"/>
          </w:tcPr>
          <w:p>
            <w:pPr>
              <w:spacing w:after="0"/>
              <w:rPr>
                <w:sz w:val="9"/>
                <w:szCs w:val="9"/>
                <w:color w:val="auto"/>
              </w:rPr>
            </w:pPr>
          </w:p>
        </w:tc>
        <w:tc>
          <w:tcPr>
            <w:tcW w:w="1300" w:type="dxa"/>
            <w:vAlign w:val="bottom"/>
          </w:tcPr>
          <w:p>
            <w:pPr>
              <w:jc w:val="center"/>
              <w:ind w:right="38"/>
              <w:spacing w:after="0" w:line="110" w:lineRule="exact"/>
              <w:rPr>
                <w:sz w:val="20"/>
                <w:szCs w:val="20"/>
                <w:color w:val="auto"/>
              </w:rPr>
            </w:pPr>
            <w:r>
              <w:rPr>
                <w:rFonts w:ascii="Arial" w:cs="Arial" w:eastAsia="Arial" w:hAnsi="Arial"/>
                <w:sz w:val="12"/>
                <w:szCs w:val="12"/>
                <w:b w:val="1"/>
                <w:bCs w:val="1"/>
                <w:color w:val="auto"/>
                <w:w w:val="93"/>
              </w:rPr>
              <w:t>Net Amounts of</w:t>
            </w:r>
          </w:p>
        </w:tc>
        <w:tc>
          <w:tcPr>
            <w:tcW w:w="140" w:type="dxa"/>
            <w:vAlign w:val="bottom"/>
          </w:tcPr>
          <w:p>
            <w:pPr>
              <w:spacing w:after="0"/>
              <w:rPr>
                <w:sz w:val="9"/>
                <w:szCs w:val="9"/>
                <w:color w:val="auto"/>
              </w:rPr>
            </w:pPr>
          </w:p>
        </w:tc>
      </w:tr>
      <w:tr>
        <w:trPr>
          <w:trHeight w:val="135"/>
        </w:trPr>
        <w:tc>
          <w:tcPr>
            <w:tcW w:w="2080" w:type="dxa"/>
            <w:vAlign w:val="bottom"/>
          </w:tcPr>
          <w:p>
            <w:pPr>
              <w:spacing w:after="0" w:line="135" w:lineRule="exact"/>
              <w:rPr>
                <w:sz w:val="20"/>
                <w:szCs w:val="20"/>
                <w:color w:val="auto"/>
              </w:rPr>
            </w:pPr>
            <w:r>
              <w:rPr>
                <w:rFonts w:ascii="Arial" w:cs="Arial" w:eastAsia="Arial" w:hAnsi="Arial"/>
                <w:sz w:val="13"/>
                <w:szCs w:val="13"/>
                <w:b w:val="1"/>
                <w:bCs w:val="1"/>
                <w:color w:val="auto"/>
              </w:rPr>
              <w:t>(Dollars in thousands)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of Recognized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100" w:type="dxa"/>
            <w:vAlign w:val="bottom"/>
          </w:tcPr>
          <w:p>
            <w:pPr>
              <w:spacing w:after="0"/>
              <w:rPr>
                <w:sz w:val="11"/>
                <w:szCs w:val="11"/>
                <w:color w:val="auto"/>
              </w:rPr>
            </w:pPr>
          </w:p>
        </w:tc>
        <w:tc>
          <w:tcPr>
            <w:tcW w:w="15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1"/>
              </w:rPr>
              <w:t>of Assets Presented</w:t>
            </w:r>
          </w:p>
        </w:tc>
        <w:tc>
          <w:tcPr>
            <w:tcW w:w="10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of Recognized</w:t>
            </w:r>
          </w:p>
        </w:tc>
        <w:tc>
          <w:tcPr>
            <w:tcW w:w="12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10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Liabilities Presented</w:t>
            </w:r>
          </w:p>
        </w:tc>
      </w:tr>
      <w:tr>
        <w:trPr>
          <w:trHeight w:val="153"/>
        </w:trPr>
        <w:tc>
          <w:tcPr>
            <w:tcW w:w="2080" w:type="dxa"/>
            <w:vAlign w:val="bottom"/>
          </w:tcPr>
          <w:p>
            <w:pPr>
              <w:spacing w:after="0"/>
              <w:rPr>
                <w:sz w:val="20"/>
                <w:szCs w:val="20"/>
                <w:color w:val="auto"/>
              </w:rPr>
            </w:pPr>
            <w:r>
              <w:rPr>
                <w:rFonts w:ascii="Arial" w:cs="Arial" w:eastAsia="Arial" w:hAnsi="Arial"/>
                <w:sz w:val="13"/>
                <w:szCs w:val="13"/>
                <w:b w:val="1"/>
                <w:bCs w:val="1"/>
                <w:color w:val="auto"/>
              </w:rPr>
              <w:t>February 1, 2013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Balance Sheet</w:t>
            </w:r>
          </w:p>
        </w:tc>
        <w:tc>
          <w:tcPr>
            <w:tcW w:w="100" w:type="dxa"/>
            <w:vAlign w:val="bottom"/>
          </w:tcPr>
          <w:p>
            <w:pPr>
              <w:spacing w:after="0"/>
              <w:rPr>
                <w:sz w:val="13"/>
                <w:szCs w:val="13"/>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in the Balance Sheet</w:t>
            </w:r>
          </w:p>
        </w:tc>
        <w:tc>
          <w:tcPr>
            <w:tcW w:w="1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Liabilities</w:t>
            </w:r>
          </w:p>
        </w:tc>
        <w:tc>
          <w:tcPr>
            <w:tcW w:w="12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Balance Sheet</w:t>
            </w:r>
          </w:p>
        </w:tc>
        <w:tc>
          <w:tcPr>
            <w:tcW w:w="10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 the Balance Sheet</w:t>
            </w:r>
          </w:p>
        </w:tc>
      </w:tr>
      <w:tr>
        <w:trPr>
          <w:trHeight w:val="129"/>
        </w:trPr>
        <w:tc>
          <w:tcPr>
            <w:tcW w:w="2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1,218</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(4,005)</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(4,002)</w:t>
            </w:r>
          </w:p>
        </w:tc>
        <w:tc>
          <w:tcPr>
            <w:tcW w:w="140" w:type="dxa"/>
            <w:vAlign w:val="bottom"/>
            <w:tcBorders>
              <w:top w:val="single" w:sz="8" w:color="CCEEFF"/>
            </w:tcBorders>
            <w:shd w:val="clear" w:color="auto" w:fill="CCEEFF"/>
          </w:tcPr>
          <w:p>
            <w:pPr>
              <w:spacing w:after="0"/>
              <w:rPr>
                <w:sz w:val="11"/>
                <w:szCs w:val="11"/>
                <w:color w:val="auto"/>
              </w:rPr>
            </w:pPr>
          </w:p>
        </w:tc>
      </w:tr>
      <w:tr>
        <w:trPr>
          <w:trHeight w:val="135"/>
        </w:trPr>
        <w:tc>
          <w:tcPr>
            <w:tcW w:w="2080" w:type="dxa"/>
            <w:vAlign w:val="bottom"/>
          </w:tcPr>
          <w:p>
            <w:pPr>
              <w:spacing w:after="0" w:line="135" w:lineRule="exact"/>
              <w:rPr>
                <w:sz w:val="20"/>
                <w:szCs w:val="20"/>
                <w:color w:val="auto"/>
              </w:rPr>
            </w:pPr>
            <w:r>
              <w:rPr>
                <w:rFonts w:ascii="Arial" w:cs="Arial" w:eastAsia="Arial" w:hAnsi="Arial"/>
                <w:sz w:val="13"/>
                <w:szCs w:val="13"/>
                <w:color w:val="auto"/>
              </w:rPr>
              <w:t>Cross currency contracts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1"/>
                <w:szCs w:val="11"/>
                <w:color w:val="auto"/>
              </w:rPr>
            </w:pPr>
          </w:p>
        </w:tc>
        <w:tc>
          <w:tcPr>
            <w:tcW w:w="11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(144)</w:t>
            </w:r>
          </w:p>
        </w:tc>
        <w:tc>
          <w:tcPr>
            <w:tcW w:w="120" w:type="dxa"/>
            <w:vAlign w:val="bottom"/>
          </w:tcPr>
          <w:p>
            <w:pPr>
              <w:spacing w:after="0"/>
              <w:rPr>
                <w:sz w:val="11"/>
                <w:szCs w:val="11"/>
                <w:color w:val="auto"/>
              </w:rPr>
            </w:pPr>
          </w:p>
        </w:tc>
        <w:tc>
          <w:tcPr>
            <w:tcW w:w="11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(144)</w:t>
            </w:r>
          </w:p>
        </w:tc>
      </w:tr>
      <w:tr>
        <w:trPr>
          <w:trHeight w:val="129"/>
        </w:trPr>
        <w:tc>
          <w:tcPr>
            <w:tcW w:w="20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1,255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1,255</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(4,149)</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(4,146)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Assets and liabilities measured at fair value on a recurring basis, as of January 31, 2014, February 1, 2013, and October 31, 2013 are summarized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3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January 31, 2014</w:t>
            </w: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104,025</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104,025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2,777</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106,802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104,025</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30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3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147</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Deferred compensation liabilities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2,588</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February 1, 2013</w:t>
            </w:r>
          </w:p>
        </w:tc>
        <w:tc>
          <w:tcPr>
            <w:tcW w:w="22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60,700</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60,700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1,218</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4,002</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144</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3,374</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7,520</w:t>
            </w:r>
          </w:p>
        </w:tc>
        <w:tc>
          <w:tcPr>
            <w:tcW w:w="30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244"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44" w:gutter="0" w:footer="0" w:header="0"/>
          <w:type w:val="continuous"/>
        </w:sectPr>
      </w:pPr>
    </w:p>
    <w:bookmarkStart w:id="10" w:name="page11"/>
    <w:bookmarkEnd w:id="10"/>
    <w:p>
      <w:pPr>
        <w:spacing w:after="0" w:line="4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October 31, 2013</w:t>
            </w:r>
          </w:p>
        </w:tc>
        <w:tc>
          <w:tcPr>
            <w:tcW w:w="22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182,993</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182,993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1,266</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50"/>
        </w:trPr>
        <w:tc>
          <w:tcPr>
            <w:tcW w:w="4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184,259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182,993</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30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1"/>
                <w:szCs w:val="21"/>
                <w:color w:val="auto"/>
              </w:rPr>
            </w:pPr>
          </w:p>
        </w:tc>
      </w:tr>
      <w:tr>
        <w:trPr>
          <w:trHeight w:val="170"/>
        </w:trPr>
        <w:tc>
          <w:tcPr>
            <w:tcW w:w="43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Forward currency contracts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1,931</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 currency contracts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Deferred compensation liabilities</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2,777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2,777</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210"/>
        </w:trPr>
        <w:tc>
          <w:tcPr>
            <w:tcW w:w="43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There were no transfers between Level 1 and Level 2 during the three months ended January 31, 2014, February 1, 2013, or the twelve months ended October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 Litigation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Management believes the amount of liability, if any, with respect to these matters, individually or in the aggregate, will not materially affect its consolidated results of operations, financial position, or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Toro Company is in the business of designing, manufacturing, and marketing professional turf maintenance equipment and services, landscaping equipment and lighting, turf irrigation systems, agricultural micro-irrigation systems, rental and construction equipment, and residential yard and snow removal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92"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For the first quarter of fiscal 2014 our net sales were up slightly, by 0.3 percent, compared to the first quarter of fiscal 2013. Residential segment net sales increased significantly, by 22.0 percent, driven by strong retail demand for our snow thrower products due to heavy snowfall across key North American markets during the first quarter of fiscal 2014 compared to lower snowfall accumulations during our first quarter of fiscal 2013. However, our residential segment sales growth was hampered by lower sales in Australia due to unfavorable currency exchange rate changes. Professional segment net sales decreased 10.2 percent in the first quarter of fiscal 2014 compared to the first quarter of fiscal 2013 due to the strong customer demand we experienced last year in the first fiscal quarter that was not repeated this year for large turf equipment products that are subject to the Tier 4 diesel engine emission requirements that applies to products manufactured after January 1, 2013. Consequently, our professional segment net sales in the first quarter of fiscal 2013 were significantly higher than we experienced in the past or expect to experience in the future as a result of strong customer demand, prior to price increases that went into effect, for products now subject to Tier 4 emission requirements. Somewhat offsetting this sales decrease for our professional segment included higher shipments of landscape contractor equipment due to preseason demand for our innovative products, increased sales of our micro-irrigation products from continued market growth and demand, and higher sales of rental and construction equipment from increased demand for our products, including recently</w:t>
      </w:r>
    </w:p>
    <w:p>
      <w:pPr>
        <w:sectPr>
          <w:pgSz w:w="11900" w:h="16886" w:orient="portrait"/>
          <w:cols w:equalWidth="0" w:num="1">
            <w:col w:w="11400"/>
          </w:cols>
          <w:pgMar w:left="240" w:top="125" w:right="259" w:bottom="0" w:gutter="0" w:footer="0" w:header="0"/>
        </w:sectPr>
      </w:pPr>
    </w:p>
    <w:bookmarkStart w:id="11" w:name="page12"/>
    <w:bookmarkEnd w:id="11"/>
    <w:p>
      <w:pPr>
        <w:jc w:val="both"/>
        <w:ind w:right="240"/>
        <w:spacing w:after="0" w:line="264" w:lineRule="auto"/>
        <w:rPr>
          <w:sz w:val="20"/>
          <w:szCs w:val="20"/>
          <w:color w:val="auto"/>
        </w:rPr>
      </w:pPr>
      <w:r>
        <w:rPr>
          <w:rFonts w:ascii="Arial" w:cs="Arial" w:eastAsia="Arial" w:hAnsi="Arial"/>
          <w:sz w:val="18"/>
          <w:szCs w:val="18"/>
          <w:color w:val="auto"/>
        </w:rPr>
        <w:t>acquired products that have been newly introduced under the Toro brand. Additionally, our overall international net sales were up 6.8 percent for the fiscal first quarter comparison due primarily to higher demand for golf and grounds equipment and irrigation systems, as well as increased snow thrower product sales in Canada.</w:t>
      </w:r>
    </w:p>
    <w:p>
      <w:pPr>
        <w:spacing w:after="0" w:line="181" w:lineRule="exact"/>
        <w:rPr>
          <w:sz w:val="20"/>
          <w:szCs w:val="20"/>
          <w:color w:val="auto"/>
        </w:rPr>
      </w:pPr>
    </w:p>
    <w:p>
      <w:pPr>
        <w:ind w:right="80" w:firstLine="270"/>
        <w:spacing w:after="0" w:line="286" w:lineRule="auto"/>
        <w:rPr>
          <w:sz w:val="20"/>
          <w:szCs w:val="20"/>
          <w:color w:val="auto"/>
        </w:rPr>
      </w:pPr>
      <w:r>
        <w:rPr>
          <w:rFonts w:ascii="Arial" w:cs="Arial" w:eastAsia="Arial" w:hAnsi="Arial"/>
          <w:sz w:val="17"/>
          <w:szCs w:val="17"/>
          <w:color w:val="auto"/>
        </w:rPr>
        <w:t>Our net earnings decreased 17.6 percent for the first quarter of fiscal 2014 compared to the first quarter of fiscal 2013 primarily from a decrease of our gross margin rate of 60 basis points, an increase in selling, general, and administrative (SG&amp;A) expense, and an increase in our tax rate due to the retroactive reinstatement of the domestic research tax credit in the first quarter of fiscal 2013, which expired on December 31, 2013.</w:t>
      </w:r>
    </w:p>
    <w:p>
      <w:pPr>
        <w:spacing w:after="0" w:line="166" w:lineRule="exact"/>
        <w:rPr>
          <w:sz w:val="20"/>
          <w:szCs w:val="20"/>
          <w:color w:val="auto"/>
        </w:rPr>
      </w:pPr>
    </w:p>
    <w:p>
      <w:pPr>
        <w:ind w:right="100" w:firstLine="270"/>
        <w:spacing w:after="0" w:line="290" w:lineRule="auto"/>
        <w:rPr>
          <w:sz w:val="20"/>
          <w:szCs w:val="20"/>
          <w:color w:val="auto"/>
        </w:rPr>
      </w:pPr>
      <w:r>
        <w:rPr>
          <w:rFonts w:ascii="Arial" w:cs="Arial" w:eastAsia="Arial" w:hAnsi="Arial"/>
          <w:sz w:val="16"/>
          <w:szCs w:val="16"/>
          <w:color w:val="auto"/>
        </w:rPr>
        <w:t>Our overall financial condition remains strong, and we made good progress on reducing our working capital. Inventory levels decreased 9.2 percent as of the end of the first quarter of fiscal 2014 compared to the end of the first quarter of fiscal 2013 due to lower snow thrower inventory levels from higher sales and strong demand, as well as a planned decrease in inventory for products impacted by Tier 4 emissions requirements as last year we built inventory in anticipation of higher demand that was not duplicated this year. Field inventory levels also were down in the first quarter of fiscal 2014 compared to the first quarter of fiscal 2013 as products subject to Tier 4 emission requirements remained in field inventory last fiscal year while snow thrower product sales sold through to end-user customers this fiscal year. Our receivables increased by 10.8 percent as of the end of the first quarter of fiscal 2014 compared to the end of the first quarter of fiscal 2013 due to higher international sales and snow thrower product sales that are not financed with Red Iron. We increased our first quarter cash dividend by 42.9 percent to $0.20 per share compared to the $0.14 per share quarterly cash dividend paid in the first quarter of fiscal 2013.</w:t>
      </w:r>
    </w:p>
    <w:p>
      <w:pPr>
        <w:spacing w:after="0" w:line="166" w:lineRule="exact"/>
        <w:rPr>
          <w:sz w:val="20"/>
          <w:szCs w:val="20"/>
          <w:color w:val="auto"/>
        </w:rPr>
      </w:pPr>
    </w:p>
    <w:p>
      <w:pPr>
        <w:ind w:right="200" w:firstLine="270"/>
        <w:spacing w:after="0" w:line="257" w:lineRule="auto"/>
        <w:rPr>
          <w:sz w:val="20"/>
          <w:szCs w:val="20"/>
          <w:color w:val="auto"/>
        </w:rPr>
      </w:pPr>
      <w:r>
        <w:rPr>
          <w:rFonts w:ascii="Arial" w:cs="Arial" w:eastAsia="Arial" w:hAnsi="Arial"/>
          <w:sz w:val="18"/>
          <w:szCs w:val="18"/>
          <w:color w:val="auto"/>
        </w:rPr>
        <w:t>Our multi-year initiative, “Destination 2014,” which began with our 2011 fiscal year, will take us to our centennial in 2014 and into our second century. This is our final year of this four-year initiative, which is intended to focus our efforts on driving our legacy of excellence through building caring relationships and engaging in innovation. Through our Destination 2014 initiative financial goals, we strive to achieve $100 million in organic revenue growth each fiscal year and 12 percent operating earnings as a percentage of net sales by the end of fiscal 2014. We define organic revenue growth as the increase in net sales, less net sales from acquisitions that occurred in the current fiscal year.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270"/>
        <w:spacing w:after="0" w:line="297" w:lineRule="auto"/>
        <w:rPr>
          <w:sz w:val="20"/>
          <w:szCs w:val="20"/>
          <w:color w:val="auto"/>
        </w:rPr>
      </w:pPr>
      <w:r>
        <w:rPr>
          <w:rFonts w:ascii="Arial" w:cs="Arial" w:eastAsia="Arial" w:hAnsi="Arial"/>
          <w:sz w:val="16"/>
          <w:szCs w:val="16"/>
          <w:color w:val="auto"/>
        </w:rPr>
        <w:t>Our net sales and net earnings for the first quarter of our fiscal year are typically lower than other quarters, and the results of our first quarter are not necessarily an indicator of spring season sales trends. Our plan as we enter our peak selling season is to focus on generating customer demand for our innovative products, while keeping production closely aligned with expected shipment volumes. We will continue to keep a cautionary eye on the global economic environment, weather conditions, retail demand, field inventory levels, commodity prices, competitive actions, expenses, and other factors identified below under the heading “Forward-Looking Information,” which could cause our actual results to differ from our anticipated outlook.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earnings for the first quarter of fiscal 2014 were $25.9 million, or $0.44 per diluted share, compared to $31.4 million, or $0.53 per diluted share, for the first quarter of fiscal 2013, resulting in a net earnings per diluted share decrease of 17.0 percent. The primary factors contributing to the net earnings decrease included a decline in our gross margin rate, higher SG&amp;A expense, and an increase in our effective tax rate. Our fiscal 2014 first quarter diluted net earnings per share were benefited by approximately $0.01 per share compared to fiscal 2013 first quarter diluted net earnings per share as a result of reduced shares outstanding from repurchases of our common stock.</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our results of operations as a percentage of our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18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44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510"/>
              <w:spacing w:after="0" w:line="119" w:lineRule="exact"/>
              <w:rPr>
                <w:sz w:val="20"/>
                <w:szCs w:val="20"/>
                <w:color w:val="auto"/>
              </w:rPr>
            </w:pPr>
            <w:r>
              <w:rPr>
                <w:rFonts w:ascii="Arial" w:cs="Arial" w:eastAsia="Arial" w:hAnsi="Arial"/>
                <w:sz w:val="13"/>
                <w:szCs w:val="13"/>
                <w:b w:val="1"/>
                <w:bCs w:val="1"/>
                <w:color w:val="auto"/>
              </w:rPr>
              <w:t>January 31,</w:t>
            </w:r>
          </w:p>
        </w:tc>
        <w:tc>
          <w:tcPr>
            <w:tcW w:w="1360" w:type="dxa"/>
            <w:vAlign w:val="bottom"/>
            <w:tcBorders>
              <w:top w:val="single" w:sz="8" w:color="auto"/>
            </w:tcBorders>
          </w:tcPr>
          <w:p>
            <w:pPr>
              <w:jc w:val="right"/>
              <w:ind w:right="214"/>
              <w:spacing w:after="0" w:line="119" w:lineRule="exact"/>
              <w:rPr>
                <w:sz w:val="20"/>
                <w:szCs w:val="20"/>
                <w:color w:val="auto"/>
              </w:rPr>
            </w:pPr>
            <w:r>
              <w:rPr>
                <w:rFonts w:ascii="Arial" w:cs="Arial" w:eastAsia="Arial" w:hAnsi="Arial"/>
                <w:sz w:val="13"/>
                <w:szCs w:val="13"/>
                <w:b w:val="1"/>
                <w:bCs w:val="1"/>
                <w:color w:val="auto"/>
              </w:rPr>
              <w:t>February 1,</w:t>
            </w:r>
          </w:p>
        </w:tc>
        <w:tc>
          <w:tcPr>
            <w:tcW w:w="180" w:type="dxa"/>
            <w:vAlign w:val="bottom"/>
          </w:tcPr>
          <w:p>
            <w:pPr>
              <w:spacing w:after="0"/>
              <w:rPr>
                <w:sz w:val="10"/>
                <w:szCs w:val="10"/>
                <w:color w:val="auto"/>
              </w:rPr>
            </w:pPr>
          </w:p>
        </w:tc>
      </w:tr>
      <w:tr>
        <w:trPr>
          <w:trHeight w:val="171"/>
        </w:trPr>
        <w:tc>
          <w:tcPr>
            <w:tcW w:w="44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(63.3)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(62.7)</w:t>
            </w:r>
          </w:p>
        </w:tc>
      </w:tr>
      <w:tr>
        <w:trPr>
          <w:trHeight w:val="210"/>
        </w:trPr>
        <w:tc>
          <w:tcPr>
            <w:tcW w:w="4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SG&amp;A expense</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(27.6)</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(26.9)</w:t>
            </w:r>
          </w:p>
        </w:tc>
      </w:tr>
      <w:tr>
        <w:trPr>
          <w:trHeight w:val="210"/>
        </w:trPr>
        <w:tc>
          <w:tcPr>
            <w:tcW w:w="4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(2.9)</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(2.7)</w:t>
            </w:r>
          </w:p>
        </w:tc>
      </w:tr>
      <w:tr>
        <w:trPr>
          <w:trHeight w:val="223"/>
        </w:trPr>
        <w:tc>
          <w:tcPr>
            <w:tcW w:w="4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Worldwide consolidated net sales for the first quarter of fiscal 2014 were $446.0 million compared to $444.7 million in the first quarter of fiscal 2013, a slight increase of 0.3 percent. Residential segment net sales increased significantly, by 22.0 percent, driven by strong retail demand for our snow thrower products due to heavy snowfall across key North American markets during the first quarter of fiscal 2014 compared to lower snowfall accumulations during our first quarter of fiscal 2013. Additionally, preseason shipments of residential segment domestic zero turn radius riding mowers increased for the first quarter comparison due to higher demand for our enhanced products. However, residential segment sales in Australia, particularly Pope branded products, declined in the first quarter of fiscal 2014 compared to the first quarter of 2013 due to unfavorable currency exchange rate changes relating to the Australian dollar versus the U.S. dollar. Professional segment net sales in the first quarter of fiscal 2014 were down 10.2 percent compared to the first quarter of fiscal 2013 due to the strong customer demand we experienced last year in the first fiscal quarter that was not repeated this year for large turf equipment products that are subject to the Tier 4 diesel engine emission requirements, as previously discussed. Consequently, our professional segment net sales in the first quarter of fiscal 2013 were significantly higher than we experienced in the past or expect to experience in the future. Somewhat offsetting this sales decrease was higher shipments of landscape contractor equipment due to preseason demand for our innovative products, as well as anticipated retail demand for the upcoming spring selling season. Additionally, our professional segment net sales were positively impacted by higher sales of our micro-irrigation products from continued market growth and demand, and increased sales of rental and construction equipment from increased demand for our products, including recently acquired products newly introduced under the Toro brand. Net sales for our other segment were up $8.4 million due to a reduction of sales that are eliminated for shipments to our company-owned distribution companies as a result of strong professional segment sales last year in the first quarter that did not occur this year in the first fiscal quarter, mainly for products subject to the Tier 4 diesel engine emission requirements, as discussed above. Our overall international net sales were up 6.8 percent for the first quarter comparison due primarily to higher demand for golf and grounds equipment and irrigation systems, as well as increased snow</w:t>
      </w:r>
    </w:p>
    <w:p>
      <w:pPr>
        <w:sectPr>
          <w:pgSz w:w="11900" w:h="16838" w:orient="portrait"/>
          <w:cols w:equalWidth="0" w:num="1">
            <w:col w:w="11400"/>
          </w:cols>
          <w:pgMar w:left="240" w:top="125" w:right="259" w:bottom="0" w:gutter="0" w:footer="0" w:header="0"/>
        </w:sectPr>
      </w:pPr>
    </w:p>
    <w:bookmarkStart w:id="12" w:name="page13"/>
    <w:bookmarkEnd w:id="12"/>
    <w:p>
      <w:pPr>
        <w:ind w:right="180"/>
        <w:spacing w:after="0" w:line="264" w:lineRule="auto"/>
        <w:rPr>
          <w:sz w:val="20"/>
          <w:szCs w:val="20"/>
          <w:color w:val="auto"/>
        </w:rPr>
      </w:pPr>
      <w:r>
        <w:rPr>
          <w:rFonts w:ascii="Arial" w:cs="Arial" w:eastAsia="Arial" w:hAnsi="Arial"/>
          <w:sz w:val="18"/>
          <w:szCs w:val="18"/>
          <w:color w:val="auto"/>
        </w:rPr>
        <w:t>thrower product sales in Canada. However, foreign currency exchange rate fluctuations resulted in a decline of approximately $4.1 million of our overall net sales for the first quarter of fiscal 2014 compared to the first quarter of fiscal 2013 primarily from changes in the Australian dollar compared to the U.S. dollar.</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a percentage of net sales, gross profit for the first quarter of fiscal 2014 decreased 60 basis points to 36.7 percent compared to 37.3 percent in the first quarter of fiscal 2013. This decrease was due to a lower proportionate share of professional segment product sales that carry higher average gross margins than our residential segment product sales, unfavorable currency exchange rate fluctuations, and slightly higher commodity costs, somewhat offset by price increases on some products and continued cost reduction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SG&amp;A expense for the first quarter of fiscal 2014 increased $3.3 million, or 2.8 percent, compared to the same period last fiscal year, and SG&amp;A expense as a percentage of net sales increased 70 basis points to 27.6 percent in the first quarter of fiscal 2014 compared to 26.9 percent in the first quarter of fiscal 2013. These increases were due mainly to an increase in warranty expense from rework campaigns for certain professional segment products, an increase in health care costs, and incremental SG&amp;A expense from acquisitions of $0.8 million, somewhat offset by lower warehousing expense.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Interest expense for the first quarter of fiscal 2014 decreased $0.5 million, or 11.7 percent, compared to the first quarter of fiscal 2013 due to higher capitalized interest from capital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Other income, net for the first quarter of fiscal 2014 was $1.9 million compared to $1.4 million for the same period last fiscal year, an increase of $0.5 million. The increase was due primarily to a decrease in foreign currency exchange rate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effective tax rate for the first quarter of fiscal 2014 was 33.2 percent compared to 27.7 percent in the first quarter of fiscal 2013. The increase in the effective tax rate was primarily the result of the benefit in the first quarter of fiscal 2013 for the retroactive reinstatement of the domestic research tax credit, which expired on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January 31,</w:t>
            </w:r>
          </w:p>
        </w:tc>
        <w:tc>
          <w:tcPr>
            <w:tcW w:w="220" w:type="dxa"/>
            <w:vAlign w:val="bottom"/>
          </w:tcPr>
          <w:p>
            <w:pPr>
              <w:spacing w:after="0"/>
              <w:rPr>
                <w:sz w:val="10"/>
                <w:szCs w:val="10"/>
                <w:color w:val="auto"/>
              </w:rPr>
            </w:pPr>
          </w:p>
        </w:tc>
        <w:tc>
          <w:tcPr>
            <w:tcW w:w="14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February 1,</w:t>
            </w:r>
          </w:p>
        </w:tc>
        <w:tc>
          <w:tcPr>
            <w:tcW w:w="38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4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329,144</w:t>
            </w:r>
          </w:p>
        </w:tc>
        <w:tc>
          <w:tcPr>
            <w:tcW w:w="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(33,676)</w:t>
            </w:r>
          </w:p>
        </w:tc>
        <w:tc>
          <w:tcPr>
            <w:tcW w:w="26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147,570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120,947</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26,623</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(5,430)</w:t>
            </w:r>
          </w:p>
        </w:tc>
        <w:tc>
          <w:tcPr>
            <w:tcW w:w="3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2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445,981</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444,661</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26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151,263</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141,580</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9,683</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76"/>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7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640" w:type="dxa"/>
            <w:vAlign w:val="bottom"/>
            <w:gridSpan w:val="6"/>
          </w:tcPr>
          <w:p>
            <w:pPr>
              <w:ind w:left="40"/>
              <w:spacing w:after="0"/>
              <w:rPr>
                <w:sz w:val="20"/>
                <w:szCs w:val="20"/>
                <w:color w:val="auto"/>
              </w:rPr>
            </w:pPr>
            <w:r>
              <w:rPr>
                <w:rFonts w:ascii="Arial" w:cs="Arial" w:eastAsia="Arial" w:hAnsi="Arial"/>
                <w:sz w:val="18"/>
                <w:szCs w:val="18"/>
                <w:color w:val="auto"/>
              </w:rPr>
              <w:t>The following table summarizes segment earnings (loss) before income taxes: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January 31,</w:t>
            </w:r>
          </w:p>
        </w:tc>
        <w:tc>
          <w:tcPr>
            <w:tcW w:w="220" w:type="dxa"/>
            <w:vAlign w:val="bottom"/>
          </w:tcPr>
          <w:p>
            <w:pPr>
              <w:spacing w:after="0"/>
              <w:rPr>
                <w:sz w:val="10"/>
                <w:szCs w:val="10"/>
                <w:color w:val="auto"/>
              </w:rPr>
            </w:pPr>
          </w:p>
        </w:tc>
        <w:tc>
          <w:tcPr>
            <w:tcW w:w="14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February 1,</w:t>
            </w:r>
          </w:p>
        </w:tc>
        <w:tc>
          <w:tcPr>
            <w:tcW w:w="38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4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47,463</w:t>
            </w:r>
          </w:p>
        </w:tc>
        <w:tc>
          <w:tcPr>
            <w:tcW w:w="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60,738</w:t>
            </w:r>
          </w:p>
        </w:tc>
        <w:tc>
          <w:tcPr>
            <w:tcW w:w="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(13,275)</w:t>
            </w:r>
          </w:p>
        </w:tc>
        <w:tc>
          <w:tcPr>
            <w:tcW w:w="26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18,134</w:t>
            </w: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12,154</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5,980</w:t>
            </w:r>
          </w:p>
        </w:tc>
        <w:tc>
          <w:tcPr>
            <w:tcW w:w="2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(26,842)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(29,494)</w:t>
            </w:r>
          </w:p>
        </w:tc>
        <w:tc>
          <w:tcPr>
            <w:tcW w:w="3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38,755</w:t>
            </w: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43,398</w:t>
            </w:r>
          </w:p>
        </w:tc>
        <w:tc>
          <w:tcPr>
            <w:tcW w:w="280" w:type="dxa"/>
            <w:vAlign w:val="bottom"/>
          </w:tcPr>
          <w:p>
            <w:pPr>
              <w:spacing w:after="0"/>
              <w:rPr>
                <w:sz w:val="19"/>
                <w:szCs w:val="19"/>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-1691005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-1691005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ectPr>
          <w:pgSz w:w="11900" w:h="16838" w:orient="portrait"/>
          <w:cols w:equalWidth="0" w:num="1">
            <w:col w:w="11460"/>
          </w:cols>
          <w:pgMar w:left="240" w:top="125" w:right="199" w:bottom="225" w:gutter="0" w:footer="0" w:header="0"/>
        </w:sectPr>
      </w:pPr>
    </w:p>
    <w:bookmarkStart w:id="13" w:name="page14"/>
    <w:bookmarkEnd w:id="13"/>
    <w:p>
      <w:pPr>
        <w:ind w:right="20"/>
        <w:spacing w:after="0" w:line="270"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first quarter of fiscal 2014 were down 10.2 percent compared to the first quarter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2013 due to the strong customer demand we experienced last year in the first fiscal quarter that was not repeated this year for large turf equipment products that are subject to the Tier 4 diesel engine emission requirements, as previously discussed. Consequently, our professional segment net sales in the first quarter of fiscal 2013 were significantly higher than we experienced in the past or expect to experience in the future. Somewhat offsetting the sales decrease in the first quarter of fiscal 2014 was higher shipments of landscape contractor equipment due to preseason demand for our innovative products, as well as anticipated retail demand for the upcoming spring selling season. Additionally, our professional segment net sales were positively impacted by higher sales of our micro-irrigation products from continued market growth and demand for our precision irrigation solutions for agricultural markets. Sales of rental and construction equipment also increased from strong demand for our products, including recently acquired products that have been newly introduced under the Toro brand. Sales of professional segment products in international markets were up due to higher demand for golf and grounds equipment and irrigation systems.</w:t>
      </w:r>
    </w:p>
    <w:p>
      <w:pPr>
        <w:spacing w:after="0" w:line="17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were $47.5 million in the first quarter of fiscal 2014 compared to $60.7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fiscal 2013, a decrease of 21.9 percent. Expressed as a percentage of net sales, professional segment operating margins decreased to 16.1 percent compared to 18.5 percent in the first quarter of fiscal 2013. These profit declines were primarily attributable to lower sales volumes, an increase in warranty expense from rework campaigns for certain professional segment products, and fixed SG&amp;A costs over lower sales volumes.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color w:val="auto"/>
        </w:rPr>
        <w:t>. Worldwide net sales for the residential segment in the first quarter of fiscal 2014 were significantly up, by 22.0 percent, compared to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2013. This sales increase was led by strong retail demand for our snow thrower products due to heavy snowfall across key North American markets during the first quarter of fiscal 2014 compared to lower snowfall accumulations during our first quarter of fiscal 2013. Additionally, preseason shipments of residential segment domestic zero turn radius riding mowers increased for the first quarter comparison due to higher demand for our enhanced products. However, residential segment sales in Australia, particularly Pope branded products, declined in the first quarter of fiscal 2014 compared to the first quarter of 2013 due to unfavorable foreign currency exchange rate changes relating to the Australian dollar versus the U.S. dollar.</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Operating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for the residential segment were $18.1 million in the first quarter of fiscal 2014 compared to $12.2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2013, an increase of 49.2 percent due to higher sales volumes. Expressed as a percentage of net sales, residential segment operating margins improved to 12.3 percent for the first quarter of fiscal 2014 compared to 10.0 percent in the first quarter of fiscal 2013 as we leveraged fixed SG&amp;A costs over higher sales volumes. However, gross margins for our residential segment were lower for the first quarter comparison as a result of unfavorable foreign currency exchange rate changes and slightly higher commodity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other segment include sales from our wholly owned domestic distribution companies less sales from the professional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segments to those distribution companies. The other segment net sales increased $8.4 million for the first quarter of fiscal 2014 compared to the first quarter of fiscal 2013 due to a reduction of sales that are eliminated for shipments to our company-owned distribution companies as a result of strong professional segment sales last year in the first quarter that did not occur this year in the first fiscal quarter, mainly for products subject to the Tier 4 diesel engine emission requirements, as previously discussed.</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color w:val="auto"/>
        </w:rPr>
        <w:t>. Operating losses for the other segment were down, by $2.7 million, or 9.0 percent, for the first quarter of fiscal 2014 compared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2013. This lower operating loss was primarily attributable to a reduction in the elimination of gross profit previously recorded with respect to sales of our products to our wholly owned distribution companies as a result of lower inventory levels at those distribution companies, somewhat offset by higher health care costs.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fiscal 2014, we intend to place emphasis on improving asset utilization, with an increased focus on reducing the amount of working capital in the supply chain, adjusting production plans, and maintaining or improving order replenishment and service levels to end users. We have made good progress towards our effort to reduce working capital as inventory levels were down $30.8 million, or 9.2 percent, as of the end of the first quarter of fiscal 2014 compared to the end of the first quarter of fiscal 2013 due to lower snow thrower inventory levels from higher sales and strong demand, as well as a planned decrease in inventory for products impacted by Tier 4 emissions requirements as last year we built inventory in anticipation of higher demand that was not replicated this fiscal year.</w:t>
      </w:r>
    </w:p>
    <w:p>
      <w:pPr>
        <w:spacing w:after="0" w:line="193" w:lineRule="exact"/>
        <w:rPr>
          <w:sz w:val="20"/>
          <w:szCs w:val="20"/>
          <w:color w:val="auto"/>
        </w:rPr>
      </w:pPr>
    </w:p>
    <w:p>
      <w:pPr>
        <w:ind w:firstLine="272"/>
        <w:spacing w:after="0" w:line="257" w:lineRule="auto"/>
        <w:rPr>
          <w:sz w:val="20"/>
          <w:szCs w:val="20"/>
          <w:color w:val="auto"/>
        </w:rPr>
      </w:pPr>
      <w:r>
        <w:rPr>
          <w:rFonts w:ascii="Arial" w:cs="Arial" w:eastAsia="Arial" w:hAnsi="Arial"/>
          <w:sz w:val="18"/>
          <w:szCs w:val="18"/>
          <w:color w:val="auto"/>
        </w:rPr>
        <w:t>Receivables as of the end of the first quarter of fiscal 2014 increased $19.5 million, or 10.8 percent, compared to the end of the first quarter of fiscal 2013 due mainly to higher international sales and greater sales snow thrower products to customers that were not financed with Red Iron. Our average days sales outstanding for receivables also increased to 35.9 days based on sales for the last twelve months ended January 31, 2014, compared to 34.4 days for the twelve months ended February 1, 2013 primarily as a result of customer mix. In addition, accounts payable increased as of the end of our first quarter of fiscal 2014 by $24.4 million, or 14.5 percent due to timing of inventory purchases.</w:t>
      </w:r>
    </w:p>
    <w:p>
      <w:pPr>
        <w:spacing w:after="0" w:line="188" w:lineRule="exact"/>
        <w:rPr>
          <w:sz w:val="20"/>
          <w:szCs w:val="20"/>
          <w:color w:val="auto"/>
        </w:rPr>
      </w:pPr>
    </w:p>
    <w:p>
      <w:pPr>
        <w:ind w:right="40" w:firstLine="272"/>
        <w:spacing w:after="0" w:line="255" w:lineRule="auto"/>
        <w:rPr>
          <w:sz w:val="20"/>
          <w:szCs w:val="20"/>
          <w:color w:val="auto"/>
        </w:rPr>
      </w:pPr>
      <w:r>
        <w:rPr>
          <w:rFonts w:ascii="Arial" w:cs="Arial" w:eastAsia="Arial" w:hAnsi="Arial"/>
          <w:sz w:val="18"/>
          <w:szCs w:val="18"/>
          <w:color w:val="auto"/>
        </w:rPr>
        <w:t>We define average net working capital as accounts receivable plus inventory less trade payables as a percentage of net sales for a twelve month period. Our average net working capital as a percentage of net sales for the twelve months ended January 31, 2014 was 16.3 percent compared to 15.5 percent for the twelve months ended February 1, 2013. This increase was due to higher average inventory levels during fiscal 2013 as we built inventory in anticipation of higher demand for our products prior to the phase-in of Tier 4 emission requirements, as well as higher average receivables as a result of higher sales volumes, mainly during fiscal 2013. Despite this increase in our average net working capital, we have made good progress to reduce our working capital, as mentioned above and, as evidenced by our lower working capital of $35.7 million as of the end of the first quarter of fiscal 2014 compared to the end of the first quarter of fiscal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00"/>
          </w:cols>
          <w:pgMar w:left="240" w:top="125" w:right="259" w:bottom="0" w:gutter="0" w:footer="0" w:header="0"/>
        </w:sectPr>
      </w:pPr>
    </w:p>
    <w:bookmarkStart w:id="14" w:name="page15"/>
    <w:bookmarkEnd w:id="14"/>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receivables from customers that are not financed with Red Iron. We believe that anticipated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89" w:lineRule="exact"/>
        <w:rPr>
          <w:sz w:val="20"/>
          <w:szCs w:val="20"/>
          <w:color w:val="auto"/>
        </w:rPr>
      </w:pPr>
    </w:p>
    <w:p>
      <w:pPr>
        <w:jc w:val="both"/>
        <w:ind w:right="820" w:firstLine="270"/>
        <w:spacing w:after="0" w:line="264" w:lineRule="auto"/>
        <w:rPr>
          <w:sz w:val="20"/>
          <w:szCs w:val="20"/>
          <w:color w:val="auto"/>
        </w:rPr>
      </w:pPr>
      <w:r>
        <w:rPr>
          <w:rFonts w:ascii="Arial" w:cs="Arial" w:eastAsia="Arial" w:hAnsi="Arial"/>
          <w:sz w:val="18"/>
          <w:szCs w:val="18"/>
          <w:color w:val="auto"/>
        </w:rPr>
        <w:t>Capital expenditures for fiscal 2014 are planned to be approximately $70 million as we expect to continue to invest in new product tooling and replacement production equipment, as well as expansion and construction of facilities, including the expansion of our corporate facilities located in Bloomington, Minnesota.</w:t>
      </w:r>
    </w:p>
    <w:p>
      <w:pPr>
        <w:spacing w:after="0" w:line="181"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Our Board of Directors approved a cash dividend of $0.20 per share for the first quarter of fiscal 2014 that was paid on January 15, 2014. This was an increase of 42.9 percent over our cash dividend of $0.14 per share for the first quarter of fiscal 2013.</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We historically have used more operating cash in the first quarter compared to other fiscal quarters due to the seasonality of our business. Cash</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operating activities for the first three months of fiscal 2014 was down $10.9 million compared to the first three months of fiscal 2013 due mainly to a decrease in inventory levels and an increase in accounts payable, somewhat offset by an increase in accounts receivable and lower net earnings. Cash used in investing activities for the first quarter of fiscal 2014 was up by $14.5 million compared to the first quarter of fiscal 2013, due mainly to higher purchases of property, plant, and equipment. Cash used in financing activities for the first quarter of fiscal 2014 was up $9.3 million compared to the first quarter of fiscal 2013 due to an increase in cash utilized for share repurchases and cash dividends paid on our stock.</w:t>
      </w:r>
    </w:p>
    <w:p>
      <w:pPr>
        <w:spacing w:after="0" w:line="17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u w:val="single" w:color="auto"/>
          <w:color w:val="auto"/>
        </w:rPr>
        <w:t>Credit Lines and Other Capital Resources</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businesses are seasonal, with accounts receivable balances historically increasing between January and April,</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of typically higher sales volumes and extended payment terms made available to our customers, and typically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four-year revolving credit facility that expires in July 2015. Included in our $150.0 million revolving credit facility is a $20.0 million sublimit for standby letters of credit and a $20.0 million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approximately $11.6 million. These facilities bear interest at various rates depending on the rates in their respective countries of operation. As of January 31, 2014, we had no outstanding short-term debt under our credit facilities and $13.0 million of outstanding letters of credit. As of January 31, 2014, we had an aggregate amount of $148.6 million of unutilized availability under our credit agreements.</w:t>
      </w:r>
    </w:p>
    <w:p>
      <w:pPr>
        <w:spacing w:after="0" w:line="178" w:lineRule="exact"/>
        <w:rPr>
          <w:sz w:val="20"/>
          <w:szCs w:val="20"/>
          <w:color w:val="auto"/>
        </w:rPr>
      </w:pPr>
    </w:p>
    <w:p>
      <w:pPr>
        <w:ind w:right="20" w:firstLine="270"/>
        <w:spacing w:after="0" w:line="285" w:lineRule="auto"/>
        <w:rPr>
          <w:sz w:val="20"/>
          <w:szCs w:val="20"/>
          <w:color w:val="auto"/>
        </w:rPr>
      </w:pPr>
      <w:r>
        <w:rPr>
          <w:rFonts w:ascii="Arial" w:cs="Arial" w:eastAsia="Arial" w:hAnsi="Arial"/>
          <w:sz w:val="16"/>
          <w:szCs w:val="16"/>
          <w:color w:val="auto"/>
        </w:rPr>
        <w:t>Our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in the amount for payments of cash dividends and stock repurchases as long as our debt to earnings before interest, tax, depreciation, and amortization (“EBITDA”) ratio from the previous quarter compliance certificate is less than or equal to 2.75; however, we are limited to $50 million per fiscal year if our debt to EBITDA ratio from the previous quarter compliance certificate is greater than 2.75. As of January 31, 2014, we were not limited to payments of cash dividends and stock repurchases as our debt to EBITDA ratio was below 2.75. We were also in compliance with all covenants related to our credit agreement for our revolving credit facility as of January 31, 2014, and we expect to be in compliance with all covenants during the remainder of fiscal 2014.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the first quarter of fiscal 2014 by Standard and Poor’s Ratings Group at BBB and by Moody’s Investors Service at Baa3.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fiscal 2009, we established our Red Iron joint venture with TCFIF. The purpose of Red Iron is to provide inventory financing, including floor plan and open account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$3.7 million of receivables from us during the first quarter of fiscal 2014. As of January 31, 2014, $11.9 million of receivables financed by a third party financing company, excluding Red Iron, were outstanding. See our most recently filed Annual Report on Form 10-K for further details regarding our customer financing arrangements and contractual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subject to the effects of inflation, deflation, and changing prices. In the first quarter of fiscal 2014, average prices paid for commodities and components we purchase were slightly higher compared to the average prices paid in the first quarter of fiscal 2013, which hindered our gross margin rate in the first quarter of fiscal 2014 compared to the first quarter of fiscal 2013. We will continue to closely follow the commodities and components that affect our product lines, and we anticipate limited inflationary pressure on average prices to be paid for commodities and components for the remainder of fiscal 2014, causing them to be slightly higher than average prices paid for commodities and components during fiscal 2013. Historically, we have mitigated, and we</w:t>
      </w:r>
    </w:p>
    <w:p>
      <w:pPr>
        <w:sectPr>
          <w:pgSz w:w="11900" w:h="16874" w:orient="portrait"/>
          <w:cols w:equalWidth="0" w:num="1">
            <w:col w:w="11420"/>
          </w:cols>
          <w:pgMar w:left="240" w:top="125" w:right="239" w:bottom="0" w:gutter="0" w:footer="0" w:header="0"/>
        </w:sectPr>
      </w:pPr>
    </w:p>
    <w:bookmarkStart w:id="15" w:name="page16"/>
    <w:bookmarkEnd w:id="15"/>
    <w:p>
      <w:pPr>
        <w:spacing w:after="0" w:line="10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currently expect to continue to mitigate, commodity costs increases, in part, by collaborating with suppliers, reviewing alternative sourcing options, substituting materials, engaging in internal cost reduction efforts, and increasing prices on some of our products, all as appropriate.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2013 for a discussion of our critical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 new accounting pronouncement that has been issued but not yet effective for us during the first quarter of fiscal 2014 has had or is expected to have a material impact on our consolidated financial statements.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(“Securities Act”), and Section 21E of the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7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ind w:left="260" w:right="60" w:hanging="252"/>
        <w:spacing w:after="0" w:line="284"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2" w:lineRule="exact"/>
        <w:rPr>
          <w:rFonts w:ascii="Arial" w:cs="Arial" w:eastAsia="Arial" w:hAnsi="Arial"/>
          <w:sz w:val="16"/>
          <w:szCs w:val="16"/>
          <w:color w:val="auto"/>
        </w:rPr>
      </w:pPr>
    </w:p>
    <w:p>
      <w:pPr>
        <w:jc w:val="both"/>
        <w:ind w:left="260" w:right="240" w:hanging="252"/>
        <w:spacing w:after="0" w:line="250"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 w:lineRule="exact"/>
        <w:rPr>
          <w:rFonts w:ascii="Arial" w:cs="Arial" w:eastAsia="Arial" w:hAnsi="Arial"/>
          <w:sz w:val="18"/>
          <w:szCs w:val="18"/>
          <w:color w:val="auto"/>
        </w:rPr>
      </w:pPr>
    </w:p>
    <w:p>
      <w:pPr>
        <w:ind w:left="260" w:right="240" w:hanging="252"/>
        <w:spacing w:after="0" w:line="265" w:lineRule="auto"/>
        <w:tabs>
          <w:tab w:leader="none" w:pos="224"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Increases in the cost, or disruption in the availability, of raw materials, components, and parts containing various commodities that we purchase, such as steel, aluminum, petroleum-based resins, linerboard, copper, lead, rubber, engines, transmissions, transaxles, hydraulics, electric motors, and other commodities and components, and increases in our other costs of doing business, such as transportation costs.</w:t>
      </w:r>
    </w:p>
    <w:p>
      <w:pPr>
        <w:ind w:left="260" w:right="320" w:hanging="252"/>
        <w:spacing w:after="0" w:line="265" w:lineRule="auto"/>
        <w:tabs>
          <w:tab w:leader="none" w:pos="224"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certain factors, including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availability of cash or credit to professional segment customers on acceptable terms to finance new product purchases; and the amount of government revenues, budget, and spending levels for grounds maintenance equipment.</w:t>
      </w:r>
    </w:p>
    <w:p>
      <w:pPr>
        <w:spacing w:after="0" w:line="1" w:lineRule="exact"/>
        <w:rPr>
          <w:rFonts w:ascii="Arial" w:cs="Arial" w:eastAsia="Arial" w:hAnsi="Arial"/>
          <w:sz w:val="17"/>
          <w:szCs w:val="17"/>
          <w:color w:val="auto"/>
        </w:rPr>
      </w:pPr>
    </w:p>
    <w:p>
      <w:pPr>
        <w:ind w:left="260" w:right="220" w:hanging="252"/>
        <w:spacing w:after="0" w:line="265" w:lineRule="auto"/>
        <w:tabs>
          <w:tab w:leader="none" w:pos="224"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consumers buying our products at mass retailers and home centers, such as The Home Depot, Inc., the amount of product placement at retailers, consumer confidence and spending levels, and changing buying patterns of customers.</w:t>
      </w:r>
    </w:p>
    <w:p>
      <w:pPr>
        <w:ind w:left="260" w:right="80" w:hanging="252"/>
        <w:spacing w:after="0" w:line="281"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6"/>
          <w:szCs w:val="16"/>
          <w:color w:val="auto"/>
        </w:rPr>
      </w:pPr>
    </w:p>
    <w:p>
      <w:pPr>
        <w:ind w:left="260" w:right="320" w:hanging="252"/>
        <w:spacing w:after="0" w:line="281" w:lineRule="auto"/>
        <w:tabs>
          <w:tab w:leader="none" w:pos="224" w:val="left"/>
        </w:tabs>
        <w:numPr>
          <w:ilvl w:val="0"/>
          <w:numId w:val="1"/>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accounting, and business factors; including political, economic and/or social instability, and tax policies in the countries in which we manufacture or sell our products;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4" w:lineRule="exact"/>
        <w:rPr>
          <w:rFonts w:ascii="Arial" w:cs="Arial" w:eastAsia="Arial" w:hAnsi="Arial"/>
          <w:sz w:val="16"/>
          <w:szCs w:val="16"/>
          <w:color w:val="auto"/>
        </w:rPr>
      </w:pPr>
    </w:p>
    <w:p>
      <w:pPr>
        <w:ind w:left="260" w:right="160" w:hanging="252"/>
        <w:spacing w:after="0" w:line="277" w:lineRule="auto"/>
        <w:tabs>
          <w:tab w:leader="none" w:pos="224" w:val="left"/>
        </w:tabs>
        <w:numPr>
          <w:ilvl w:val="0"/>
          <w:numId w:val="1"/>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400" w:hanging="252"/>
        <w:spacing w:after="0" w:line="258"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1" w:lineRule="exact"/>
        <w:rPr>
          <w:rFonts w:ascii="Arial" w:cs="Arial" w:eastAsia="Arial" w:hAnsi="Arial"/>
          <w:sz w:val="18"/>
          <w:szCs w:val="18"/>
          <w:color w:val="auto"/>
        </w:rPr>
      </w:pPr>
    </w:p>
    <w:p>
      <w:pPr>
        <w:ind w:left="260" w:right="140" w:hanging="252"/>
        <w:spacing w:after="0" w:line="302"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manufacture our products at and distribute our products from several locations in the United States and internationally. Any disruption at any of these facilities or our inability to cost-effectively expand existing, open and manage new facilities, including our new distribution facility in Ankeny, Iowa, and/or move production between manufacturing facilities could adversely affect our business and operating results. In late fiscal 2013, we acquired a</w:t>
      </w:r>
    </w:p>
    <w:p>
      <w:pPr>
        <w:sectPr>
          <w:pgSz w:w="11900" w:h="16944" w:orient="portrait"/>
          <w:cols w:equalWidth="0" w:num="1">
            <w:col w:w="11400"/>
          </w:cols>
          <w:pgMar w:left="240" w:top="125" w:right="259" w:bottom="0" w:gutter="0" w:footer="0" w:header="0"/>
        </w:sectPr>
      </w:pPr>
    </w:p>
    <w:bookmarkStart w:id="16" w:name="page17"/>
    <w:bookmarkEnd w:id="16"/>
    <w:p>
      <w:pPr>
        <w:ind w:left="260" w:right="80"/>
        <w:spacing w:after="0" w:line="256" w:lineRule="auto"/>
        <w:rPr>
          <w:sz w:val="20"/>
          <w:szCs w:val="20"/>
          <w:color w:val="auto"/>
        </w:rPr>
      </w:pPr>
      <w:r>
        <w:rPr>
          <w:rFonts w:ascii="Arial" w:cs="Arial" w:eastAsia="Arial" w:hAnsi="Arial"/>
          <w:sz w:val="18"/>
          <w:szCs w:val="18"/>
          <w:color w:val="auto"/>
        </w:rPr>
        <w:t>company and began operations at a new micro-irrigation facility in China. If this facility does not produce the anticipated manufacturing or operational efficiencies, or if the micro-irrigation products to be produced at this facility are not accepted into the new geographic markets at expected levels, we may not recover our investment in the new facility and our operating results may be adversely affected.</w:t>
      </w:r>
    </w:p>
    <w:p>
      <w:pPr>
        <w:jc w:val="both"/>
        <w:ind w:left="260" w:right="12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and alliances, stronger customer relations, and new joint ventures and partnerships, all of which are risky and could harm our business, particularly if we are not able to successfully integrate such acquisitions and alliances, joint ventures, and partnerships.</w:t>
      </w:r>
    </w:p>
    <w:p>
      <w:pPr>
        <w:spacing w:after="0" w:line="1"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9" w:lineRule="exact"/>
        <w:rPr>
          <w:rFonts w:ascii="Arial" w:cs="Arial" w:eastAsia="Arial" w:hAnsi="Arial"/>
          <w:sz w:val="18"/>
          <w:szCs w:val="18"/>
          <w:color w:val="auto"/>
        </w:rPr>
      </w:pPr>
    </w:p>
    <w:p>
      <w:pPr>
        <w:ind w:left="260" w:right="80" w:hanging="252"/>
        <w:spacing w:after="0" w:line="281"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also may adversely affect our operating results, including, in particular, (i) taxation and tax policy changes, tax rate changes, new tax laws, revised tax law interpretations, or expiration of the domestic research and development tax credit, which individually or in combination may cause our effective tax rate to increase, or (ii) new, recently enacted or revised healthcare laws or regulations, which may cause us to incur higher employee healthcare and other costs.</w:t>
      </w:r>
    </w:p>
    <w:p>
      <w:pPr>
        <w:spacing w:after="0" w:line="4" w:lineRule="exact"/>
        <w:rPr>
          <w:rFonts w:ascii="Arial" w:cs="Arial" w:eastAsia="Arial" w:hAnsi="Arial"/>
          <w:sz w:val="16"/>
          <w:szCs w:val="16"/>
          <w:color w:val="auto"/>
        </w:rPr>
      </w:pPr>
    </w:p>
    <w:p>
      <w:pPr>
        <w:ind w:left="260" w:right="2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United States Environmental Protection Agency has adopted increasingly stringent engine emission regulations, including Tier 4 emission requirements applicable to diesel engines in specified horsepower ranges that are used in some of our products. Beginning January 1, 2013, such requirements expanded to additional horsepower categories and, accordingly, apply to more of our products. Although we have developed plans to achieve substantial compliance with Tier 4 diesel engine emission requirements, these plans are subject to many variables including, among others, the ability of our suppliers to provide compliant engines on a timely basis or our ability to meet our production schedule. If we are unable to successfully execute such plans, our ability to sell our products into the market may be inhibited, which could adversely affect our competitive position and financial results. To the extent in which we are able to implement price increases to cover or partially offset costs related to research, development, engineering, and other expenses to design Tier 4 diesel engine compliant products in the form of price increases to our customers, and/or our competitors implement different strategies with respect to compliance with Tier 4 diesel engine emission requirements, we may experience lower market demand for our products that may, ultimately, adversely affect our profit margins, net sales, and overall financial results. Alternatively, if our competitors implement different strategies with respect to compliance with Tier 4 requirements that, either in the short term or over the long term, enable them to limit price increases, introduce product modifications that gain widespread market acceptance, or otherwise changing customer preferences and buying patterns in ways that we do not currently anticipate, we may experience lower market demand for our products that may, ultimately, adversely affect our net sales, profit margins, and overall financial results.</w:t>
      </w:r>
    </w:p>
    <w:p>
      <w:pPr>
        <w:spacing w:after="0" w:line="3"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Climate change and climate change regulations may adversely impact our operations.</w:t>
      </w:r>
    </w:p>
    <w:p>
      <w:pPr>
        <w:spacing w:after="0" w:line="9" w:lineRule="exact"/>
        <w:rPr>
          <w:rFonts w:ascii="Arial" w:cs="Arial" w:eastAsia="Arial" w:hAnsi="Arial"/>
          <w:sz w:val="18"/>
          <w:szCs w:val="18"/>
          <w:color w:val="auto"/>
        </w:rPr>
      </w:pPr>
    </w:p>
    <w:p>
      <w:pPr>
        <w:ind w:left="260" w:right="16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required to comply with “conflict minerals” rules promulgated by the SEC, which has imposed costs on us and raised reputational and other risks. The new rules required us to engage in due diligence efforts for the 2013 calendar year and such efforts are ongoing, with initial disclosures required no later than May 31, 2014, and subsequent disclosures required no later than May 31 of each following year. We have, and we expect that we will continue to, incur additional costs and expenses, which may be significant in order to comply with these rules. Since our supply chain is complex, ultimately we may not be able to sufficiently verify the origin of the conflict minerals used in our products through the due diligence procedures that we implement, which may adversely affect our reputation with our customers, shareholders, and other stakeholders.</w:t>
      </w:r>
    </w:p>
    <w:p>
      <w:pPr>
        <w:spacing w:after="0" w:line="1" w:lineRule="exact"/>
        <w:rPr>
          <w:rFonts w:ascii="Arial" w:cs="Arial" w:eastAsia="Arial" w:hAnsi="Arial"/>
          <w:sz w:val="17"/>
          <w:szCs w:val="17"/>
          <w:color w:val="auto"/>
        </w:rPr>
      </w:pPr>
    </w:p>
    <w:p>
      <w:pPr>
        <w:ind w:left="26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ind w:left="260" w:right="200" w:hanging="252"/>
        <w:spacing w:after="0" w:line="323"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80" w:hanging="252"/>
        <w:spacing w:after="0" w:line="254"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information systems are critical to our business. If our information systems or those of our business partners or third party service providers fail to adequately perform, or if we, our business partners or third party service providers experience a disruption of these systems, including by theft, loss or damage from unauthorized access, security breaches, cyber attacks, computer viruses, power loss or other disruptive events, our business, reputation, operating results, or financial condition could be adversely affected.</w:t>
      </w:r>
    </w:p>
    <w:p>
      <w:pPr>
        <w:spacing w:after="0" w:line="2" w:lineRule="exact"/>
        <w:rPr>
          <w:rFonts w:ascii="Arial" w:cs="Arial" w:eastAsia="Arial" w:hAnsi="Arial"/>
          <w:sz w:val="18"/>
          <w:szCs w:val="18"/>
          <w:color w:val="auto"/>
        </w:rPr>
      </w:pPr>
    </w:p>
    <w:p>
      <w:pPr>
        <w:ind w:left="260" w:right="8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business, reputation, operating results or financial condition.</w:t>
      </w:r>
    </w:p>
    <w:p>
      <w:pPr>
        <w:ind w:left="260" w:right="46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ind w:left="260" w:right="20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 w:lineRule="exact"/>
        <w:rPr>
          <w:rFonts w:ascii="Arial" w:cs="Arial" w:eastAsia="Arial" w:hAnsi="Arial"/>
          <w:sz w:val="18"/>
          <w:szCs w:val="18"/>
          <w:color w:val="auto"/>
        </w:rPr>
      </w:pPr>
    </w:p>
    <w:p>
      <w:pPr>
        <w:ind w:left="260" w:right="40" w:hanging="252"/>
        <w:spacing w:after="0" w:line="265"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expanding our corporate facilities and could experience disruptions to our operations in connection with such expansion efforts.</w:t>
      </w:r>
    </w:p>
    <w:p>
      <w:pPr>
        <w:spacing w:after="0" w:line="9" w:lineRule="exact"/>
        <w:rPr>
          <w:rFonts w:ascii="Arial" w:cs="Arial" w:eastAsia="Arial" w:hAnsi="Arial"/>
          <w:sz w:val="18"/>
          <w:szCs w:val="18"/>
          <w:color w:val="auto"/>
        </w:rPr>
      </w:pPr>
    </w:p>
    <w:p>
      <w:pPr>
        <w:ind w:left="260" w:right="40" w:hanging="252"/>
        <w:spacing w:after="0" w:line="287"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is subject to a number of other factors that may adversely affect our operating results, financial condition, or business, such as: our ability to achieve the revenue growth and operating earnings goals of our “Destination 2014” initiative; natural or man-made disasters or global pandemics that may result in shortages of raw materials and components, higher fuel and commodity costs, delays in shipments to customers, and increases in insurance premiums; financial difficulties and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U.S. and world economies.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ectPr>
          <w:pgSz w:w="11900" w:h="16838" w:orient="portrait"/>
          <w:cols w:equalWidth="0" w:num="1">
            <w:col w:w="11420"/>
          </w:cols>
          <w:pgMar w:left="240" w:top="125" w:right="239" w:bottom="56" w:gutter="0" w:footer="0" w:header="0"/>
        </w:sectPr>
      </w:pPr>
    </w:p>
    <w:bookmarkStart w:id="17" w:name="page18"/>
    <w:bookmarkEnd w:id="17"/>
    <w:p>
      <w:pPr>
        <w:ind w:right="100" w:firstLine="270"/>
        <w:spacing w:after="0" w:line="270"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undertake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u w:val="single" w:color="auto"/>
          <w:color w:val="auto"/>
        </w:rPr>
        <w:t>Foreign Currency Exchange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normal course of business, we actively manage the exposure of our foreign currency exchange rate market risk</w:t>
      </w:r>
      <w:r>
        <w:rPr>
          <w:rFonts w:ascii="Arial" w:cs="Arial" w:eastAsia="Arial" w:hAnsi="Arial"/>
          <w:sz w:val="18"/>
          <w:szCs w:val="18"/>
          <w:i w:val="1"/>
          <w:iCs w:val="1"/>
          <w:color w:val="auto"/>
        </w:rPr>
        <w:t xml:space="preserve"> </w:t>
      </w:r>
      <w:r>
        <w:rPr>
          <w:rFonts w:ascii="Arial" w:cs="Arial" w:eastAsia="Arial" w:hAnsi="Arial"/>
          <w:sz w:val="18"/>
          <w:szCs w:val="18"/>
          <w:color w:val="auto"/>
        </w:rPr>
        <w:t>by entering into various hedging instruments, authorized under company policies that place controls on these activities, with counterparties that are highly rated financial institutions. Our hedging activities involve the primary use of forward currency contracts. We also utilize cross currency swaps to offset intercompany loan exposures. We use derivative instruments only in an attempt to limit underlying exposure from currency fluctuations and to minimize earnings and cash flow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Yuan , and the Romanian New Leu against the U.S. dollar, as well as the Romanian New Leu against the Euro.</w:t>
      </w:r>
    </w:p>
    <w:p>
      <w:pPr>
        <w:spacing w:after="0" w:line="165"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67" w:lineRule="exact"/>
        <w:rPr>
          <w:sz w:val="20"/>
          <w:szCs w:val="20"/>
          <w:color w:val="auto"/>
        </w:rPr>
      </w:pPr>
    </w:p>
    <w:p>
      <w:pPr>
        <w:jc w:val="both"/>
        <w:ind w:right="140" w:firstLine="270"/>
        <w:spacing w:after="0" w:line="279" w:lineRule="auto"/>
        <w:rPr>
          <w:sz w:val="20"/>
          <w:szCs w:val="20"/>
          <w:color w:val="auto"/>
        </w:rPr>
      </w:pPr>
      <w:r>
        <w:rPr>
          <w:rFonts w:ascii="Arial" w:cs="Arial" w:eastAsia="Arial" w:hAnsi="Arial"/>
          <w:sz w:val="17"/>
          <w:szCs w:val="17"/>
          <w:color w:val="auto"/>
        </w:rPr>
        <w:t>The following foreign currency exchange contracts held by us have maturity dates in fiscal 2014 and 2015.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January 31, 2014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Value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vMerge w:val="continue"/>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Contracted</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(except average contracted rate)</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Income (Loss)</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(Loss) Gain</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0.9216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58,915.9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1.0242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466.9</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96,681.1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1.6201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13.6003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(30,661.1)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(521.7)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Romanian New Leu</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4.5281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11,612.1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u w:val="single" w:color="auto"/>
          <w:color w:val="auto"/>
        </w:rPr>
        <w:t>Interest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Our market risk on interest rates relates primarily to LIBOR-based short-term debt from commercial banks, as well as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fair value of long-term debt resulting from a potential decrease in interest rates. However, we do not have cash flow or earnings exposure due to market risks on long-term debt.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pacing w:after="0" w:line="15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petroleum-based resin,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ectPr>
          <w:pgSz w:w="11900" w:h="16838" w:orient="portrait"/>
          <w:cols w:equalWidth="0" w:num="1">
            <w:col w:w="11420"/>
          </w:cols>
          <w:pgMar w:left="240" w:top="125" w:right="239" w:bottom="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fiscal quarter ended January 31, 2014 that has materially affected, or is reasonably likely to materially affect, our internal control over financial reporting.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claims of patent infringement.</w:t>
      </w:r>
    </w:p>
    <w:p>
      <w:pPr>
        <w:spacing w:after="0" w:line="166"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For a description of our material legal proceedings, see Notes to Condensed Consolidated Financial Statements under the heading “Litigation” included in Item 1 of this Quarterly Report on Form 10-Q, which is incorporated into this Part II. Item 1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first quarter of fiscal 2014 stock repurchase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Number of</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2"/>
                <w:szCs w:val="12"/>
                <w:color w:val="auto"/>
              </w:rPr>
            </w:pPr>
          </w:p>
        </w:tc>
        <w:tc>
          <w:tcPr>
            <w:tcW w:w="11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3"/>
              </w:rPr>
              <w:t>Price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Purchased</w:t>
            </w:r>
          </w:p>
        </w:tc>
        <w:tc>
          <w:tcPr>
            <w:tcW w:w="1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4"/>
              </w:rPr>
              <w:t>Paid per</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00" w:type="dxa"/>
            <w:vAlign w:val="bottom"/>
          </w:tcPr>
          <w:p>
            <w:pPr>
              <w:spacing w:after="0"/>
              <w:rPr>
                <w:sz w:val="12"/>
                <w:szCs w:val="12"/>
                <w:color w:val="auto"/>
              </w:rPr>
            </w:pPr>
          </w:p>
        </w:tc>
        <w:tc>
          <w:tcPr>
            <w:tcW w:w="11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2"/>
              </w:rPr>
              <w:t>Share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420" w:type="dxa"/>
            <w:vAlign w:val="bottom"/>
            <w:gridSpan w:val="3"/>
            <w:vMerge w:val="continue"/>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Purchased (1,2,3)</w:t>
            </w:r>
          </w:p>
        </w:tc>
        <w:tc>
          <w:tcPr>
            <w:tcW w:w="100" w:type="dxa"/>
            <w:vAlign w:val="bottom"/>
          </w:tcPr>
          <w:p>
            <w:pPr>
              <w:spacing w:after="0"/>
              <w:rPr>
                <w:sz w:val="14"/>
                <w:szCs w:val="14"/>
                <w:color w:val="auto"/>
              </w:rPr>
            </w:pPr>
          </w:p>
        </w:tc>
        <w:tc>
          <w:tcPr>
            <w:tcW w:w="1140" w:type="dxa"/>
            <w:vAlign w:val="bottom"/>
          </w:tcPr>
          <w:p>
            <w:pPr>
              <w:jc w:val="center"/>
              <w:ind w:left="368"/>
              <w:spacing w:after="0"/>
              <w:rPr>
                <w:sz w:val="20"/>
                <w:szCs w:val="20"/>
                <w:color w:val="auto"/>
              </w:rPr>
            </w:pPr>
            <w:r>
              <w:rPr>
                <w:rFonts w:ascii="Arial" w:cs="Arial" w:eastAsia="Arial" w:hAnsi="Arial"/>
                <w:sz w:val="14"/>
                <w:szCs w:val="14"/>
                <w:b w:val="1"/>
                <w:bCs w:val="1"/>
                <w:color w:val="auto"/>
                <w:w w:val="99"/>
              </w:rPr>
              <w:t>(or Unit)</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or Programs (1)</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2013 through November 29, 2013</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16,122</w:t>
            </w:r>
          </w:p>
        </w:tc>
        <w:tc>
          <w:tcPr>
            <w:tcW w:w="12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57.73</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16,122</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2013 through December 27, 2013</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440,037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60.40</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437,508</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3,889,432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28, 2013 through January 31, 2014</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230,654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63.06</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229,194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3,660,238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686,813</w:t>
            </w:r>
          </w:p>
        </w:tc>
        <w:tc>
          <w:tcPr>
            <w:tcW w:w="12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61.23</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682,824</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328"/>
        <w:spacing w:after="0" w:line="264" w:lineRule="auto"/>
        <w:tabs>
          <w:tab w:leader="none" w:pos="667"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11, 2012, the company’s Board of Directors authorized the repurchase of 5,000,000 shares of the company’s common stock in open-market or in privately negotiated transactions. This program has no expiration date but may be terminated by the company’s Board of Directors at any time.</w:t>
      </w:r>
    </w:p>
    <w:p>
      <w:pPr>
        <w:spacing w:after="0" w:line="181" w:lineRule="exact"/>
        <w:rPr>
          <w:rFonts w:ascii="Arial" w:cs="Arial" w:eastAsia="Arial" w:hAnsi="Arial"/>
          <w:sz w:val="18"/>
          <w:szCs w:val="18"/>
          <w:color w:val="auto"/>
        </w:rPr>
      </w:pPr>
    </w:p>
    <w:p>
      <w:pPr>
        <w:jc w:val="both"/>
        <w:ind w:left="660" w:right="240" w:hanging="328"/>
        <w:spacing w:after="0" w:line="264" w:lineRule="auto"/>
        <w:tabs>
          <w:tab w:leader="none" w:pos="66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2,661 shares of the company’s common stock surrendered by employees to satisfy minimum tax withholding obligations upon vesting of restricted stock granted under the company’s equity and incentive plan. These 2,661 shares were not repurchased under the company’s repurchase program described in footnote 1 above.</w:t>
      </w:r>
    </w:p>
    <w:p>
      <w:pPr>
        <w:sectPr>
          <w:pgSz w:w="11900" w:h="16838" w:orient="portrait"/>
          <w:cols w:equalWidth="0" w:num="1">
            <w:col w:w="11420"/>
          </w:cols>
          <w:pgMar w:left="240" w:top="368" w:right="239" w:bottom="137" w:gutter="0" w:footer="0" w:header="0"/>
        </w:sectPr>
      </w:pPr>
    </w:p>
    <w:bookmarkStart w:id="19" w:name="page20"/>
    <w:bookmarkEnd w:id="19"/>
    <w:p>
      <w:pPr>
        <w:spacing w:after="0" w:line="59" w:lineRule="exact"/>
        <w:rPr>
          <w:sz w:val="20"/>
          <w:szCs w:val="20"/>
          <w:color w:val="auto"/>
        </w:rPr>
      </w:pPr>
    </w:p>
    <w:p>
      <w:pPr>
        <w:ind w:left="660" w:right="100" w:hanging="328"/>
        <w:spacing w:after="0" w:line="264"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1,323 units (shares) of the company’s common stock purchased in open-market transactions at an average price of $64.66 per share on behalf of a rabbi trust formed to pay benefit obligations of the company to participants in deferred compensation plans. These 1,323 shares were not repurchased under the company’s repurchase program described in footnote 1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jc w:val="right"/>
              <w:ind w:right="34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97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720" w:type="dxa"/>
            <w:vAlign w:val="bottom"/>
          </w:tcPr>
          <w:p>
            <w:pPr>
              <w:ind w:left="334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   Exhibits</w:t>
            </w:r>
          </w:p>
        </w:tc>
        <w:tc>
          <w:tcPr>
            <w:tcW w:w="9720" w:type="dxa"/>
            <w:vAlign w:val="bottom"/>
          </w:tcPr>
          <w:p>
            <w:pPr>
              <w:spacing w:after="0"/>
              <w:rPr>
                <w:sz w:val="24"/>
                <w:szCs w:val="24"/>
                <w:color w:val="auto"/>
              </w:rPr>
            </w:pPr>
          </w:p>
        </w:tc>
      </w:tr>
      <w:tr>
        <w:trPr>
          <w:trHeight w:val="418"/>
        </w:trPr>
        <w:tc>
          <w:tcPr>
            <w:tcW w:w="1280" w:type="dxa"/>
            <w:vAlign w:val="bottom"/>
          </w:tcPr>
          <w:p>
            <w:pPr>
              <w:ind w:left="48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4"/>
              </w:rPr>
              <w:t>Third Amendment to Second Amended and Restated Repurchase Agreement (Two Step), dated December 31, 2013, by and</w:t>
            </w: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between The Toro Company and Red Iron Acceptance, LLC (filed herewith).</w:t>
            </w:r>
          </w:p>
        </w:tc>
      </w:tr>
      <w:tr>
        <w:trPr>
          <w:trHeight w:val="418"/>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3.1 and 4.1</w:t>
            </w:r>
          </w:p>
        </w:tc>
        <w:tc>
          <w:tcPr>
            <w:tcW w:w="9720" w:type="dxa"/>
            <w:vAlign w:val="bottom"/>
          </w:tcPr>
          <w:p>
            <w:pPr>
              <w:ind w:left="340"/>
              <w:spacing w:after="0"/>
              <w:rPr>
                <w:sz w:val="20"/>
                <w:szCs w:val="20"/>
                <w:color w:val="auto"/>
              </w:rPr>
            </w:pPr>
            <w:r>
              <w:rPr>
                <w:rFonts w:ascii="Arial" w:cs="Arial" w:eastAsia="Arial" w:hAnsi="Arial"/>
                <w:sz w:val="18"/>
                <w:szCs w:val="18"/>
                <w:color w:val="auto"/>
                <w:w w:val="95"/>
              </w:rPr>
              <w:t>Restated Certificate of Incorporation of The Toro Company (incorporated by reference to Exhibit 3.1 to Registrant’s Current</w:t>
            </w: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Report on Form 8-K dated June 17, 2008, Commission File No. 1-8649).</w:t>
            </w:r>
          </w:p>
        </w:tc>
      </w:tr>
      <w:tr>
        <w:trPr>
          <w:trHeight w:val="418"/>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3.2 and 4.2</w:t>
            </w:r>
          </w:p>
        </w:tc>
        <w:tc>
          <w:tcPr>
            <w:tcW w:w="9720" w:type="dxa"/>
            <w:vAlign w:val="bottom"/>
          </w:tcPr>
          <w:p>
            <w:pPr>
              <w:ind w:left="340"/>
              <w:spacing w:after="0"/>
              <w:rPr>
                <w:sz w:val="20"/>
                <w:szCs w:val="20"/>
                <w:color w:val="auto"/>
              </w:rPr>
            </w:pPr>
            <w:r>
              <w:rPr>
                <w:rFonts w:ascii="Arial" w:cs="Arial" w:eastAsia="Arial" w:hAnsi="Arial"/>
                <w:sz w:val="18"/>
                <w:szCs w:val="18"/>
                <w:color w:val="auto"/>
                <w:w w:val="91"/>
              </w:rPr>
              <w:t>Certificate of Amendment to Restated Certificate of Incorporation of The Toro Company (incorporated by reference to Exhibit 3.1</w:t>
            </w: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to Registrant’s Current Report on Form 8-K dated March 13, 2013, Commission File No. 1-8649).</w:t>
            </w:r>
          </w:p>
        </w:tc>
      </w:tr>
      <w:tr>
        <w:trPr>
          <w:trHeight w:val="418"/>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3.3 and 4.3</w:t>
            </w:r>
          </w:p>
        </w:tc>
        <w:tc>
          <w:tcPr>
            <w:tcW w:w="9720" w:type="dxa"/>
            <w:vAlign w:val="bottom"/>
          </w:tcPr>
          <w:p>
            <w:pPr>
              <w:ind w:left="340"/>
              <w:spacing w:after="0"/>
              <w:rPr>
                <w:sz w:val="20"/>
                <w:szCs w:val="20"/>
                <w:color w:val="auto"/>
              </w:rPr>
            </w:pPr>
            <w:r>
              <w:rPr>
                <w:rFonts w:ascii="Arial" w:cs="Arial" w:eastAsia="Arial" w:hAnsi="Arial"/>
                <w:sz w:val="18"/>
                <w:szCs w:val="18"/>
                <w:color w:val="auto"/>
                <w:w w:val="91"/>
              </w:rPr>
              <w:t>Amended and Restated Bylaws of The Toro Company (incorporated by reference to Exhibit 3.2 to Registrant’s Current Report on</w:t>
            </w: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1280" w:type="dxa"/>
            <w:vAlign w:val="bottom"/>
          </w:tcPr>
          <w:p>
            <w:pPr>
              <w:ind w:left="48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5"/>
              </w:rPr>
              <w:t>Specimen Form of Common Stock Certificate (incorporated by reference to Exhibit 4(c) to Registrant’s Quarterly Report on</w:t>
            </w: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Form 10-Q for the fiscal quarter ended August 1, 2008, Commission File No. 1-8649).</w:t>
            </w:r>
          </w:p>
        </w:tc>
      </w:tr>
      <w:tr>
        <w:trPr>
          <w:trHeight w:val="418"/>
        </w:trPr>
        <w:tc>
          <w:tcPr>
            <w:tcW w:w="1280" w:type="dxa"/>
            <w:vAlign w:val="bottom"/>
          </w:tcPr>
          <w:p>
            <w:pPr>
              <w:ind w:left="48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0"/>
              </w:rPr>
              <w:t>Indenture dated as of January 31, 1997, between Registrant and First National Trust Association, as Trustee, relating to The Toro</w:t>
            </w: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3"/>
              </w:rPr>
              <w:t>Company’s 7.80% Debentures due June 15, 2027 (incorporated by reference to Exhibit 4(a) to Registrant’s Current Report on</w:t>
            </w: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Form 8-K dated June 24, 1997, Commission File No. 1-8649).</w:t>
            </w:r>
          </w:p>
        </w:tc>
      </w:tr>
      <w:tr>
        <w:trPr>
          <w:trHeight w:val="418"/>
        </w:trPr>
        <w:tc>
          <w:tcPr>
            <w:tcW w:w="1280" w:type="dxa"/>
            <w:vAlign w:val="bottom"/>
          </w:tcPr>
          <w:p>
            <w:pPr>
              <w:ind w:left="48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1"/>
              </w:rPr>
              <w:t>Indenture dated as of April 20, 2007, between Registrant and The Bank of New York Trust Company, N.A., as Trustee, relating to</w:t>
            </w: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6"/>
              </w:rPr>
              <w:t>The Toro Company’s 6.625% Notes due May 1, 2037 (incorporated by reference to Exhibit 4.3 to Registrant’s Registration</w:t>
            </w: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4"/>
              </w:rPr>
              <w:t>Statement on Form S-3 filed with the Securities and Exchange Commission on April 23, 2007, Registration No. 333-142282).</w:t>
            </w:r>
          </w:p>
        </w:tc>
      </w:tr>
      <w:tr>
        <w:trPr>
          <w:trHeight w:val="418"/>
        </w:trPr>
        <w:tc>
          <w:tcPr>
            <w:tcW w:w="1280" w:type="dxa"/>
            <w:vAlign w:val="bottom"/>
          </w:tcPr>
          <w:p>
            <w:pPr>
              <w:ind w:left="480"/>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1"/>
              </w:rPr>
              <w:t>First Supplemental Indenture dated as of April 26, 2007, between Registrant and The Bank of New York Trust Company, N.A., as</w:t>
            </w: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1"/>
              </w:rPr>
              <w:t>Trustee, relating to The Toro Company’s 6.625% Notes due May 1, 2037 (incorporated by reference to Exhibit 4.1 to Registrant’s</w:t>
            </w: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Current Report on Form 8-K dated April 23, 2007, Commission File No. 1-8649).</w:t>
            </w:r>
          </w:p>
        </w:tc>
      </w:tr>
      <w:tr>
        <w:trPr>
          <w:trHeight w:val="418"/>
        </w:trPr>
        <w:tc>
          <w:tcPr>
            <w:tcW w:w="1280" w:type="dxa"/>
            <w:vAlign w:val="bottom"/>
          </w:tcPr>
          <w:p>
            <w:pPr>
              <w:ind w:left="48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5"/>
              </w:rPr>
              <w:t>Form of The Toro Company 6.625% Note due May 1, 2037 (incorporated by reference to Exhibit 4.2 to Registrant’s Current</w:t>
            </w: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Report on Form 8-K dated April 23, 2007, Commission File No. 1-8649).</w:t>
            </w:r>
          </w:p>
        </w:tc>
      </w:tr>
      <w:tr>
        <w:trPr>
          <w:trHeight w:val="418"/>
        </w:trPr>
        <w:tc>
          <w:tcPr>
            <w:tcW w:w="1280" w:type="dxa"/>
            <w:vAlign w:val="bottom"/>
          </w:tcPr>
          <w:p>
            <w:pPr>
              <w:ind w:left="48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7"/>
              </w:rPr>
              <w:t>Certification of Chief Executive Officer Pursuant to Rule 13a-14(a) (Section 302 of the Sarbanes-Oxley Act of 2002) (filed</w:t>
            </w: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herewith).</w:t>
            </w:r>
          </w:p>
        </w:tc>
      </w:tr>
      <w:tr>
        <w:trPr>
          <w:trHeight w:val="418"/>
        </w:trPr>
        <w:tc>
          <w:tcPr>
            <w:tcW w:w="1280" w:type="dxa"/>
            <w:vAlign w:val="bottom"/>
          </w:tcPr>
          <w:p>
            <w:pPr>
              <w:ind w:left="48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7"/>
              </w:rPr>
              <w:t>Certification of Chief Financial Officer Pursuant to Rule 13a-14(a) (Section 302 of the Sarbanes-Oxley Act of 2002) (filed</w:t>
            </w:r>
          </w:p>
        </w:tc>
      </w:tr>
      <w:tr>
        <w:trPr>
          <w:trHeight w:val="230"/>
        </w:trPr>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herewith).</w:t>
            </w:r>
          </w:p>
        </w:tc>
      </w:tr>
    </w:tbl>
    <w:p>
      <w:pPr>
        <w:spacing w:after="0" w:line="202" w:lineRule="exact"/>
        <w:rPr>
          <w:sz w:val="20"/>
          <w:szCs w:val="20"/>
          <w:color w:val="auto"/>
        </w:rPr>
      </w:pPr>
    </w:p>
    <w:p>
      <w:pPr>
        <w:ind w:left="1960" w:right="200" w:hanging="1479"/>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70" w:lineRule="exact"/>
        <w:rPr>
          <w:sz w:val="20"/>
          <w:szCs w:val="20"/>
          <w:color w:val="auto"/>
        </w:rPr>
      </w:pPr>
    </w:p>
    <w:p>
      <w:pPr>
        <w:ind w:left="1960" w:right="360" w:hanging="1479"/>
        <w:spacing w:after="0" w:line="291" w:lineRule="auto"/>
        <w:tabs>
          <w:tab w:leader="none" w:pos="1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financial information from The Toro Company’s Quarterly Report on Form 10-Q for the quarterly period ended January 31, 2014, filed with the SEC on March 5, 2014, formatted in eXtensible Business Reporting Language (XBRL):</w:t>
      </w:r>
    </w:p>
    <w:p>
      <w:pPr>
        <w:ind w:left="2160" w:hanging="207"/>
        <w:spacing w:after="0"/>
        <w:tabs>
          <w:tab w:leader="none" w:pos="2160" w:val="left"/>
        </w:tabs>
        <w:numPr>
          <w:ilvl w:val="1"/>
          <w:numId w:val="8"/>
        </w:numPr>
        <w:rPr>
          <w:rFonts w:ascii="Arial" w:cs="Arial" w:eastAsia="Arial" w:hAnsi="Arial"/>
          <w:sz w:val="16"/>
          <w:szCs w:val="16"/>
          <w:color w:val="auto"/>
        </w:rPr>
      </w:pPr>
      <w:r>
        <w:rPr>
          <w:rFonts w:ascii="Arial" w:cs="Arial" w:eastAsia="Arial" w:hAnsi="Arial"/>
          <w:sz w:val="16"/>
          <w:szCs w:val="16"/>
          <w:color w:val="auto"/>
        </w:rPr>
        <w:t>Condensed Consolidated Statements of Earnings for the three-month periods ended January 31, 2014 and February 1, 2013,</w:t>
      </w:r>
    </w:p>
    <w:p>
      <w:pPr>
        <w:spacing w:after="0" w:line="32" w:lineRule="exact"/>
        <w:rPr>
          <w:rFonts w:ascii="Arial" w:cs="Arial" w:eastAsia="Arial" w:hAnsi="Arial"/>
          <w:sz w:val="16"/>
          <w:szCs w:val="16"/>
          <w:color w:val="auto"/>
        </w:rPr>
      </w:pPr>
    </w:p>
    <w:p>
      <w:pPr>
        <w:ind w:left="1960" w:right="200" w:hanging="7"/>
        <w:spacing w:after="0" w:line="281" w:lineRule="auto"/>
        <w:tabs>
          <w:tab w:leader="none" w:pos="2225" w:val="left"/>
        </w:tabs>
        <w:numPr>
          <w:ilvl w:val="1"/>
          <w:numId w:val="8"/>
        </w:numPr>
        <w:rPr>
          <w:rFonts w:ascii="Arial" w:cs="Arial" w:eastAsia="Arial" w:hAnsi="Arial"/>
          <w:sz w:val="16"/>
          <w:szCs w:val="16"/>
          <w:color w:val="auto"/>
        </w:rPr>
      </w:pPr>
      <w:r>
        <w:rPr>
          <w:rFonts w:ascii="Arial" w:cs="Arial" w:eastAsia="Arial" w:hAnsi="Arial"/>
          <w:sz w:val="16"/>
          <w:szCs w:val="16"/>
          <w:color w:val="auto"/>
        </w:rPr>
        <w:t>Condensed Consolidated Statements of Comprehensive Income for the three-month periods ended January 31, 2014 and February 1, 2013, (iii) Condensed Consolidated Balance Sheets as of January 31, 2014, February 1, 2013, and October 31, 2013,</w:t>
      </w:r>
    </w:p>
    <w:p>
      <w:pPr>
        <w:spacing w:after="0" w:line="1" w:lineRule="exact"/>
        <w:rPr>
          <w:rFonts w:ascii="Arial" w:cs="Arial" w:eastAsia="Arial" w:hAnsi="Arial"/>
          <w:sz w:val="16"/>
          <w:szCs w:val="16"/>
          <w:color w:val="auto"/>
        </w:rPr>
      </w:pPr>
    </w:p>
    <w:p>
      <w:pPr>
        <w:ind w:left="1960" w:right="120" w:hanging="7"/>
        <w:spacing w:after="0" w:line="261" w:lineRule="auto"/>
        <w:tabs>
          <w:tab w:leader="none" w:pos="2265"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Condensed Consolidated Statement of Cash Flows for the three-month periods ended January 31, 2014 and February 1, 2013, and (v) Notes to Condensed Consolidated Financial Statements (filed herewith).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8260" w:type="dxa"/>
            <w:vAlign w:val="bottom"/>
            <w:gridSpan w:val="2"/>
          </w:tcPr>
          <w:p>
            <w:pPr>
              <w:jc w:val="center"/>
              <w:ind w:right="3070"/>
              <w:spacing w:after="0"/>
              <w:rPr>
                <w:sz w:val="20"/>
                <w:szCs w:val="20"/>
                <w:color w:val="auto"/>
              </w:rPr>
            </w:pPr>
            <w:r>
              <w:rPr>
                <w:rFonts w:ascii="Arial" w:cs="Arial" w:eastAsia="Arial" w:hAnsi="Arial"/>
                <w:sz w:val="18"/>
                <w:szCs w:val="18"/>
                <w:color w:val="auto"/>
                <w:w w:val="96"/>
              </w:rPr>
              <w:t>THE TORO COMPANY</w:t>
            </w:r>
          </w:p>
        </w:tc>
      </w:tr>
      <w:tr>
        <w:trPr>
          <w:trHeight w:val="230"/>
        </w:trPr>
        <w:tc>
          <w:tcPr>
            <w:tcW w:w="3160" w:type="dxa"/>
            <w:vAlign w:val="bottom"/>
          </w:tcPr>
          <w:p>
            <w:pPr>
              <w:spacing w:after="0"/>
              <w:rPr>
                <w:sz w:val="20"/>
                <w:szCs w:val="20"/>
                <w:color w:val="auto"/>
              </w:rPr>
            </w:pPr>
          </w:p>
        </w:tc>
        <w:tc>
          <w:tcPr>
            <w:tcW w:w="8260" w:type="dxa"/>
            <w:vAlign w:val="bottom"/>
            <w:gridSpan w:val="2"/>
          </w:tcPr>
          <w:p>
            <w:pPr>
              <w:jc w:val="center"/>
              <w:ind w:right="3070"/>
              <w:spacing w:after="0"/>
              <w:rPr>
                <w:sz w:val="20"/>
                <w:szCs w:val="20"/>
                <w:color w:val="auto"/>
              </w:rPr>
            </w:pPr>
            <w:r>
              <w:rPr>
                <w:rFonts w:ascii="Arial" w:cs="Arial" w:eastAsia="Arial" w:hAnsi="Arial"/>
                <w:sz w:val="18"/>
                <w:szCs w:val="18"/>
                <w:color w:val="auto"/>
                <w:w w:val="91"/>
              </w:rPr>
              <w:t>(Registrant)</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March 5, 2014</w:t>
            </w:r>
          </w:p>
        </w:tc>
        <w:tc>
          <w:tcPr>
            <w:tcW w:w="8260" w:type="dxa"/>
            <w:vAlign w:val="bottom"/>
            <w:gridSpan w:val="2"/>
          </w:tcPr>
          <w:p>
            <w:pPr>
              <w:ind w:left="2560"/>
              <w:spacing w:after="0"/>
              <w:rPr>
                <w:sz w:val="20"/>
                <w:szCs w:val="20"/>
                <w:color w:val="auto"/>
              </w:rPr>
            </w:pPr>
            <w:r>
              <w:rPr>
                <w:rFonts w:ascii="Arial" w:cs="Arial" w:eastAsia="Arial" w:hAnsi="Arial"/>
                <w:sz w:val="18"/>
                <w:szCs w:val="18"/>
                <w:color w:val="auto"/>
              </w:rPr>
              <w:t>By   /s/ Renee J. Peterson</w:t>
            </w:r>
          </w:p>
        </w:tc>
      </w:tr>
      <w:tr>
        <w:trPr>
          <w:trHeight w:val="182"/>
        </w:trPr>
        <w:tc>
          <w:tcPr>
            <w:tcW w:w="3160" w:type="dxa"/>
            <w:vAlign w:val="bottom"/>
          </w:tcPr>
          <w:p>
            <w:pPr>
              <w:spacing w:after="0"/>
              <w:rPr>
                <w:sz w:val="15"/>
                <w:szCs w:val="15"/>
                <w:color w:val="auto"/>
              </w:rPr>
            </w:pPr>
          </w:p>
        </w:tc>
        <w:tc>
          <w:tcPr>
            <w:tcW w:w="3000" w:type="dxa"/>
            <w:vAlign w:val="bottom"/>
          </w:tcPr>
          <w:p>
            <w:pPr>
              <w:ind w:left="2560"/>
              <w:spacing w:after="0" w:line="182" w:lineRule="exact"/>
              <w:rPr>
                <w:sz w:val="20"/>
                <w:szCs w:val="20"/>
                <w:color w:val="auto"/>
              </w:rPr>
            </w:pPr>
            <w:r>
              <w:rPr>
                <w:rFonts w:ascii="Arial" w:cs="Arial" w:eastAsia="Arial" w:hAnsi="Arial"/>
                <w:sz w:val="18"/>
                <w:szCs w:val="18"/>
                <w:color w:val="auto"/>
                <w:w w:val="79"/>
              </w:rPr>
              <w:t>Renee</w:t>
            </w:r>
          </w:p>
        </w:tc>
        <w:tc>
          <w:tcPr>
            <w:tcW w:w="526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rPr>
              <w:t>J. Peterson</w:t>
            </w:r>
          </w:p>
        </w:tc>
      </w:tr>
      <w:tr>
        <w:trPr>
          <w:trHeight w:val="230"/>
        </w:trPr>
        <w:tc>
          <w:tcPr>
            <w:tcW w:w="3160" w:type="dxa"/>
            <w:vAlign w:val="bottom"/>
          </w:tcPr>
          <w:p>
            <w:pPr>
              <w:spacing w:after="0"/>
              <w:rPr>
                <w:sz w:val="20"/>
                <w:szCs w:val="20"/>
                <w:color w:val="auto"/>
              </w:rPr>
            </w:pPr>
          </w:p>
        </w:tc>
        <w:tc>
          <w:tcPr>
            <w:tcW w:w="8260" w:type="dxa"/>
            <w:vAlign w:val="bottom"/>
            <w:gridSpan w:val="2"/>
          </w:tcPr>
          <w:p>
            <w:pPr>
              <w:ind w:left="2560"/>
              <w:spacing w:after="0"/>
              <w:rPr>
                <w:sz w:val="20"/>
                <w:szCs w:val="20"/>
                <w:color w:val="auto"/>
              </w:rPr>
            </w:pPr>
            <w:r>
              <w:rPr>
                <w:rFonts w:ascii="Arial" w:cs="Arial" w:eastAsia="Arial" w:hAnsi="Arial"/>
                <w:sz w:val="18"/>
                <w:szCs w:val="18"/>
                <w:color w:val="auto"/>
              </w:rPr>
              <w:t>Vice President, Treasurer</w:t>
            </w:r>
          </w:p>
        </w:tc>
      </w:tr>
    </w:tbl>
    <w:p>
      <w:pPr>
        <w:sectPr>
          <w:pgSz w:w="11900" w:h="16897" w:orient="portrait"/>
          <w:cols w:equalWidth="0" w:num="1">
            <w:col w:w="11420"/>
          </w:cols>
          <w:pgMar w:left="240" w:top="125" w:right="239" w:bottom="0" w:gutter="0" w:footer="0" w:header="0"/>
        </w:sectPr>
      </w:pPr>
    </w:p>
    <w:bookmarkStart w:id="20" w:name="page21"/>
    <w:bookmarkEnd w:id="20"/>
    <w:p>
      <w:pPr>
        <w:ind w:left="4520"/>
        <w:spacing w:after="0"/>
        <w:rPr>
          <w:sz w:val="20"/>
          <w:szCs w:val="20"/>
          <w:color w:val="auto"/>
        </w:rPr>
      </w:pPr>
      <w:r>
        <w:rPr>
          <w:rFonts w:ascii="Arial" w:cs="Arial" w:eastAsia="Arial" w:hAnsi="Arial"/>
          <w:sz w:val="18"/>
          <w:szCs w:val="18"/>
          <w:color w:val="auto"/>
        </w:rPr>
        <w:t>and 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(duly authorized officer and principal financial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REPURCHASE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Step)</w:t>
      </w:r>
    </w:p>
    <w:p>
      <w:pPr>
        <w:spacing w:after="0" w:line="207"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THIS THIRD AMENDMENT TO SECOND AMENDED AND RESTATED REPURCHASE AGREEMENT (TWO STEP)</w:t>
      </w:r>
      <w:r>
        <w:rPr>
          <w:rFonts w:ascii="Arial" w:cs="Arial" w:eastAsia="Arial" w:hAnsi="Arial"/>
          <w:sz w:val="18"/>
          <w:szCs w:val="18"/>
          <w:color w:val="auto"/>
        </w:rPr>
        <w: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2013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by and between THE TORO COMPANY, a Delaware corporation (“</w:t>
      </w:r>
      <w:r>
        <w:rPr>
          <w:rFonts w:ascii="Arial" w:cs="Arial" w:eastAsia="Arial" w:hAnsi="Arial"/>
          <w:sz w:val="18"/>
          <w:szCs w:val="18"/>
          <w:u w:val="single" w:color="auto"/>
          <w:color w:val="auto"/>
        </w:rPr>
        <w:t>Seller</w:t>
      </w:r>
      <w:r>
        <w:rPr>
          <w:rFonts w:ascii="Arial" w:cs="Arial" w:eastAsia="Arial" w:hAnsi="Arial"/>
          <w:sz w:val="18"/>
          <w:szCs w:val="18"/>
          <w:color w:val="auto"/>
        </w:rPr>
        <w:t>”), and RED IRON ACCEPTANCE, LLC, a Delaware limited liability company (“</w:t>
      </w:r>
      <w:r>
        <w:rPr>
          <w:rFonts w:ascii="Arial" w:cs="Arial" w:eastAsia="Arial" w:hAnsi="Arial"/>
          <w:sz w:val="18"/>
          <w:szCs w:val="18"/>
          <w:u w:val="single" w:color="auto"/>
          <w:color w:val="auto"/>
        </w:rPr>
        <w:t>Red Iron</w:t>
      </w:r>
      <w:r>
        <w:rPr>
          <w:rFonts w:ascii="Arial" w:cs="Arial" w:eastAsia="Arial" w:hAnsi="Arial"/>
          <w:sz w:val="18"/>
          <w:szCs w:val="18"/>
          <w:color w:val="auto"/>
        </w:rPr>
        <w:t>”). Capitalized terms used herein and not otherwise defined shall have the meanings ascribed thereto in the Repurchase Agreement (as hereinafter defined).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1320" w:hanging="664"/>
        <w:spacing w:after="0"/>
        <w:tabs>
          <w:tab w:leader="none" w:pos="1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Seller and Red Iron are parties to that certain Second Amended and Restated Repurchase Agreement (Two Step), entered into as of</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October 29, 2010, as amended by the First Amendment to Second Amended and Restated Repurchase Agreement (Two Step), dated as of December 12, 2011, and the Second Amendment to Second Amended and Restated Repurchase Agreement (Two Step), dated as of June 6, 2012 (as so amended, the “</w:t>
      </w:r>
      <w:r>
        <w:rPr>
          <w:rFonts w:ascii="Arial" w:cs="Arial" w:eastAsia="Arial" w:hAnsi="Arial"/>
          <w:sz w:val="18"/>
          <w:szCs w:val="18"/>
          <w:u w:val="single" w:color="auto"/>
          <w:color w:val="auto"/>
        </w:rPr>
        <w:t>Repurchase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9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parties hereto have agreed to amend the Repurchase Agreement as provided herein.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NOW, THEREFORE, in consideration of the agreements hereinafter set forth, and for other good and valuable consideration, the receipt and adequacy of which are hereby acknowledged, the parties hereto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120" w:firstLine="656"/>
        <w:spacing w:after="0" w:line="277" w:lineRule="auto"/>
        <w:tabs>
          <w:tab w:leader="none" w:pos="129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first sentence of Section 2(b) (Open Account Inventory Financing Approvals) of the Repurchase Agreement is amended and restated in its entirety as follows:</w:t>
      </w:r>
    </w:p>
    <w:p>
      <w:pPr>
        <w:spacing w:after="0" w:line="170" w:lineRule="exact"/>
        <w:rPr>
          <w:sz w:val="20"/>
          <w:szCs w:val="20"/>
          <w:color w:val="auto"/>
        </w:rPr>
      </w:pPr>
    </w:p>
    <w:p>
      <w:pPr>
        <w:ind w:left="660" w:right="80"/>
        <w:spacing w:after="0" w:line="291" w:lineRule="auto"/>
        <w:rPr>
          <w:sz w:val="20"/>
          <w:szCs w:val="20"/>
          <w:color w:val="auto"/>
        </w:rPr>
      </w:pPr>
      <w:r>
        <w:rPr>
          <w:rFonts w:ascii="Arial" w:cs="Arial" w:eastAsia="Arial" w:hAnsi="Arial"/>
          <w:sz w:val="16"/>
          <w:szCs w:val="16"/>
          <w:i w:val="1"/>
          <w:iCs w:val="1"/>
          <w:color w:val="auto"/>
        </w:rPr>
        <w:t>“If Seller or an affiliate of Seller delivers to Red Iron an original Invoice that is the subject of open account financing of inventory and related items and the amount of such Invoice is within (i) pre-established credit limits applicable to the Dealer or Distributor related to such Invoice and</w:t>
      </w:r>
    </w:p>
    <w:p>
      <w:pPr>
        <w:jc w:val="both"/>
        <w:ind w:left="660" w:right="40" w:hanging="4"/>
        <w:spacing w:after="0" w:line="302" w:lineRule="auto"/>
        <w:tabs>
          <w:tab w:leader="none" w:pos="925"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unsecured credit limits established by Red Iron from time to time (which shall not be less than One Million Dollars ($1,000,000) in the aggregate at any time unless otherwise agreed by the parties hereto), then Red Iron shall, from time to time in its commercially reasonable discretion consistent with the credit and operational policies of Red Iron, make an Advance against such Invoice under the terms of this Agreement.”</w:t>
      </w:r>
    </w:p>
    <w:p>
      <w:pPr>
        <w:spacing w:after="0" w:line="155" w:lineRule="exact"/>
        <w:rPr>
          <w:sz w:val="20"/>
          <w:szCs w:val="20"/>
          <w:color w:val="auto"/>
        </w:rPr>
      </w:pPr>
    </w:p>
    <w:p>
      <w:pPr>
        <w:ind w:right="800" w:firstLine="656"/>
        <w:spacing w:after="0" w:line="277"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Affirmation of Repurchase Agreement; Further References</w:t>
      </w:r>
      <w:r>
        <w:rPr>
          <w:rFonts w:ascii="Arial" w:cs="Arial" w:eastAsia="Arial" w:hAnsi="Arial"/>
          <w:sz w:val="18"/>
          <w:szCs w:val="18"/>
          <w:color w:val="auto"/>
        </w:rPr>
        <w:t>. The parties hereto each acknowledge and affirm that the Repurchase Agreement, as hereby amended, is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ratified and confirmed in all respects, and all terms, conditions and provisions of the Repurchase Agreement, except as amended by this Amendment, shall remain unmodified and in full force and effect. All references in any document or instrument to the Repurchase Agreement (including references in the Repurchase Agreement to the terms thereof) are hereby amended to refer to the Repurchase Agreement as amended by this Amendment.</w:t>
      </w:r>
    </w:p>
    <w:p>
      <w:pPr>
        <w:spacing w:after="0" w:line="147" w:lineRule="exact"/>
        <w:rPr>
          <w:sz w:val="20"/>
          <w:szCs w:val="20"/>
          <w:color w:val="auto"/>
        </w:rPr>
      </w:pPr>
    </w:p>
    <w:p>
      <w:pPr>
        <w:ind w:right="120" w:firstLine="656"/>
        <w:spacing w:after="0" w:line="312" w:lineRule="auto"/>
        <w:tabs>
          <w:tab w:leader="none" w:pos="129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on and after the date hereof, contains all of the understandings and agreements of whatsoever kind and nature existing among the parties with respect to this Amendment, the subject matter hereof, and the rights, interests, understandings, agreements and obligations of the parties pertaining to the subject matter hereof with the effect that this Amendment shall control with respect to the specific subjects hereof.</w:t>
      </w:r>
    </w:p>
    <w:p>
      <w:pPr>
        <w:spacing w:after="0" w:line="146" w:lineRule="exact"/>
        <w:rPr>
          <w:rFonts w:ascii="Arial" w:cs="Arial" w:eastAsia="Arial" w:hAnsi="Arial"/>
          <w:sz w:val="16"/>
          <w:szCs w:val="16"/>
          <w:color w:val="auto"/>
        </w:rPr>
      </w:pPr>
    </w:p>
    <w:p>
      <w:pPr>
        <w:ind w:right="20" w:firstLine="656"/>
        <w:spacing w:after="0" w:line="286" w:lineRule="auto"/>
        <w:tabs>
          <w:tab w:leader="none" w:pos="129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WITNESS WHEREOF, the parties hereto have duly executed this Amendment, and this Amendment shall be effective, as of the day and year first above written.</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TORO COMPANY</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Renee J. Peterson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Its: Vice President, Treasurer and Chief Financial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RED IRON ACCEPTANCE, LLC</w:t>
      </w:r>
    </w:p>
    <w:p>
      <w:pPr>
        <w:sectPr>
          <w:pgSz w:w="11900" w:h="16838" w:orient="portrait"/>
          <w:cols w:equalWidth="0" w:num="1">
            <w:col w:w="11420"/>
          </w:cols>
          <w:pgMar w:left="240" w:top="121" w:right="239" w:bottom="32" w:gutter="0" w:footer="0" w:header="0"/>
        </w:sectPr>
      </w:pPr>
    </w:p>
    <w:bookmarkStart w:id="22" w:name="page23"/>
    <w:bookmarkEnd w:id="22"/>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J. Wrend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Mark J. Wrend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-123190</wp:posOffset>
            </wp:positionV>
            <wp:extent cx="3336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Third Amendment to Second Amended and Restated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January 31, 2014 as filed with the Securities and Exchange Commission on the date hereof (the “Report”), we, Michael J. Hoffman,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2014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2014</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32"/>
    </w:lvl>
  </w:abstractNum>
  <w:abstractNum w:abstractNumId="7">
    <w:nsid w:val="3352255A"/>
    <w:multiLevelType w:val="hybridMultilevel"/>
    <w:lvl w:ilvl="0">
      <w:lvlJc w:val="left"/>
      <w:lvlText w:val="%1"/>
      <w:numFmt w:val="decimal"/>
      <w:start w:val="101"/>
    </w:lvl>
    <w:lvl w:ilvl="1">
      <w:lvlJc w:val="left"/>
      <w:lvlText w:val="(%2)"/>
      <w:numFmt w:val="lowerRoman"/>
      <w:start w:val="1"/>
    </w:lvl>
  </w:abstractNum>
  <w:abstractNum w:abstractNumId="8">
    <w:nsid w:val="109CF92E"/>
    <w:multiLevelType w:val="hybridMultilevel"/>
    <w:lvl w:ilvl="0">
      <w:lvlJc w:val="left"/>
      <w:lvlText w:val="%1"/>
      <w:numFmt w:val="decimal"/>
      <w:start w:val="1"/>
    </w:lvl>
    <w:lvl w:ilvl="1">
      <w:lvlJc w:val="left"/>
      <w:lvlText w:val="(%2)"/>
      <w:numFmt w:val="lowerRoman"/>
      <w:start w:val="4"/>
    </w:lvl>
  </w:abstractNum>
  <w:abstractNum w:abstractNumId="9">
    <w:nsid w:val="DED7263"/>
    <w:multiLevelType w:val="hybridMultilevel"/>
    <w:lvl w:ilvl="0">
      <w:lvlJc w:val="left"/>
      <w:lvlText w:val="%1."/>
      <w:numFmt w:val="upperLetter"/>
      <w:start w:val="1"/>
    </w:lvl>
  </w:abstractNum>
  <w:abstractNum w:abstractNumId="10">
    <w:nsid w:val="7FDCC233"/>
    <w:multiLevelType w:val="hybridMultilevel"/>
    <w:lvl w:ilvl="0">
      <w:lvlJc w:val="left"/>
      <w:lvlText w:val="%1."/>
      <w:numFmt w:val="upperLetter"/>
      <w:start w:val="2"/>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lowerRoman"/>
      <w:start w:val="2"/>
    </w:lvl>
  </w:abstractNum>
  <w:abstractNum w:abstractNumId="13">
    <w:nsid w:val="6B68079A"/>
    <w:multiLevelType w:val="hybridMultilevel"/>
    <w:lvl w:ilvl="0">
      <w:lvlJc w:val="left"/>
      <w:lvlText w:val="%1."/>
      <w:numFmt w:val="decimal"/>
      <w:start w:val="2"/>
    </w:lvl>
  </w:abstractNum>
  <w:abstractNum w:abstractNumId="14">
    <w:nsid w:val="4E6AFB66"/>
    <w:multiLevelType w:val="hybridMultilevel"/>
    <w:lvl w:ilvl="0">
      <w:lvlJc w:val="left"/>
      <w:lvlText w:val="%1."/>
      <w:numFmt w:val="decimal"/>
      <w:start w:val="3"/>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2019-12-05T20:27:31Z</dcterms:created>
  <dcterms:modified xsi:type="dcterms:W3CDTF">2019-12-05T20:27:31Z</dcterms:modified>
</cp:coreProperties>
</file>