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79"/>
        <w:spacing w:after="0"/>
        <w:rPr>
          <w:sz w:val="20"/>
          <w:szCs w:val="20"/>
          <w:color w:val="auto"/>
        </w:rPr>
      </w:pPr>
      <w:r>
        <w:rPr>
          <w:rFonts w:ascii="Arial" w:cs="Arial" w:eastAsia="Arial" w:hAnsi="Arial"/>
          <w:sz w:val="32"/>
          <w:szCs w:val="32"/>
          <w:b w:val="1"/>
          <w:bCs w:val="1"/>
          <w:color w:val="auto"/>
        </w:rPr>
        <w:t>UNITED STATES</w:t>
      </w:r>
    </w:p>
    <w:p>
      <w:pPr>
        <w:spacing w:after="0" w:line="50" w:lineRule="exact"/>
        <w:rPr>
          <w:sz w:val="24"/>
          <w:szCs w:val="24"/>
          <w:color w:val="auto"/>
        </w:rPr>
      </w:pPr>
    </w:p>
    <w:p>
      <w:pPr>
        <w:jc w:val="center"/>
        <w:ind w:right="-79"/>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79"/>
        <w:spacing w:after="0"/>
        <w:rPr>
          <w:sz w:val="20"/>
          <w:szCs w:val="20"/>
          <w:color w:val="auto"/>
        </w:rPr>
      </w:pPr>
      <w:r>
        <w:rPr>
          <w:rFonts w:ascii="Arial" w:cs="Arial" w:eastAsia="Arial" w:hAnsi="Arial"/>
          <w:sz w:val="22"/>
          <w:szCs w:val="22"/>
          <w:b w:val="1"/>
          <w:bCs w:val="1"/>
          <w:color w:val="auto"/>
        </w:rPr>
        <w:t>Washington, D.C. 20549</w:t>
      </w:r>
    </w:p>
    <w:p>
      <w:pPr>
        <w:spacing w:after="0" w:line="122" w:lineRule="exact"/>
        <w:rPr>
          <w:sz w:val="24"/>
          <w:szCs w:val="24"/>
          <w:color w:val="auto"/>
        </w:rPr>
      </w:pPr>
    </w:p>
    <w:p>
      <w:pPr>
        <w:jc w:val="center"/>
        <w:ind w:right="-79"/>
        <w:spacing w:after="0"/>
        <w:rPr>
          <w:sz w:val="20"/>
          <w:szCs w:val="20"/>
          <w:color w:val="auto"/>
        </w:rPr>
      </w:pPr>
      <w:r>
        <w:rPr>
          <w:rFonts w:ascii="Arial" w:cs="Arial" w:eastAsia="Arial" w:hAnsi="Arial"/>
          <w:sz w:val="32"/>
          <w:szCs w:val="32"/>
          <w:b w:val="1"/>
          <w:bCs w:val="1"/>
          <w:color w:val="auto"/>
        </w:rPr>
        <w:t>SCHEDULE 14A INFORMATION</w:t>
      </w:r>
    </w:p>
    <w:p>
      <w:pPr>
        <w:spacing w:after="0" w:line="40" w:lineRule="exact"/>
        <w:rPr>
          <w:sz w:val="24"/>
          <w:szCs w:val="24"/>
          <w:color w:val="auto"/>
        </w:rPr>
      </w:pPr>
    </w:p>
    <w:p>
      <w:pPr>
        <w:ind w:left="4900"/>
        <w:spacing w:after="0"/>
        <w:rPr>
          <w:sz w:val="20"/>
          <w:szCs w:val="20"/>
          <w:color w:val="auto"/>
        </w:rPr>
      </w:pPr>
      <w:r>
        <w:rPr>
          <w:rFonts w:ascii="Arial" w:cs="Arial" w:eastAsia="Arial" w:hAnsi="Arial"/>
          <w:sz w:val="22"/>
          <w:szCs w:val="22"/>
          <w:b w:val="1"/>
          <w:bCs w:val="1"/>
          <w:color w:val="auto"/>
        </w:rPr>
        <w:t>(Rule 14a-101)</w:t>
      </w:r>
    </w:p>
    <w:p>
      <w:pPr>
        <w:spacing w:after="0" w:line="126" w:lineRule="exact"/>
        <w:rPr>
          <w:sz w:val="24"/>
          <w:szCs w:val="24"/>
          <w:color w:val="auto"/>
        </w:rPr>
      </w:pPr>
    </w:p>
    <w:p>
      <w:pPr>
        <w:ind w:left="3120"/>
        <w:spacing w:after="0"/>
        <w:rPr>
          <w:sz w:val="20"/>
          <w:szCs w:val="20"/>
          <w:color w:val="auto"/>
        </w:rPr>
      </w:pPr>
      <w:r>
        <w:rPr>
          <w:rFonts w:ascii="Arial" w:cs="Arial" w:eastAsia="Arial" w:hAnsi="Arial"/>
          <w:sz w:val="22"/>
          <w:szCs w:val="22"/>
          <w:b w:val="1"/>
          <w:bCs w:val="1"/>
          <w:color w:val="auto"/>
        </w:rPr>
        <w:t>Proxy Statement Pursuant to Section 14(a) of the</w:t>
      </w:r>
    </w:p>
    <w:p>
      <w:pPr>
        <w:spacing w:after="0" w:line="16" w:lineRule="exact"/>
        <w:rPr>
          <w:sz w:val="24"/>
          <w:szCs w:val="24"/>
          <w:color w:val="auto"/>
        </w:rPr>
      </w:pPr>
    </w:p>
    <w:p>
      <w:pPr>
        <w:ind w:left="3960"/>
        <w:spacing w:after="0"/>
        <w:rPr>
          <w:sz w:val="20"/>
          <w:szCs w:val="20"/>
          <w:color w:val="auto"/>
        </w:rPr>
      </w:pPr>
      <w:r>
        <w:rPr>
          <w:rFonts w:ascii="Arial" w:cs="Arial" w:eastAsia="Arial" w:hAnsi="Arial"/>
          <w:sz w:val="22"/>
          <w:szCs w:val="22"/>
          <w:b w:val="1"/>
          <w:bCs w:val="1"/>
          <w:color w:val="auto"/>
        </w:rPr>
        <w:t>Securities Exchange Act of 1934</w:t>
      </w:r>
    </w:p>
    <w:p>
      <w:pPr>
        <w:spacing w:after="0" w:line="112" w:lineRule="exact"/>
        <w:rPr>
          <w:sz w:val="24"/>
          <w:szCs w:val="24"/>
          <w:color w:val="auto"/>
        </w:rPr>
      </w:pPr>
    </w:p>
    <w:p>
      <w:pPr>
        <w:ind w:left="20"/>
        <w:spacing w:after="0" w:line="207" w:lineRule="exact"/>
        <w:tabs>
          <w:tab w:leader="none" w:pos="3460" w:val="left"/>
        </w:tabs>
        <w:rPr>
          <w:sz w:val="20"/>
          <w:szCs w:val="20"/>
          <w:color w:val="auto"/>
        </w:rPr>
      </w:pPr>
      <w:r>
        <w:rPr>
          <w:rFonts w:ascii="Arial" w:cs="Arial" w:eastAsia="Arial" w:hAnsi="Arial"/>
          <w:sz w:val="18"/>
          <w:szCs w:val="18"/>
          <w:color w:val="auto"/>
        </w:rPr>
        <w:t xml:space="preserve">Filed by the Registrant </w:t>
      </w:r>
      <w:r>
        <w:rPr>
          <w:rFonts w:ascii="MS PGothic" w:cs="MS PGothic" w:eastAsia="MS PGothic" w:hAnsi="MS PGothic"/>
          <w:sz w:val="18"/>
          <w:szCs w:val="18"/>
          <w:color w:val="auto"/>
        </w:rPr>
        <w:t>☒</w:t>
      </w:r>
      <w:r>
        <w:rPr>
          <w:sz w:val="20"/>
          <w:szCs w:val="20"/>
          <w:color w:val="auto"/>
        </w:rPr>
        <w:tab/>
      </w:r>
      <w:r>
        <w:rPr>
          <w:rFonts w:ascii="Arial" w:cs="Arial" w:eastAsia="Arial" w:hAnsi="Arial"/>
          <w:sz w:val="18"/>
          <w:szCs w:val="18"/>
          <w:color w:val="auto"/>
        </w:rPr>
        <w:t xml:space="preserve">Filed by a Party other than the Registrant </w:t>
      </w:r>
      <w:r>
        <w:rPr>
          <w:rFonts w:ascii="MS PGothic" w:cs="MS PGothic" w:eastAsia="MS PGothic" w:hAnsi="MS PGothic"/>
          <w:sz w:val="18"/>
          <w:szCs w:val="18"/>
          <w:color w:val="auto"/>
        </w:rPr>
        <w:t>☐</w:t>
      </w:r>
    </w:p>
    <w:p>
      <w:pPr>
        <w:spacing w:after="0" w:line="217" w:lineRule="exact"/>
        <w:rPr>
          <w:sz w:val="24"/>
          <w:szCs w:val="24"/>
          <w:color w:val="auto"/>
        </w:rPr>
      </w:pPr>
    </w:p>
    <w:p>
      <w:pPr>
        <w:ind w:left="20"/>
        <w:spacing w:after="0"/>
        <w:rPr>
          <w:sz w:val="20"/>
          <w:szCs w:val="20"/>
          <w:color w:val="auto"/>
        </w:rPr>
      </w:pPr>
      <w:r>
        <w:rPr>
          <w:rFonts w:ascii="Arial" w:cs="Arial" w:eastAsia="Arial" w:hAnsi="Arial"/>
          <w:sz w:val="18"/>
          <w:szCs w:val="18"/>
          <w:color w:val="auto"/>
        </w:rPr>
        <w:t>Check the appropriate box:</w:t>
      </w:r>
    </w:p>
    <w:p>
      <w:pPr>
        <w:spacing w:after="0" w:line="185" w:lineRule="exact"/>
        <w:rPr>
          <w:sz w:val="24"/>
          <w:szCs w:val="24"/>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Preliminary Proxy Statement</w:t>
      </w:r>
    </w:p>
    <w:p>
      <w:pPr>
        <w:spacing w:after="0" w:line="68"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b w:val="1"/>
          <w:bCs w:val="1"/>
          <w:color w:val="auto"/>
        </w:rPr>
        <w:t>Confidential, for Use of the Commission Only (as permitted by Rule 14a-6(e)(2))</w:t>
      </w:r>
    </w:p>
    <w:p>
      <w:pPr>
        <w:spacing w:after="0" w:line="112"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Definitive Proxy Statement</w:t>
      </w:r>
    </w:p>
    <w:p>
      <w:pPr>
        <w:spacing w:after="0" w:line="90" w:lineRule="exact"/>
        <w:rPr>
          <w:sz w:val="24"/>
          <w:szCs w:val="24"/>
          <w:color w:val="auto"/>
        </w:rPr>
      </w:pPr>
    </w:p>
    <w:p>
      <w:pPr>
        <w:ind w:left="460" w:hanging="452"/>
        <w:spacing w:after="0"/>
        <w:tabs>
          <w:tab w:leader="none" w:pos="460" w:val="left"/>
        </w:tabs>
        <w:numPr>
          <w:ilvl w:val="0"/>
          <w:numId w:val="2"/>
        </w:numPr>
        <w:rPr>
          <w:rFonts w:ascii="MS PGothic" w:cs="MS PGothic" w:eastAsia="MS PGothic" w:hAnsi="MS PGothic"/>
          <w:sz w:val="18"/>
          <w:szCs w:val="18"/>
          <w:color w:val="auto"/>
        </w:rPr>
      </w:pPr>
      <w:r>
        <w:rPr>
          <w:rFonts w:ascii="Arial" w:cs="Arial" w:eastAsia="Arial" w:hAnsi="Arial"/>
          <w:sz w:val="18"/>
          <w:szCs w:val="18"/>
          <w:color w:val="auto"/>
        </w:rPr>
        <w:t>Definitive Additional Materials</w:t>
      </w:r>
    </w:p>
    <w:p>
      <w:pPr>
        <w:spacing w:after="0" w:line="90" w:lineRule="exact"/>
        <w:rPr>
          <w:sz w:val="24"/>
          <w:szCs w:val="24"/>
          <w:color w:val="auto"/>
        </w:rPr>
      </w:pPr>
    </w:p>
    <w:p>
      <w:pPr>
        <w:ind w:left="460" w:hanging="452"/>
        <w:spacing w:after="0"/>
        <w:tabs>
          <w:tab w:leader="none" w:pos="460" w:val="left"/>
        </w:tabs>
        <w:numPr>
          <w:ilvl w:val="0"/>
          <w:numId w:val="3"/>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§240.14a-12</w:t>
      </w:r>
    </w:p>
    <w:p>
      <w:pPr>
        <w:spacing w:after="0" w:line="334" w:lineRule="exact"/>
        <w:rPr>
          <w:sz w:val="24"/>
          <w:szCs w:val="24"/>
          <w:color w:val="auto"/>
        </w:rPr>
      </w:pPr>
    </w:p>
    <w:p>
      <w:pPr>
        <w:jc w:val="center"/>
        <w:ind w:right="-79"/>
        <w:spacing w:after="0"/>
        <w:rPr>
          <w:sz w:val="20"/>
          <w:szCs w:val="20"/>
          <w:color w:val="auto"/>
        </w:rPr>
      </w:pPr>
      <w:r>
        <w:rPr>
          <w:rFonts w:ascii="Arial" w:cs="Arial" w:eastAsia="Arial" w:hAnsi="Arial"/>
          <w:sz w:val="43"/>
          <w:szCs w:val="43"/>
          <w:b w:val="1"/>
          <w:bCs w:val="1"/>
          <w:color w:val="auto"/>
        </w:rPr>
        <w:t>The Toro Company</w:t>
      </w:r>
    </w:p>
    <w:p>
      <w:pPr>
        <w:spacing w:after="0" w:line="58" w:lineRule="exact"/>
        <w:rPr>
          <w:sz w:val="24"/>
          <w:szCs w:val="24"/>
          <w:color w:val="auto"/>
        </w:rPr>
      </w:pPr>
    </w:p>
    <w:p>
      <w:pPr>
        <w:ind w:left="3660"/>
        <w:spacing w:after="0"/>
        <w:rPr>
          <w:sz w:val="20"/>
          <w:szCs w:val="20"/>
          <w:color w:val="auto"/>
        </w:rPr>
      </w:pPr>
      <w:r>
        <w:rPr>
          <w:rFonts w:ascii="Arial" w:cs="Arial" w:eastAsia="Arial" w:hAnsi="Arial"/>
          <w:sz w:val="18"/>
          <w:szCs w:val="18"/>
          <w:b w:val="1"/>
          <w:bCs w:val="1"/>
          <w:color w:val="auto"/>
        </w:rPr>
        <w:t>(Name of registrant as specified in its charter)</w:t>
      </w:r>
    </w:p>
    <w:p>
      <w:pPr>
        <w:spacing w:after="0" w:line="212" w:lineRule="exact"/>
        <w:rPr>
          <w:sz w:val="24"/>
          <w:szCs w:val="24"/>
          <w:color w:val="auto"/>
        </w:rPr>
      </w:pPr>
    </w:p>
    <w:p>
      <w:pPr>
        <w:spacing w:after="0"/>
        <w:rPr>
          <w:sz w:val="20"/>
          <w:szCs w:val="20"/>
          <w:color w:val="auto"/>
        </w:rPr>
      </w:pPr>
      <w:r>
        <w:rPr>
          <w:rFonts w:ascii="Arial" w:cs="Arial" w:eastAsia="Arial" w:hAnsi="Arial"/>
          <w:sz w:val="18"/>
          <w:szCs w:val="18"/>
          <w:color w:val="auto"/>
        </w:rPr>
        <w:t>Payment of Filing Fee (Check the appropriate box):</w:t>
      </w:r>
    </w:p>
    <w:p>
      <w:pPr>
        <w:spacing w:after="0" w:line="185" w:lineRule="exact"/>
        <w:rPr>
          <w:sz w:val="24"/>
          <w:szCs w:val="24"/>
          <w:color w:val="auto"/>
        </w:rPr>
      </w:pPr>
    </w:p>
    <w:p>
      <w:pPr>
        <w:ind w:left="460" w:hanging="452"/>
        <w:spacing w:after="0"/>
        <w:tabs>
          <w:tab w:leader="none" w:pos="460" w:val="left"/>
        </w:tabs>
        <w:numPr>
          <w:ilvl w:val="0"/>
          <w:numId w:val="4"/>
        </w:numPr>
        <w:rPr>
          <w:rFonts w:ascii="MS PGothic" w:cs="MS PGothic" w:eastAsia="MS PGothic" w:hAnsi="MS PGothic"/>
          <w:sz w:val="18"/>
          <w:szCs w:val="18"/>
          <w:color w:val="auto"/>
        </w:rPr>
      </w:pPr>
      <w:r>
        <w:rPr>
          <w:rFonts w:ascii="Arial" w:cs="Arial" w:eastAsia="Arial" w:hAnsi="Arial"/>
          <w:sz w:val="18"/>
          <w:szCs w:val="18"/>
          <w:color w:val="auto"/>
        </w:rPr>
        <w:t>No fee required</w:t>
      </w:r>
    </w:p>
    <w:p>
      <w:pPr>
        <w:spacing w:after="0" w:line="104" w:lineRule="exact"/>
        <w:rPr>
          <w:sz w:val="24"/>
          <w:szCs w:val="24"/>
          <w:color w:val="auto"/>
        </w:rPr>
      </w:pPr>
    </w:p>
    <w:p>
      <w:pPr>
        <w:ind w:left="460" w:hanging="452"/>
        <w:spacing w:after="0"/>
        <w:tabs>
          <w:tab w:leader="none" w:pos="460" w:val="left"/>
        </w:tabs>
        <w:numPr>
          <w:ilvl w:val="0"/>
          <w:numId w:val="5"/>
        </w:numPr>
        <w:rPr>
          <w:rFonts w:ascii="MS PGothic" w:cs="MS PGothic" w:eastAsia="MS PGothic" w:hAnsi="MS PGothic"/>
          <w:sz w:val="18"/>
          <w:szCs w:val="18"/>
          <w:color w:val="auto"/>
        </w:rPr>
      </w:pPr>
      <w:r>
        <w:rPr>
          <w:rFonts w:ascii="Arial" w:cs="Arial" w:eastAsia="Arial" w:hAnsi="Arial"/>
          <w:sz w:val="18"/>
          <w:szCs w:val="18"/>
          <w:color w:val="auto"/>
        </w:rPr>
        <w:t>Fee computed on table below per Exchange Act Rules 14a-6(i)(1) and 0-11</w:t>
      </w:r>
    </w:p>
    <w:p>
      <w:pPr>
        <w:spacing w:after="0" w:line="103" w:lineRule="exact"/>
        <w:rPr>
          <w:rFonts w:ascii="MS PGothic" w:cs="MS PGothic" w:eastAsia="MS PGothic" w:hAnsi="MS PGothic"/>
          <w:sz w:val="18"/>
          <w:szCs w:val="18"/>
          <w:color w:val="auto"/>
        </w:rPr>
      </w:pPr>
    </w:p>
    <w:p>
      <w:pPr>
        <w:ind w:left="900" w:hanging="447"/>
        <w:spacing w:after="0"/>
        <w:tabs>
          <w:tab w:leader="none" w:pos="900" w:val="left"/>
        </w:tabs>
        <w:numPr>
          <w:ilvl w:val="1"/>
          <w:numId w:val="5"/>
        </w:numPr>
        <w:rPr>
          <w:rFonts w:ascii="Arial" w:cs="Arial" w:eastAsia="Arial" w:hAnsi="Arial"/>
          <w:sz w:val="18"/>
          <w:szCs w:val="18"/>
          <w:color w:val="auto"/>
        </w:rPr>
      </w:pPr>
      <w:r>
        <w:rPr>
          <w:rFonts w:ascii="Arial" w:cs="Arial" w:eastAsia="Arial" w:hAnsi="Arial"/>
          <w:sz w:val="18"/>
          <w:szCs w:val="18"/>
          <w:color w:val="auto"/>
        </w:rPr>
        <w:t>Title of each class of securities to which transaction applies:</w:t>
      </w:r>
    </w:p>
    <w:p>
      <w:pPr>
        <w:spacing w:after="0" w:line="76" w:lineRule="exact"/>
        <w:rPr>
          <w:rFonts w:ascii="Arial" w:cs="Arial" w:eastAsia="Arial" w:hAnsi="Arial"/>
          <w:sz w:val="18"/>
          <w:szCs w:val="18"/>
          <w:color w:val="auto"/>
        </w:rPr>
      </w:pPr>
    </w:p>
    <w:p>
      <w:pPr>
        <w:ind w:left="900" w:hanging="447"/>
        <w:spacing w:after="0"/>
        <w:tabs>
          <w:tab w:leader="none" w:pos="900" w:val="left"/>
        </w:tabs>
        <w:numPr>
          <w:ilvl w:val="1"/>
          <w:numId w:val="5"/>
        </w:numPr>
        <w:rPr>
          <w:rFonts w:ascii="Arial" w:cs="Arial" w:eastAsia="Arial" w:hAnsi="Arial"/>
          <w:sz w:val="18"/>
          <w:szCs w:val="18"/>
          <w:color w:val="auto"/>
        </w:rPr>
      </w:pPr>
      <w:r>
        <w:rPr>
          <w:rFonts w:ascii="Arial" w:cs="Arial" w:eastAsia="Arial" w:hAnsi="Arial"/>
          <w:sz w:val="18"/>
          <w:szCs w:val="18"/>
          <w:color w:val="auto"/>
        </w:rPr>
        <w:t>Aggregate number of securities to which transaction applies:</w:t>
      </w:r>
    </w:p>
    <w:p>
      <w:pPr>
        <w:spacing w:after="0" w:line="49" w:lineRule="exact"/>
        <w:rPr>
          <w:rFonts w:ascii="Arial" w:cs="Arial" w:eastAsia="Arial" w:hAnsi="Arial"/>
          <w:sz w:val="18"/>
          <w:szCs w:val="18"/>
          <w:color w:val="auto"/>
        </w:rPr>
      </w:pPr>
    </w:p>
    <w:p>
      <w:pPr>
        <w:ind w:left="900" w:hanging="447"/>
        <w:spacing w:after="0" w:line="246" w:lineRule="auto"/>
        <w:tabs>
          <w:tab w:leader="none" w:pos="900" w:val="left"/>
        </w:tabs>
        <w:numPr>
          <w:ilvl w:val="1"/>
          <w:numId w:val="5"/>
        </w:numPr>
        <w:rPr>
          <w:rFonts w:ascii="Arial" w:cs="Arial" w:eastAsia="Arial" w:hAnsi="Arial"/>
          <w:sz w:val="18"/>
          <w:szCs w:val="18"/>
          <w:color w:val="auto"/>
        </w:rPr>
      </w:pPr>
      <w:r>
        <w:rPr>
          <w:rFonts w:ascii="Arial" w:cs="Arial" w:eastAsia="Arial" w:hAnsi="Arial"/>
          <w:sz w:val="18"/>
          <w:szCs w:val="18"/>
          <w:color w:val="auto"/>
        </w:rPr>
        <w:t>Per unit price or other underlying value of the transaction computed pursuant to Exchange Act Rule 0-11 (set forth the amount on which the filing fee is calculated and state how it was determined):</w:t>
      </w:r>
    </w:p>
    <w:p>
      <w:pPr>
        <w:spacing w:after="0" w:line="34" w:lineRule="exact"/>
        <w:rPr>
          <w:rFonts w:ascii="Arial" w:cs="Arial" w:eastAsia="Arial" w:hAnsi="Arial"/>
          <w:sz w:val="18"/>
          <w:szCs w:val="18"/>
          <w:color w:val="auto"/>
        </w:rPr>
      </w:pPr>
    </w:p>
    <w:p>
      <w:pPr>
        <w:ind w:left="900" w:hanging="447"/>
        <w:spacing w:after="0"/>
        <w:tabs>
          <w:tab w:leader="none" w:pos="900" w:val="left"/>
        </w:tabs>
        <w:numPr>
          <w:ilvl w:val="1"/>
          <w:numId w:val="5"/>
        </w:numPr>
        <w:rPr>
          <w:rFonts w:ascii="Arial" w:cs="Arial" w:eastAsia="Arial" w:hAnsi="Arial"/>
          <w:sz w:val="18"/>
          <w:szCs w:val="18"/>
          <w:color w:val="auto"/>
        </w:rPr>
      </w:pPr>
      <w:r>
        <w:rPr>
          <w:rFonts w:ascii="Arial" w:cs="Arial" w:eastAsia="Arial" w:hAnsi="Arial"/>
          <w:sz w:val="18"/>
          <w:szCs w:val="18"/>
          <w:color w:val="auto"/>
        </w:rPr>
        <w:t>Proposed maximum aggregate value of transaction:</w:t>
      </w:r>
    </w:p>
    <w:p>
      <w:pPr>
        <w:spacing w:after="0" w:line="49" w:lineRule="exact"/>
        <w:rPr>
          <w:rFonts w:ascii="Arial" w:cs="Arial" w:eastAsia="Arial" w:hAnsi="Arial"/>
          <w:sz w:val="18"/>
          <w:szCs w:val="18"/>
          <w:color w:val="auto"/>
        </w:rPr>
      </w:pPr>
    </w:p>
    <w:p>
      <w:pPr>
        <w:ind w:left="880" w:hanging="427"/>
        <w:spacing w:after="0"/>
        <w:tabs>
          <w:tab w:leader="none" w:pos="880" w:val="left"/>
        </w:tabs>
        <w:numPr>
          <w:ilvl w:val="1"/>
          <w:numId w:val="5"/>
        </w:numPr>
        <w:rPr>
          <w:rFonts w:ascii="Arial" w:cs="Arial" w:eastAsia="Arial" w:hAnsi="Arial"/>
          <w:sz w:val="18"/>
          <w:szCs w:val="18"/>
          <w:color w:val="auto"/>
        </w:rPr>
      </w:pPr>
      <w:r>
        <w:rPr>
          <w:rFonts w:ascii="Arial" w:cs="Arial" w:eastAsia="Arial" w:hAnsi="Arial"/>
          <w:sz w:val="18"/>
          <w:szCs w:val="18"/>
          <w:color w:val="auto"/>
        </w:rPr>
        <w:t>Total fee paid:</w:t>
      </w:r>
    </w:p>
    <w:p>
      <w:pPr>
        <w:spacing w:after="0" w:line="211" w:lineRule="exact"/>
        <w:rPr>
          <w:rFonts w:ascii="Arial" w:cs="Arial" w:eastAsia="Arial" w:hAnsi="Arial"/>
          <w:sz w:val="18"/>
          <w:szCs w:val="18"/>
          <w:color w:val="auto"/>
        </w:rPr>
      </w:pPr>
    </w:p>
    <w:p>
      <w:pPr>
        <w:ind w:left="460" w:hanging="452"/>
        <w:spacing w:after="0"/>
        <w:tabs>
          <w:tab w:leader="none" w:pos="460" w:val="left"/>
        </w:tabs>
        <w:numPr>
          <w:ilvl w:val="0"/>
          <w:numId w:val="5"/>
        </w:numPr>
        <w:rPr>
          <w:rFonts w:ascii="MS PGothic" w:cs="MS PGothic" w:eastAsia="MS PGothic" w:hAnsi="MS PGothic"/>
          <w:sz w:val="18"/>
          <w:szCs w:val="18"/>
          <w:color w:val="auto"/>
        </w:rPr>
      </w:pPr>
      <w:r>
        <w:rPr>
          <w:rFonts w:ascii="Arial" w:cs="Arial" w:eastAsia="Arial" w:hAnsi="Arial"/>
          <w:sz w:val="18"/>
          <w:szCs w:val="18"/>
          <w:color w:val="auto"/>
        </w:rPr>
        <w:t>Fee paid previously with preliminary materials.</w:t>
      </w:r>
    </w:p>
    <w:p>
      <w:pPr>
        <w:spacing w:after="0" w:line="171" w:lineRule="exact"/>
        <w:rPr>
          <w:rFonts w:ascii="MS PGothic" w:cs="MS PGothic" w:eastAsia="MS PGothic" w:hAnsi="MS PGothic"/>
          <w:sz w:val="18"/>
          <w:szCs w:val="18"/>
          <w:color w:val="auto"/>
        </w:rPr>
      </w:pPr>
    </w:p>
    <w:p>
      <w:pPr>
        <w:ind w:left="460" w:right="60" w:hanging="452"/>
        <w:spacing w:after="0" w:line="274" w:lineRule="auto"/>
        <w:tabs>
          <w:tab w:leader="none" w:pos="460" w:val="left"/>
        </w:tabs>
        <w:numPr>
          <w:ilvl w:val="0"/>
          <w:numId w:val="5"/>
        </w:numPr>
        <w:rPr>
          <w:rFonts w:ascii="MS PGothic" w:cs="MS PGothic" w:eastAsia="MS PGothic" w:hAnsi="MS PGothic"/>
          <w:sz w:val="17"/>
          <w:szCs w:val="17"/>
          <w:color w:val="auto"/>
        </w:rPr>
      </w:pPr>
      <w:r>
        <w:rPr>
          <w:rFonts w:ascii="Arial" w:cs="Arial" w:eastAsia="Arial" w:hAnsi="Arial"/>
          <w:sz w:val="17"/>
          <w:szCs w:val="17"/>
          <w:color w:val="auto"/>
        </w:rPr>
        <w:t>Check box if any part of the fee is offset as provided by Exchange Act Rule 0-11(a)(2) and identify the filing for which the offsetting fee was paid previously. Identify the previous filing by registration statement number, or the Form or Schedule and the date of its filing.</w:t>
      </w:r>
    </w:p>
    <w:p>
      <w:pPr>
        <w:spacing w:after="0" w:line="120" w:lineRule="exact"/>
        <w:rPr>
          <w:rFonts w:ascii="MS PGothic" w:cs="MS PGothic" w:eastAsia="MS PGothic" w:hAnsi="MS PGothic"/>
          <w:sz w:val="17"/>
          <w:szCs w:val="17"/>
          <w:color w:val="auto"/>
        </w:rPr>
      </w:pPr>
    </w:p>
    <w:p>
      <w:pPr>
        <w:ind w:left="900" w:hanging="447"/>
        <w:spacing w:after="0"/>
        <w:tabs>
          <w:tab w:leader="none" w:pos="900" w:val="left"/>
        </w:tabs>
        <w:numPr>
          <w:ilvl w:val="1"/>
          <w:numId w:val="5"/>
        </w:numPr>
        <w:rPr>
          <w:rFonts w:ascii="Arial" w:cs="Arial" w:eastAsia="Arial" w:hAnsi="Arial"/>
          <w:sz w:val="18"/>
          <w:szCs w:val="18"/>
          <w:color w:val="auto"/>
        </w:rPr>
      </w:pPr>
      <w:r>
        <w:rPr>
          <w:rFonts w:ascii="Arial" w:cs="Arial" w:eastAsia="Arial" w:hAnsi="Arial"/>
          <w:sz w:val="18"/>
          <w:szCs w:val="18"/>
          <w:color w:val="auto"/>
        </w:rPr>
        <w:t>Amount Previously Paid:</w:t>
      </w:r>
    </w:p>
    <w:p>
      <w:pPr>
        <w:spacing w:after="0" w:line="63" w:lineRule="exact"/>
        <w:rPr>
          <w:rFonts w:ascii="Arial" w:cs="Arial" w:eastAsia="Arial" w:hAnsi="Arial"/>
          <w:sz w:val="18"/>
          <w:szCs w:val="18"/>
          <w:color w:val="auto"/>
        </w:rPr>
      </w:pPr>
    </w:p>
    <w:p>
      <w:pPr>
        <w:ind w:left="900" w:hanging="447"/>
        <w:spacing w:after="0"/>
        <w:tabs>
          <w:tab w:leader="none" w:pos="900" w:val="left"/>
        </w:tabs>
        <w:numPr>
          <w:ilvl w:val="1"/>
          <w:numId w:val="5"/>
        </w:numPr>
        <w:rPr>
          <w:rFonts w:ascii="Arial" w:cs="Arial" w:eastAsia="Arial" w:hAnsi="Arial"/>
          <w:sz w:val="18"/>
          <w:szCs w:val="18"/>
          <w:color w:val="auto"/>
        </w:rPr>
      </w:pPr>
      <w:r>
        <w:rPr>
          <w:rFonts w:ascii="Arial" w:cs="Arial" w:eastAsia="Arial" w:hAnsi="Arial"/>
          <w:sz w:val="18"/>
          <w:szCs w:val="18"/>
          <w:color w:val="auto"/>
        </w:rPr>
        <w:t>Form, Schedule or Registration Statement No.:</w:t>
      </w:r>
    </w:p>
    <w:p>
      <w:pPr>
        <w:spacing w:after="0" w:line="76" w:lineRule="exact"/>
        <w:rPr>
          <w:rFonts w:ascii="Arial" w:cs="Arial" w:eastAsia="Arial" w:hAnsi="Arial"/>
          <w:sz w:val="18"/>
          <w:szCs w:val="18"/>
          <w:color w:val="auto"/>
        </w:rPr>
      </w:pPr>
    </w:p>
    <w:p>
      <w:pPr>
        <w:ind w:left="900" w:hanging="447"/>
        <w:spacing w:after="0"/>
        <w:tabs>
          <w:tab w:leader="none" w:pos="900" w:val="left"/>
        </w:tabs>
        <w:numPr>
          <w:ilvl w:val="1"/>
          <w:numId w:val="5"/>
        </w:numPr>
        <w:rPr>
          <w:rFonts w:ascii="Arial" w:cs="Arial" w:eastAsia="Arial" w:hAnsi="Arial"/>
          <w:sz w:val="18"/>
          <w:szCs w:val="18"/>
          <w:color w:val="auto"/>
        </w:rPr>
      </w:pPr>
      <w:r>
        <w:rPr>
          <w:rFonts w:ascii="Arial" w:cs="Arial" w:eastAsia="Arial" w:hAnsi="Arial"/>
          <w:sz w:val="18"/>
          <w:szCs w:val="18"/>
          <w:color w:val="auto"/>
        </w:rPr>
        <w:t>Filing Party:</w:t>
      </w:r>
    </w:p>
    <w:p>
      <w:pPr>
        <w:spacing w:after="0" w:line="63" w:lineRule="exact"/>
        <w:rPr>
          <w:rFonts w:ascii="Arial" w:cs="Arial" w:eastAsia="Arial" w:hAnsi="Arial"/>
          <w:sz w:val="18"/>
          <w:szCs w:val="18"/>
          <w:color w:val="auto"/>
        </w:rPr>
      </w:pPr>
    </w:p>
    <w:p>
      <w:pPr>
        <w:ind w:left="900" w:hanging="447"/>
        <w:spacing w:after="0"/>
        <w:tabs>
          <w:tab w:leader="none" w:pos="900" w:val="left"/>
        </w:tabs>
        <w:numPr>
          <w:ilvl w:val="1"/>
          <w:numId w:val="5"/>
        </w:numPr>
        <w:rPr>
          <w:rFonts w:ascii="Arial" w:cs="Arial" w:eastAsia="Arial" w:hAnsi="Arial"/>
          <w:sz w:val="18"/>
          <w:szCs w:val="18"/>
          <w:color w:val="auto"/>
        </w:rPr>
      </w:pPr>
      <w:r>
        <w:rPr>
          <w:rFonts w:ascii="Arial" w:cs="Arial" w:eastAsia="Arial" w:hAnsi="Arial"/>
          <w:sz w:val="18"/>
          <w:szCs w:val="18"/>
          <w:color w:val="auto"/>
        </w:rPr>
        <w:t>Date Filed: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262255</wp:posOffset>
            </wp:positionH>
            <wp:positionV relativeFrom="paragraph">
              <wp:posOffset>-2145030</wp:posOffset>
            </wp:positionV>
            <wp:extent cx="6875145"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875145" cy="8255"/>
                    </a:xfrm>
                    <a:prstGeom prst="rect">
                      <a:avLst/>
                    </a:prstGeom>
                    <a:noFill/>
                  </pic:spPr>
                </pic:pic>
              </a:graphicData>
            </a:graphic>
          </wp:anchor>
        </w:drawing>
        <w:drawing>
          <wp:anchor simplePos="0" relativeHeight="251657728" behindDoc="1" locked="0" layoutInCell="0" allowOverlap="1">
            <wp:simplePos x="0" y="0"/>
            <wp:positionH relativeFrom="column">
              <wp:posOffset>262255</wp:posOffset>
            </wp:positionH>
            <wp:positionV relativeFrom="paragraph">
              <wp:posOffset>-1981835</wp:posOffset>
            </wp:positionV>
            <wp:extent cx="6875145"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875145" cy="8890"/>
                    </a:xfrm>
                    <a:prstGeom prst="rect">
                      <a:avLst/>
                    </a:prstGeom>
                    <a:noFill/>
                  </pic:spPr>
                </pic:pic>
              </a:graphicData>
            </a:graphic>
          </wp:anchor>
        </w:drawing>
        <w:drawing>
          <wp:anchor simplePos="0" relativeHeight="251657728" behindDoc="1" locked="0" layoutInCell="0" allowOverlap="1">
            <wp:simplePos x="0" y="0"/>
            <wp:positionH relativeFrom="column">
              <wp:posOffset>262255</wp:posOffset>
            </wp:positionH>
            <wp:positionV relativeFrom="paragraph">
              <wp:posOffset>-1690370</wp:posOffset>
            </wp:positionV>
            <wp:extent cx="687514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6875145" cy="8255"/>
                    </a:xfrm>
                    <a:prstGeom prst="rect">
                      <a:avLst/>
                    </a:prstGeom>
                    <a:noFill/>
                  </pic:spPr>
                </pic:pic>
              </a:graphicData>
            </a:graphic>
          </wp:anchor>
        </w:drawing>
        <w:drawing>
          <wp:anchor simplePos="0" relativeHeight="251657728" behindDoc="1" locked="0" layoutInCell="0" allowOverlap="1">
            <wp:simplePos x="0" y="0"/>
            <wp:positionH relativeFrom="column">
              <wp:posOffset>262255</wp:posOffset>
            </wp:positionH>
            <wp:positionV relativeFrom="paragraph">
              <wp:posOffset>-1527810</wp:posOffset>
            </wp:positionV>
            <wp:extent cx="687514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875145" cy="8890"/>
                    </a:xfrm>
                    <a:prstGeom prst="rect">
                      <a:avLst/>
                    </a:prstGeom>
                    <a:noFill/>
                  </pic:spPr>
                </pic:pic>
              </a:graphicData>
            </a:graphic>
          </wp:anchor>
        </w:drawing>
        <w:drawing>
          <wp:anchor simplePos="0" relativeHeight="251657728" behindDoc="1" locked="0" layoutInCell="0" allowOverlap="1">
            <wp:simplePos x="0" y="0"/>
            <wp:positionH relativeFrom="column">
              <wp:posOffset>262255</wp:posOffset>
            </wp:positionH>
            <wp:positionV relativeFrom="paragraph">
              <wp:posOffset>-1364615</wp:posOffset>
            </wp:positionV>
            <wp:extent cx="687514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875145" cy="8255"/>
                    </a:xfrm>
                    <a:prstGeom prst="rect">
                      <a:avLst/>
                    </a:prstGeom>
                    <a:noFill/>
                  </pic:spPr>
                </pic:pic>
              </a:graphicData>
            </a:graphic>
          </wp:anchor>
        </w:drawing>
        <w:drawing>
          <wp:anchor simplePos="0" relativeHeight="251657728" behindDoc="1" locked="0" layoutInCell="0" allowOverlap="1">
            <wp:simplePos x="0" y="0"/>
            <wp:positionH relativeFrom="column">
              <wp:posOffset>262255</wp:posOffset>
            </wp:positionH>
            <wp:positionV relativeFrom="paragraph">
              <wp:posOffset>-499110</wp:posOffset>
            </wp:positionV>
            <wp:extent cx="687514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875145" cy="8890"/>
                    </a:xfrm>
                    <a:prstGeom prst="rect">
                      <a:avLst/>
                    </a:prstGeom>
                    <a:noFill/>
                  </pic:spPr>
                </pic:pic>
              </a:graphicData>
            </a:graphic>
          </wp:anchor>
        </w:drawing>
        <w:drawing>
          <wp:anchor simplePos="0" relativeHeight="251657728" behindDoc="1" locked="0" layoutInCell="0" allowOverlap="1">
            <wp:simplePos x="0" y="0"/>
            <wp:positionH relativeFrom="column">
              <wp:posOffset>262255</wp:posOffset>
            </wp:positionH>
            <wp:positionV relativeFrom="paragraph">
              <wp:posOffset>-327660</wp:posOffset>
            </wp:positionV>
            <wp:extent cx="687514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875145" cy="8890"/>
                    </a:xfrm>
                    <a:prstGeom prst="rect">
                      <a:avLst/>
                    </a:prstGeom>
                    <a:noFill/>
                  </pic:spPr>
                </pic:pic>
              </a:graphicData>
            </a:graphic>
          </wp:anchor>
        </w:drawing>
        <w:drawing>
          <wp:anchor simplePos="0" relativeHeight="251657728" behindDoc="1" locked="0" layoutInCell="0" allowOverlap="1">
            <wp:simplePos x="0" y="0"/>
            <wp:positionH relativeFrom="column">
              <wp:posOffset>262255</wp:posOffset>
            </wp:positionH>
            <wp:positionV relativeFrom="paragraph">
              <wp:posOffset>-147320</wp:posOffset>
            </wp:positionV>
            <wp:extent cx="6875145"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875145" cy="8890"/>
                    </a:xfrm>
                    <a:prstGeom prst="rect">
                      <a:avLst/>
                    </a:prstGeom>
                    <a:noFill/>
                  </pic:spPr>
                </pic:pic>
              </a:graphicData>
            </a:graphic>
          </wp:anchor>
        </w:drawing>
        <w:drawing>
          <wp:anchor simplePos="0" relativeHeight="251657728" behindDoc="1" locked="0" layoutInCell="0" allowOverlap="1">
            <wp:simplePos x="0" y="0"/>
            <wp:positionH relativeFrom="column">
              <wp:posOffset>262255</wp:posOffset>
            </wp:positionH>
            <wp:positionV relativeFrom="paragraph">
              <wp:posOffset>57785</wp:posOffset>
            </wp:positionV>
            <wp:extent cx="6875145"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875145"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640715</wp:posOffset>
            </wp:positionV>
            <wp:extent cx="7149465"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160"/>
          </w:cols>
          <w:pgMar w:left="320" w:top="427" w:right="419" w:bottom="1440" w:gutter="0" w:footer="0" w:header="0"/>
        </w:sectPr>
      </w:pPr>
    </w:p>
    <w:bookmarkStart w:id="1" w:name="page2"/>
    <w:bookmarkEnd w:id="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5541010</wp:posOffset>
            </wp:positionV>
            <wp:extent cx="7149465"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49465" cy="17145"/>
                    </a:xfrm>
                    <a:prstGeom prst="rect">
                      <a:avLst/>
                    </a:prstGeom>
                    <a:noFill/>
                  </pic:spPr>
                </pic:pic>
              </a:graphicData>
            </a:graphic>
          </wp:anchor>
        </w:drawing>
        <w:drawing>
          <wp:anchor simplePos="0" relativeHeight="251657728" behindDoc="1" locked="0" layoutInCell="0" allowOverlap="1">
            <wp:simplePos x="0" y="0"/>
            <wp:positionH relativeFrom="page">
              <wp:posOffset>894080</wp:posOffset>
            </wp:positionH>
            <wp:positionV relativeFrom="page">
              <wp:posOffset>500380</wp:posOffset>
            </wp:positionV>
            <wp:extent cx="5760720" cy="440626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clrChange>
                        <a:clrFrom>
                          <a:srgbClr val="FFFFFF"/>
                        </a:clrFrom>
                        <a:clrTo>
                          <a:srgbClr val="FFFFFF">
                            <a:alpha val="0"/>
                          </a:srgbClr>
                        </a:clrTo>
                      </a:clrChange>
                      <a:extLst>
                        <a:ext uri="{28A0092B-C50C-407E-A947-70E740481C1C}"/>
                      </a:extLst>
                    </a:blip>
                    <a:srcRect/>
                    <a:stretch>
                      <a:fillRect/>
                    </a:stretch>
                  </pic:blipFill>
                  <pic:spPr bwMode="auto">
                    <a:xfrm>
                      <a:off x="0" y="0"/>
                      <a:ext cx="5760720" cy="44062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 w:name="page3"/>
    <w:bookmarkEnd w:id="2"/>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5198110</wp:posOffset>
            </wp:positionV>
            <wp:extent cx="7149465"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49465" cy="17145"/>
                    </a:xfrm>
                    <a:prstGeom prst="rect">
                      <a:avLst/>
                    </a:prstGeom>
                    <a:noFill/>
                  </pic:spPr>
                </pic:pic>
              </a:graphicData>
            </a:graphic>
          </wp:anchor>
        </w:drawing>
        <w:drawing>
          <wp:anchor simplePos="0" relativeHeight="251657728" behindDoc="1" locked="0" layoutInCell="0" allowOverlap="1">
            <wp:simplePos x="0" y="0"/>
            <wp:positionH relativeFrom="page">
              <wp:posOffset>894080</wp:posOffset>
            </wp:positionH>
            <wp:positionV relativeFrom="page">
              <wp:posOffset>363220</wp:posOffset>
            </wp:positionV>
            <wp:extent cx="5760720" cy="420052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clrChange>
                        <a:clrFrom>
                          <a:srgbClr val="FFFFFF"/>
                        </a:clrFrom>
                        <a:clrTo>
                          <a:srgbClr val="FFFFFF">
                            <a:alpha val="0"/>
                          </a:srgbClr>
                        </a:clrTo>
                      </a:clrChange>
                      <a:extLst>
                        <a:ext uri="{28A0092B-C50C-407E-A947-70E740481C1C}"/>
                      </a:extLst>
                    </a:blip>
                    <a:srcRect/>
                    <a:stretch>
                      <a:fillRect/>
                    </a:stretch>
                  </pic:blipFill>
                  <pic:spPr bwMode="auto">
                    <a:xfrm>
                      <a:off x="0" y="0"/>
                      <a:ext cx="5760720" cy="420052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 w:name="page4"/>
    <w:bookmarkEnd w:id="3"/>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4984115</wp:posOffset>
            </wp:positionV>
            <wp:extent cx="7149465"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49465" cy="17145"/>
                    </a:xfrm>
                    <a:prstGeom prst="rect">
                      <a:avLst/>
                    </a:prstGeom>
                    <a:noFill/>
                  </pic:spPr>
                </pic:pic>
              </a:graphicData>
            </a:graphic>
          </wp:anchor>
        </w:drawing>
        <w:drawing>
          <wp:anchor simplePos="0" relativeHeight="251657728" behindDoc="1" locked="0" layoutInCell="0" allowOverlap="1">
            <wp:simplePos x="0" y="0"/>
            <wp:positionH relativeFrom="page">
              <wp:posOffset>894080</wp:posOffset>
            </wp:positionH>
            <wp:positionV relativeFrom="page">
              <wp:posOffset>363220</wp:posOffset>
            </wp:positionV>
            <wp:extent cx="5760720" cy="399478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clrChange>
                        <a:clrFrom>
                          <a:srgbClr val="FFFFFF"/>
                        </a:clrFrom>
                        <a:clrTo>
                          <a:srgbClr val="FFFFFF">
                            <a:alpha val="0"/>
                          </a:srgbClr>
                        </a:clrTo>
                      </a:clrChange>
                      <a:extLst>
                        <a:ext uri="{28A0092B-C50C-407E-A947-70E740481C1C}"/>
                      </a:extLst>
                    </a:blip>
                    <a:srcRect/>
                    <a:stretch>
                      <a:fillRect/>
                    </a:stretch>
                  </pic:blipFill>
                  <pic:spPr bwMode="auto">
                    <a:xfrm>
                      <a:off x="0" y="0"/>
                      <a:ext cx="5760720" cy="39947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 w:name="page5"/>
    <w:bookmarkEnd w:id="4"/>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894080</wp:posOffset>
            </wp:positionH>
            <wp:positionV relativeFrom="page">
              <wp:posOffset>363220</wp:posOffset>
            </wp:positionV>
            <wp:extent cx="5760720" cy="437197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clrChange>
                        <a:clrFrom>
                          <a:srgbClr val="FFFFFF"/>
                        </a:clrFrom>
                        <a:clrTo>
                          <a:srgbClr val="FFFFFF">
                            <a:alpha val="0"/>
                          </a:srgbClr>
                        </a:clrTo>
                      </a:clrChange>
                      <a:extLst>
                        <a:ext uri="{28A0092B-C50C-407E-A947-70E740481C1C}"/>
                      </a:extLst>
                    </a:blip>
                    <a:srcRect/>
                    <a:stretch>
                      <a:fillRect/>
                    </a:stretch>
                  </pic:blipFill>
                  <pic:spPr bwMode="auto">
                    <a:xfrm>
                      <a:off x="0" y="0"/>
                      <a:ext cx="5760720" cy="4371975"/>
                    </a:xfrm>
                    <a:prstGeom prst="rect">
                      <a:avLst/>
                    </a:prstGeom>
                    <a:noFill/>
                  </pic:spPr>
                </pic:pic>
              </a:graphicData>
            </a:graphic>
          </wp:anchor>
        </w:drawing>
      </w:r>
    </w:p>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9495CFF"/>
    <w:multiLevelType w:val="hybridMultilevel"/>
    <w:lvl w:ilvl="0">
      <w:lvlJc w:val="left"/>
      <w:lvlText w:val="☐"/>
      <w:numFmt w:val="bullet"/>
      <w:start w:val="1"/>
    </w:lvl>
  </w:abstractNum>
  <w:abstractNum w:abstractNumId="1">
    <w:nsid w:val="2AE8944A"/>
    <w:multiLevelType w:val="hybridMultilevel"/>
    <w:lvl w:ilvl="0">
      <w:lvlJc w:val="left"/>
      <w:lvlText w:val="☒"/>
      <w:numFmt w:val="bullet"/>
      <w:start w:val="1"/>
    </w:lvl>
  </w:abstractNum>
  <w:abstractNum w:abstractNumId="2">
    <w:nsid w:val="625558EC"/>
    <w:multiLevelType w:val="hybridMultilevel"/>
    <w:lvl w:ilvl="0">
      <w:lvlJc w:val="left"/>
      <w:lvlText w:val="☐"/>
      <w:numFmt w:val="bullet"/>
      <w:start w:val="1"/>
    </w:lvl>
  </w:abstractNum>
  <w:abstractNum w:abstractNumId="3">
    <w:nsid w:val="238E1F29"/>
    <w:multiLevelType w:val="hybridMultilevel"/>
    <w:lvl w:ilvl="0">
      <w:lvlJc w:val="left"/>
      <w:lvlText w:val="☒"/>
      <w:numFmt w:val="bullet"/>
      <w:start w:val="1"/>
    </w:lvl>
  </w:abstractNum>
  <w:abstractNum w:abstractNumId="4">
    <w:nsid w:val="46E87CCD"/>
    <w:multiLevelType w:val="hybridMultilevel"/>
    <w:lvl w:ilvl="0">
      <w:lvlJc w:val="left"/>
      <w:lvlText w:val="☐"/>
      <w:numFmt w:val="bullet"/>
      <w:start w:val="1"/>
    </w:lvl>
    <w:lvl w:ilvl="1">
      <w:lvlJc w:val="left"/>
      <w:lvlText w:val="(%2)"/>
      <w:numFmt w:val="decimal"/>
      <w:start w:val="1"/>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jpeg"/><Relationship Id="rId20" Type="http://schemas.openxmlformats.org/officeDocument/2006/relationships/image" Target="media/image13.png"/><Relationship Id="rId21" Type="http://schemas.openxmlformats.org/officeDocument/2006/relationships/image" Target="media/image14.jpeg"/><Relationship Id="rId22" Type="http://schemas.openxmlformats.org/officeDocument/2006/relationships/image" Target="media/image15.png"/><Relationship Id="rId23" Type="http://schemas.openxmlformats.org/officeDocument/2006/relationships/image" Target="media/image16.jpeg"/><Relationship Id="rId24" Type="http://schemas.openxmlformats.org/officeDocument/2006/relationships/image" Target="media/image17.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2021-02-03T16:08:34Z</dcterms:created>
  <dcterms:modified xsi:type="dcterms:W3CDTF">2021-02-03T16:08:34Z</dcterms:modified>
</cp:coreProperties>
</file>