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February 3, 2023</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75"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March 2, 2023 was 104,284,643.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11"/>
          </w:tcPr>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THE TORO COMPANY</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gridSpan w:val="11"/>
          </w:tcPr>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20" w:type="dxa"/>
            <w:vAlign w:val="bottom"/>
            <w:gridSpan w:val="11"/>
          </w:tcPr>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Page Number</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8760" w:type="dxa"/>
            <w:vAlign w:val="bottom"/>
            <w:gridSpan w:val="31"/>
          </w:tcPr>
          <w:p>
            <w:pPr>
              <w:spacing w:after="0"/>
              <w:rPr>
                <w:sz w:val="20"/>
                <w:szCs w:val="20"/>
                <w:color w:val="auto"/>
              </w:rPr>
            </w:pPr>
            <w:r>
              <w:rPr>
                <w:rFonts w:ascii="Times New Roman" w:cs="Times New Roman" w:eastAsia="Times New Roman" w:hAnsi="Times New Roman"/>
                <w:sz w:val="17"/>
                <w:szCs w:val="17"/>
                <w:b w:val="1"/>
                <w:bCs w:val="1"/>
                <w:color w:val="0000FF"/>
              </w:rPr>
              <w:t>CAUTIONARY NOTE REGARDING FORWARD-LOOKING STATEMENTS</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180" w:type="dxa"/>
            <w:vAlign w:val="bottom"/>
            <w:tcBorders>
              <w:top w:val="single" w:sz="8" w:color="0000FF"/>
            </w:tcBorders>
          </w:tcPr>
          <w:p>
            <w:pPr>
              <w:spacing w:after="0"/>
              <w:rPr>
                <w:sz w:val="24"/>
                <w:szCs w:val="24"/>
                <w:color w:val="auto"/>
              </w:rPr>
            </w:pPr>
          </w:p>
        </w:tc>
        <w:tc>
          <w:tcPr>
            <w:tcW w:w="4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b w:val="1"/>
                <w:bCs w:val="1"/>
                <w:color w:val="0000FF"/>
              </w:rPr>
              <w:t>FINANCIAL INFORMATION:</w:t>
            </w:r>
          </w:p>
        </w:tc>
        <w:tc>
          <w:tcPr>
            <w:tcW w:w="2920" w:type="dxa"/>
            <w:vAlign w:val="bottom"/>
            <w:gridSpan w:val="7"/>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Item 1.</w:t>
            </w:r>
          </w:p>
        </w:tc>
        <w:tc>
          <w:tcPr>
            <w:tcW w:w="80" w:type="dxa"/>
            <w:vAlign w:val="bottom"/>
            <w:tcBorders>
              <w:top w:val="single" w:sz="8" w:color="0000FF"/>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504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Earnings (Unaudited)</w:t>
            </w:r>
          </w:p>
        </w:tc>
        <w:tc>
          <w:tcPr>
            <w:tcW w:w="2640" w:type="dxa"/>
            <w:vAlign w:val="bottom"/>
            <w:gridSpan w:val="5"/>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2060" w:type="dxa"/>
            <w:vAlign w:val="bottom"/>
            <w:gridSpan w:val="8"/>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40" w:type="dxa"/>
            <w:vAlign w:val="bottom"/>
          </w:tcPr>
          <w:p>
            <w:pPr>
              <w:spacing w:after="0"/>
              <w:rPr>
                <w:sz w:val="24"/>
                <w:szCs w:val="24"/>
                <w:color w:val="auto"/>
              </w:rPr>
            </w:pPr>
          </w:p>
        </w:tc>
        <w:tc>
          <w:tcPr>
            <w:tcW w:w="2020" w:type="dxa"/>
            <w:vAlign w:val="bottom"/>
            <w:gridSpan w:val="3"/>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2.</w:t>
            </w:r>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Company Overview</w:t>
            </w:r>
          </w:p>
        </w:tc>
        <w:tc>
          <w:tcPr>
            <w:tcW w:w="4480" w:type="dxa"/>
            <w:vAlign w:val="bottom"/>
            <w:gridSpan w:val="15"/>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Results of Operations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Business Segments</w:t>
            </w:r>
          </w:p>
        </w:tc>
        <w:tc>
          <w:tcPr>
            <w:tcW w:w="160" w:type="dxa"/>
            <w:vAlign w:val="bottom"/>
            <w:gridSpan w:val="2"/>
          </w:tcPr>
          <w:p>
            <w:pPr>
              <w:spacing w:after="0"/>
              <w:rPr>
                <w:sz w:val="24"/>
                <w:szCs w:val="24"/>
                <w:color w:val="auto"/>
              </w:rPr>
            </w:pPr>
          </w:p>
        </w:tc>
        <w:tc>
          <w:tcPr>
            <w:tcW w:w="5580" w:type="dxa"/>
            <w:vAlign w:val="bottom"/>
            <w:gridSpan w:val="15"/>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Financial Position</w:t>
            </w:r>
          </w:p>
        </w:tc>
        <w:tc>
          <w:tcPr>
            <w:tcW w:w="5740" w:type="dxa"/>
            <w:vAlign w:val="bottom"/>
            <w:gridSpan w:val="17"/>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Non-GAAP Financial Measures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Critical Accounting Policies and Estimates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3.</w:t>
            </w:r>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4.</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2420" w:type="dxa"/>
            <w:vAlign w:val="bottom"/>
            <w:gridSpan w:val="7"/>
          </w:tcPr>
          <w:p>
            <w:pPr>
              <w:spacing w:after="0"/>
              <w:rPr>
                <w:sz w:val="24"/>
                <w:szCs w:val="24"/>
                <w:color w:val="auto"/>
              </w:rPr>
            </w:pPr>
          </w:p>
        </w:tc>
        <w:tc>
          <w:tcPr>
            <w:tcW w:w="3260" w:type="dxa"/>
            <w:vAlign w:val="bottom"/>
            <w:gridSpan w:val="9"/>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Item 1.</w:t>
            </w:r>
          </w:p>
        </w:tc>
        <w:tc>
          <w:tcPr>
            <w:tcW w:w="140" w:type="dxa"/>
            <w:vAlign w:val="bottom"/>
            <w:tcBorders>
              <w:top w:val="single" w:sz="8" w:color="0000FF"/>
            </w:tcBorders>
            <w:gridSpan w:val="3"/>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6"/>
              </w:rPr>
              <w:t>Legal Proceedings</w:t>
            </w:r>
          </w:p>
        </w:tc>
        <w:tc>
          <w:tcPr>
            <w:tcW w:w="740" w:type="dxa"/>
            <w:vAlign w:val="bottom"/>
            <w:tcBorders>
              <w:top w:val="single" w:sz="8" w:color="0000FF"/>
            </w:tcBorders>
            <w:gridSpan w:val="6"/>
          </w:tcPr>
          <w:p>
            <w:pPr>
              <w:spacing w:after="0"/>
              <w:rPr>
                <w:sz w:val="24"/>
                <w:szCs w:val="24"/>
                <w:color w:val="auto"/>
              </w:rPr>
            </w:pPr>
          </w:p>
        </w:tc>
        <w:tc>
          <w:tcPr>
            <w:tcW w:w="5380" w:type="dxa"/>
            <w:vAlign w:val="bottom"/>
            <w:gridSpan w:val="14"/>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00" w:type="dxa"/>
            <w:vAlign w:val="bottom"/>
            <w:tcBorders>
              <w:left w:val="single" w:sz="8" w:color="0000FF"/>
            </w:tcBorders>
            <w:gridSpan w:val="12"/>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Item 1A.</w:t>
            </w: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2.</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00" w:type="dxa"/>
            <w:vAlign w:val="bottom"/>
            <w:tcBorders>
              <w:left w:val="single" w:sz="8" w:color="0000FF"/>
            </w:tcBorders>
            <w:gridSpan w:val="12"/>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5.</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3220" w:type="dxa"/>
            <w:vAlign w:val="bottom"/>
            <w:gridSpan w:val="8"/>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120" w:type="dxa"/>
            <w:vAlign w:val="bottom"/>
            <w:gridSpan w:val="2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6.</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680" w:type="dxa"/>
            <w:vAlign w:val="bottom"/>
            <w:gridSpan w:val="3"/>
          </w:tcPr>
          <w:p>
            <w:pPr>
              <w:spacing w:after="0"/>
              <w:rPr>
                <w:sz w:val="24"/>
                <w:szCs w:val="24"/>
                <w:color w:val="auto"/>
              </w:rPr>
            </w:pPr>
          </w:p>
        </w:tc>
        <w:tc>
          <w:tcPr>
            <w:tcW w:w="6120" w:type="dxa"/>
            <w:vAlign w:val="bottom"/>
            <w:gridSpan w:val="20"/>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gridSpan w:val="2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640" w:type="dxa"/>
            <w:vAlign w:val="bottom"/>
            <w:gridSpan w:val="22"/>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"pro forma," variations of such words or the negative thereof, and similar expressions or future dates. Our forward-looking statements generally relate to our future performance, including our anticipated operating results, liquidity requirements and financial condition; the anticipated impacts of current global supply chain disruptions, the inflationary environment, the war between Ukraine and Russia and the related sanctions and geopolitical tensions, tight labor markets and other macroeconomic factors; our business strategies, priorities, goals, and commitments; acquisitions and business initiatives; and the effect of laws, rules, policies, regulations, tax reform, new accounting pronouncements, and outstanding litigation on our business and future performance.</w:t>
      </w:r>
    </w:p>
    <w:p>
      <w:pPr>
        <w:spacing w:after="0" w:line="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including as a result of the war between Ukraine and Russia and the related sanctions and geopolitical tensions or pandemics and/or epidemics, such as but not limited to: business closures, slowdowns, suspensions or delays of production and commercial activity; slow or negative economic growth rates or recessionary conditions; reduced or negative consumer confidence; reduced consumer spending levels;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inflationary or deflationary pressures; slowdowns or reductions in levels of interest in the game of golf or golf course activity, development, renovation, or improvement; golf course closures; reduced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higher short-term, mortgage, and other interest rates; and general economic and political conditions and expectations;</w:t>
      </w:r>
    </w:p>
    <w:p>
      <w:pPr>
        <w:spacing w:after="0" w:line="19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of and the cost of commodities, components, parts, or accessories used in our products;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enhance existing products and develop and market new products that respond to customer needs and preferences and achieve market acceptance;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2"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appropriate inventory levels, including as a result of global supply chain disruptions,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left="620" w:hanging="307"/>
        <w:spacing w:after="0" w:line="26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the war between Ukraine and Russia and the related sanctions and geopolitical tensions, and other potential conflicts;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acquisitions and alliances, joint ventures, investments, or partnerships and our failure to successfully complete divestitures or other restructuring activities;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 the time periods that we anticipate or at all;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increased scrutiny on our environmental, social and governance (“ESG”) practices and SEC rule making on ESG disclosures.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Part II, Item 1A, "Risk Factors" of this report; and our subsequent filings with the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thousands, except per share data)</w:t>
      </w:r>
    </w:p>
    <w:p>
      <w:pPr>
        <w:spacing w:after="0" w:line="11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6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9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1,148,840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932,650</w:t>
            </w:r>
          </w:p>
        </w:tc>
      </w:tr>
      <w:tr>
        <w:trPr>
          <w:trHeight w:val="217"/>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752,916</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632,174</w:t>
            </w: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9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395,924</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300,476</w:t>
            </w:r>
          </w:p>
        </w:tc>
      </w:tr>
      <w:tr>
        <w:trPr>
          <w:trHeight w:val="217"/>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259,497</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208,850</w:t>
            </w: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19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136,427</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91,626</w:t>
            </w:r>
          </w:p>
        </w:tc>
      </w:tr>
      <w:tr>
        <w:trPr>
          <w:trHeight w:val="21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9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(7,013)</w:t>
            </w:r>
          </w:p>
        </w:tc>
      </w:tr>
      <w:tr>
        <w:trPr>
          <w:trHeight w:val="220"/>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9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9,011</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w:t>
            </w: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92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131,314</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87,147</w:t>
            </w:r>
          </w:p>
        </w:tc>
      </w:tr>
      <w:tr>
        <w:trPr>
          <w:trHeight w:val="220"/>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9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24,454</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17,637</w:t>
            </w:r>
          </w:p>
        </w:tc>
      </w:tr>
      <w:tr>
        <w:trPr>
          <w:trHeight w:val="213"/>
        </w:trPr>
        <w:tc>
          <w:tcPr>
            <w:tcW w:w="6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106,860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69,510</w:t>
            </w:r>
          </w:p>
        </w:tc>
      </w:tr>
      <w:tr>
        <w:trPr>
          <w:trHeight w:val="22"/>
        </w:trPr>
        <w:tc>
          <w:tcPr>
            <w:tcW w:w="66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0"/>
        </w:trPr>
        <w:tc>
          <w:tcPr>
            <w:tcW w:w="66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20"/>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192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83"/>
        </w:trPr>
        <w:tc>
          <w:tcPr>
            <w:tcW w:w="66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r>
      <w:tr>
        <w:trPr>
          <w:trHeight w:val="217"/>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192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86"/>
        </w:trPr>
        <w:tc>
          <w:tcPr>
            <w:tcW w:w="66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9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104,501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105,037</w:t>
            </w:r>
          </w:p>
        </w:tc>
      </w:tr>
      <w:tr>
        <w:trPr>
          <w:trHeight w:val="103"/>
        </w:trPr>
        <w:tc>
          <w:tcPr>
            <w:tcW w:w="66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7"/>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9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105,577</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106,048</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w:t>
      </w:r>
    </w:p>
    <w:p>
      <w:pPr>
        <w:spacing w:after="0" w:line="11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0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21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106,860</w:t>
            </w:r>
          </w:p>
        </w:tc>
        <w:tc>
          <w:tcPr>
            <w:tcW w:w="4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69,510</w:t>
            </w:r>
          </w:p>
        </w:tc>
      </w:tr>
      <w:tr>
        <w:trPr>
          <w:trHeight w:val="21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9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21,182</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w:t>
            </w:r>
          </w:p>
        </w:tc>
      </w:tr>
      <w:tr>
        <w:trPr>
          <w:trHeight w:val="217"/>
        </w:trPr>
        <w:tc>
          <w:tcPr>
            <w:tcW w:w="6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instruments, net of tax of $(5,903) and $2,032, respectively</w:t>
            </w:r>
          </w:p>
        </w:tc>
        <w:tc>
          <w:tcPr>
            <w:tcW w:w="1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(16,662)</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9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4,520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7"/>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111,380</w:t>
            </w:r>
          </w:p>
        </w:tc>
        <w:tc>
          <w:tcPr>
            <w:tcW w:w="4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69,892</w:t>
            </w:r>
          </w:p>
        </w:tc>
      </w:tr>
      <w:tr>
        <w:trPr>
          <w:trHeight w:val="22"/>
        </w:trPr>
        <w:tc>
          <w:tcPr>
            <w:tcW w:w="6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174,037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192,959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377,262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366,270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1,131,438</w:t>
            </w:r>
          </w:p>
        </w:tc>
        <w:tc>
          <w:tcPr>
            <w:tcW w:w="20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832,072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1,051,109</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74,957</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45,962</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103,279</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1,757,694</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1,437,263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1,675,351</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584,147</w:t>
            </w:r>
          </w:p>
        </w:tc>
        <w:tc>
          <w:tcPr>
            <w:tcW w:w="20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507,549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571,661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584,550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576,940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577,064</w:t>
            </w:r>
          </w:p>
        </w:tc>
        <w:tc>
          <w:tcPr>
            <w:tcW w:w="20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600,797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585,832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74,573</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78,306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45,726</w:t>
            </w:r>
          </w:p>
        </w:tc>
        <w:tc>
          <w:tcPr>
            <w:tcW w:w="20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24,119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11,747</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3,938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19,445</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24,133</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19,077</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3,654,946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3,253,045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3,555,998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475,218</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474,483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496,793</w:t>
            </w:r>
          </w:p>
        </w:tc>
        <w:tc>
          <w:tcPr>
            <w:tcW w:w="20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395,739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469,242</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15,962</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15,842</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987,973</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986,064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1,063,613</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1,091,015</w:t>
            </w:r>
          </w:p>
        </w:tc>
        <w:tc>
          <w:tcPr>
            <w:tcW w:w="20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991,354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990,768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60,680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65,760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31,444</w:t>
            </w:r>
          </w:p>
        </w:tc>
        <w:tc>
          <w:tcPr>
            <w:tcW w:w="20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50,382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39,663</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39,936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220" w:type="dxa"/>
            <w:vAlign w:val="bottom"/>
          </w:tcPr>
          <w:p>
            <w:pPr>
              <w:spacing w:after="0"/>
              <w:rPr>
                <w:sz w:val="13"/>
                <w:szCs w:val="13"/>
                <w:color w:val="auto"/>
              </w:rPr>
            </w:pPr>
          </w:p>
        </w:tc>
        <w:tc>
          <w:tcPr>
            <w:tcW w:w="15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5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104,283,002 shares as of February 3, 2023, 104,528,510 shares as of</w:t>
            </w:r>
          </w:p>
        </w:tc>
        <w:tc>
          <w:tcPr>
            <w:tcW w:w="22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104,283</w:t>
            </w:r>
          </w:p>
        </w:tc>
        <w:tc>
          <w:tcPr>
            <w:tcW w:w="2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104,529</w:t>
            </w:r>
          </w:p>
        </w:tc>
        <w:tc>
          <w:tcPr>
            <w:tcW w:w="2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103,970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January 28, 2022, and 103,969,805 shares as of October 31, 2022</w:t>
            </w:r>
          </w:p>
        </w:tc>
        <w:tc>
          <w:tcPr>
            <w:tcW w:w="2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1,368,493</w:t>
            </w:r>
          </w:p>
        </w:tc>
        <w:tc>
          <w:tcPr>
            <w:tcW w:w="20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1,040,634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1,280,856</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(28,605)</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(25,614)</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(33,125)</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1,444,171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1,119,549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1,351,701</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3,654,946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3,253,045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3,555,998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w:t>
      </w:r>
    </w:p>
    <w:p>
      <w:pPr>
        <w:spacing w:after="0" w:line="115"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21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7"/>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106,860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69,510</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used in operating activities:</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to finance affiliate, net</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720" w:type="dxa"/>
            <w:vAlign w:val="bottom"/>
          </w:tcPr>
          <w:p>
            <w:pPr>
              <w:spacing w:after="0"/>
              <w:rPr>
                <w:sz w:val="18"/>
                <w:szCs w:val="18"/>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19,152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18,487</w:t>
            </w: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9,129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720" w:type="dxa"/>
            <w:vAlign w:val="bottom"/>
          </w:tcPr>
          <w:p>
            <w:pPr>
              <w:spacing w:after="0"/>
              <w:rPr>
                <w:sz w:val="18"/>
                <w:szCs w:val="18"/>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5,224</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w:t>
            </w: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7"/>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(50,599)</w:t>
            </w: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(76,769)</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(59,171)</w:t>
            </w: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r>
      <w:tr>
        <w:trPr>
          <w:trHeight w:val="217"/>
        </w:trPr>
        <w:tc>
          <w:tcPr>
            <w:tcW w:w="6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Accounts payable, accrued liabilities, and other liabilities</w:t>
            </w:r>
          </w:p>
        </w:tc>
        <w:tc>
          <w:tcPr>
            <w:tcW w:w="1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(81,980)</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(72,462)</w:t>
            </w:r>
          </w:p>
        </w:tc>
      </w:tr>
      <w:tr>
        <w:trPr>
          <w:trHeight w:val="213"/>
        </w:trPr>
        <w:tc>
          <w:tcPr>
            <w:tcW w:w="6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7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(68,849)</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(90,043)</w:t>
            </w:r>
          </w:p>
        </w:tc>
      </w:tr>
      <w:tr>
        <w:trPr>
          <w:trHeight w:val="86"/>
        </w:trPr>
        <w:tc>
          <w:tcPr>
            <w:tcW w:w="66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(29,329)</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(11,903)</w:t>
            </w: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insurance claim</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7,114</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720" w:type="dxa"/>
            <w:vAlign w:val="bottom"/>
          </w:tcPr>
          <w:p>
            <w:pPr>
              <w:spacing w:after="0"/>
              <w:rPr>
                <w:sz w:val="18"/>
                <w:szCs w:val="18"/>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(401,494)</w:t>
            </w:r>
          </w:p>
        </w:tc>
      </w:tr>
      <w:tr>
        <w:trPr>
          <w:trHeight w:val="220"/>
        </w:trPr>
        <w:tc>
          <w:tcPr>
            <w:tcW w:w="6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17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6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(21,950)</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(413,371)</w:t>
            </w:r>
          </w:p>
        </w:tc>
      </w:tr>
      <w:tr>
        <w:trPr>
          <w:trHeight w:val="73"/>
        </w:trPr>
        <w:tc>
          <w:tcPr>
            <w:tcW w:w="668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217"/>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debt arrangements</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170,000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debt arrangements</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14,029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22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TTC common stock</w:t>
            </w: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17"/>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 on TTC common stock</w:t>
            </w:r>
          </w:p>
        </w:tc>
        <w:tc>
          <w:tcPr>
            <w:tcW w:w="1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(35,516)</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(31,469)</w:t>
            </w:r>
          </w:p>
        </w:tc>
      </w:tr>
      <w:tr>
        <w:trPr>
          <w:trHeight w:val="220"/>
        </w:trPr>
        <w:tc>
          <w:tcPr>
            <w:tcW w:w="6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74,391</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293,300</w:t>
            </w:r>
          </w:p>
        </w:tc>
      </w:tr>
      <w:tr>
        <w:trPr>
          <w:trHeight w:val="86"/>
        </w:trPr>
        <w:tc>
          <w:tcPr>
            <w:tcW w:w="66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217"/>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2,195</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w:t>
            </w:r>
          </w:p>
        </w:tc>
      </w:tr>
      <w:tr>
        <w:trPr>
          <w:trHeight w:val="86"/>
        </w:trPr>
        <w:tc>
          <w:tcPr>
            <w:tcW w:w="66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217"/>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7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(212,653)</w:t>
            </w:r>
          </w:p>
        </w:tc>
      </w:tr>
      <w:tr>
        <w:trPr>
          <w:trHeight w:val="213"/>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7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188,250</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405,612</w:t>
            </w:r>
          </w:p>
        </w:tc>
      </w:tr>
      <w:tr>
        <w:trPr>
          <w:trHeight w:val="213"/>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174,037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192,959</w:t>
            </w:r>
          </w:p>
        </w:tc>
      </w:tr>
      <w:tr>
        <w:trPr>
          <w:trHeight w:val="22"/>
        </w:trPr>
        <w:tc>
          <w:tcPr>
            <w:tcW w:w="66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72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103,970</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1,280,856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(33,125)</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1,351,701</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$0.34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(35,516)</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(35,516)</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351,032 shares of common stock under stock-based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351</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13,692</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5,224</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Contribution of 14,270 shares of common stock to a deferred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23,565 shares of common stock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4,520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106,860</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106,860</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3, 2023</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104,283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1,368,493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(28,605)</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1,444,171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105,206</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1,071,922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1,151,132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$0.30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(31,469)</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(31,469)</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109,658 shares of common stock under stock-based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109</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1,074</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5,225</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Contribution of 33,162 shares of common stock to a deferred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752,519 shares of common stock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(75,628)</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(76,381)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69,510</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69,510</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28,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104,529</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1,040,634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(25,614)</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1,119,549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3, 2023</w:t>
      </w:r>
    </w:p>
    <w:p>
      <w:pPr>
        <w:spacing w:after="0" w:line="332" w:lineRule="exact"/>
        <w:rPr>
          <w:sz w:val="20"/>
          <w:szCs w:val="20"/>
          <w:color w:val="auto"/>
        </w:rPr>
      </w:pPr>
    </w:p>
    <w:p>
      <w:pPr>
        <w:ind w:left="600" w:hanging="579"/>
        <w:spacing w:after="0"/>
        <w:tabs>
          <w:tab w:leader="none" w:pos="600" w:val="left"/>
        </w:tabs>
        <w:numPr>
          <w:ilvl w:val="0"/>
          <w:numId w:val="5"/>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three months ended February 3, 2023 cannot be annualized to determine the expected results for the fiscal year ending October 31, 2023.</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2022.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In November 2021, the Financial Accounting Standards Board ("FASB") issued ASU No. 2021-10, </w:t>
      </w:r>
      <w:r>
        <w:rPr>
          <w:rFonts w:ascii="Times New Roman" w:cs="Times New Roman" w:eastAsia="Times New Roman" w:hAnsi="Times New Roman"/>
          <w:sz w:val="17"/>
          <w:szCs w:val="17"/>
          <w:i w:val="1"/>
          <w:iCs w:val="1"/>
          <w:color w:val="auto"/>
        </w:rPr>
        <w:t>Government Assistance (Topic 832): Disclosures by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Entities about Government Assistance</w:t>
      </w:r>
      <w:r>
        <w:rPr>
          <w:rFonts w:ascii="Times New Roman" w:cs="Times New Roman" w:eastAsia="Times New Roman" w:hAnsi="Times New Roman"/>
          <w:sz w:val="17"/>
          <w:szCs w:val="17"/>
          <w:color w:val="auto"/>
        </w:rPr>
        <w:t>. The update increases the transparency of government assistance including annual disclosure of the types of assistance,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entity’s accounting for the assistance, and the effect of the assistance on an entity’s financial statements. The amended guidance will become effective for the company for the fiscal 2023 annual period. The company is currently evaluating the impact of this new standard on its Consolidated Financial Statements.</w:t>
      </w:r>
    </w:p>
    <w:p>
      <w:pPr>
        <w:spacing w:after="0" w:line="8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Business Combination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Intimidator Group</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January 13, 2022 ("the closing date"), during the first quarter of fiscal 2022, the company acquired the privately-held Intimidator Group ("Intimidator") for net aggregate purchase consideration of $399.8 million ("the purchase price").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the company's Professional reportable segment and expanded its manufacturing footprint and dealer network.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Accounting</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accounted for the acquisition in accordance with the accounting standards codification guidance for business combinations, whereby the purchase price was allocated to the acquired net tangible and intangible assets of Intimidator based on their fair values as of the closing date. During the first quarter of fiscal 2023, the company completed its valuation of income taxes to finalize the purchase price allocation.</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allocation of the purchase price to the fair values assigned to the assets acquired and liabilities assumed. These fair values are based on internal company and independent external third-party valuations: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6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January 13, 2022</w:t>
            </w:r>
          </w:p>
        </w:tc>
      </w:tr>
      <w:tr>
        <w:trPr>
          <w:trHeight w:val="20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6,954</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34,608</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27,447</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163,731</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Indefinite-lived trade name</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99,100</w:t>
            </w:r>
          </w:p>
        </w:tc>
      </w:tr>
      <w:tr>
        <w:trPr>
          <w:trHeight w:val="207"/>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Finite-lived trade names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r>
      <w:tr>
        <w:trPr>
          <w:trHeight w:val="207"/>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Finite-lived customer-related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w:t>
            </w:r>
          </w:p>
        </w:tc>
      </w:tr>
      <w:tr>
        <w:trPr>
          <w:trHeight w:val="207"/>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Finite-lived backlog</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7"/>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0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net assets acquired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400,741</w:t>
            </w:r>
          </w:p>
        </w:tc>
      </w:tr>
      <w:tr>
        <w:trPr>
          <w:trHeight w:val="207"/>
        </w:trPr>
        <w:tc>
          <w:tcPr>
            <w:tcW w:w="6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399,766</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 company's Professional segment. The acquisition was considered an asset purchase for income tax purposes and as a result, the goodwill arising from the transaction is deductible. There were no purchase accounting adjustments recorded in fiscal 2023 that impacted the carrying value of goodwill acquired.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Intangible Assets Acquired</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allocation of the purchase price to the net assets acquired resulted in the recognition of $184.2 million of value for other intangible assets as of the closing date. The fair values of the acquired trade names,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closing date, the acquired finite-lived intangible assets had a weighted average useful life of 9.5 years. The fair values of the trade names were determined using the relief from royalty method, which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closing date. The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closing date, the weighted-average useful life of the customer-related and backlog intangible assets were determined to be 9.6 years and 9 months, respectively.</w:t>
      </w:r>
    </w:p>
    <w:p>
      <w:pPr>
        <w:spacing w:after="0" w:line="101" w:lineRule="exact"/>
        <w:rPr>
          <w:sz w:val="20"/>
          <w:szCs w:val="20"/>
          <w:color w:val="auto"/>
        </w:rPr>
      </w:pPr>
    </w:p>
    <w:p>
      <w:pPr>
        <w:ind w:left="600" w:hanging="579"/>
        <w:spacing w:after="0"/>
        <w:tabs>
          <w:tab w:leader="none" w:pos="6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February 3, 2023</w:t>
            </w:r>
          </w:p>
        </w:tc>
        <w:tc>
          <w:tcPr>
            <w:tcW w:w="1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880,660</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264,615</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3,565</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1,148,840</w:t>
            </w:r>
          </w:p>
        </w:tc>
      </w:tr>
      <w:tr>
        <w:trPr>
          <w:trHeight w:val="20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10,855</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144,076</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37,832</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(50,594)</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131,314</w:t>
            </w:r>
          </w:p>
        </w:tc>
      </w:tr>
      <w:tr>
        <w:trPr>
          <w:trHeight w:val="20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2,782,797</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541,214</w:t>
            </w: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330,935</w:t>
            </w:r>
          </w:p>
        </w:tc>
        <w:tc>
          <w:tcPr>
            <w:tcW w:w="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3,654,946</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28, 2022</w:t>
            </w:r>
          </w:p>
        </w:tc>
        <w:tc>
          <w:tcPr>
            <w:tcW w:w="1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672,885</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255,402</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4,363</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932,650</w:t>
            </w:r>
          </w:p>
        </w:tc>
      </w:tr>
      <w:tr>
        <w:trPr>
          <w:trHeight w:val="20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93,272</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31,760</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(37,885)</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87,147</w:t>
            </w:r>
          </w:p>
        </w:tc>
      </w:tr>
      <w:tr>
        <w:trPr>
          <w:trHeight w:val="20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2,486,201</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444,549</w:t>
            </w: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322,295</w:t>
            </w:r>
          </w:p>
        </w:tc>
        <w:tc>
          <w:tcPr>
            <w:tcW w:w="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3,253,045</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50"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20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(43,662)</w:t>
            </w:r>
          </w:p>
        </w:tc>
        <w:tc>
          <w:tcPr>
            <w:tcW w:w="4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(32,828)</w:t>
            </w: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(14,124)</w:t>
            </w: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(7,013)</w:t>
            </w:r>
          </w:p>
        </w:tc>
      </w:tr>
      <w:tr>
        <w:trPr>
          <w:trHeight w:val="207"/>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from the company's wholly-owned domestic distribution company and other income, net</w:t>
            </w:r>
          </w:p>
        </w:tc>
        <w:tc>
          <w:tcPr>
            <w:tcW w:w="1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7,192</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r>
      <w:tr>
        <w:trPr>
          <w:trHeight w:val="20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(50,594)</w:t>
            </w:r>
          </w:p>
        </w:tc>
        <w:tc>
          <w:tcPr>
            <w:tcW w:w="4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(37,885)</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February 3, 2023</w:t>
            </w:r>
          </w:p>
        </w:tc>
        <w:tc>
          <w:tcPr>
            <w:tcW w:w="1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778,251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253,432</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1,034,127</w:t>
            </w:r>
          </w:p>
        </w:tc>
      </w:tr>
      <w:tr>
        <w:trPr>
          <w:trHeight w:val="207"/>
        </w:trPr>
        <w:tc>
          <w:tcPr>
            <w:tcW w:w="3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102,409</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114,713</w:t>
            </w:r>
          </w:p>
        </w:tc>
      </w:tr>
      <w:tr>
        <w:trPr>
          <w:trHeight w:val="20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880,660</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264,615</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1,148,840</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9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696,494</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203,444</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903,503</w:t>
            </w:r>
          </w:p>
        </w:tc>
      </w:tr>
      <w:tr>
        <w:trPr>
          <w:trHeight w:val="207"/>
        </w:trPr>
        <w:tc>
          <w:tcPr>
            <w:tcW w:w="3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184,166</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61,171</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245,337</w:t>
            </w:r>
          </w:p>
        </w:tc>
      </w:tr>
      <w:tr>
        <w:trPr>
          <w:trHeight w:val="20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880,660</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264,615</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1,148,840</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28, 2022</w:t>
            </w:r>
          </w:p>
        </w:tc>
        <w:tc>
          <w:tcPr>
            <w:tcW w:w="1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570,871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244,589</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818,607</w:t>
            </w:r>
          </w:p>
        </w:tc>
      </w:tr>
      <w:tr>
        <w:trPr>
          <w:trHeight w:val="207"/>
        </w:trPr>
        <w:tc>
          <w:tcPr>
            <w:tcW w:w="3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102,014</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114,043</w:t>
            </w:r>
          </w:p>
        </w:tc>
      </w:tr>
      <w:tr>
        <w:trPr>
          <w:trHeight w:val="20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672,885</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255,402</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932,650</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9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530,734</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202,567</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737,664</w:t>
            </w:r>
          </w:p>
        </w:tc>
      </w:tr>
      <w:tr>
        <w:trPr>
          <w:trHeight w:val="207"/>
        </w:trPr>
        <w:tc>
          <w:tcPr>
            <w:tcW w:w="3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142,151</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52,835</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194,986</w:t>
            </w:r>
          </w:p>
        </w:tc>
      </w:tr>
      <w:tr>
        <w:trPr>
          <w:trHeight w:val="20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672,885</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255,402</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932,650</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February 3, 2023 and October 31, 2022, $27.0 million and $28.0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months ended February 3, 2023, the company recognized $6.2 million of the October 31, 2022 deferred revenue balance within net sales in the Condensed Consolidated Statements of Earnings. The company expects to recognize approximately $8.5 million of the October 31, 2022 deferred revenue amount within net sales throughout the remainder of fiscal 2023, $8.1 million in fiscal 2024, and $5.2 million thereafter.</w:t>
      </w:r>
    </w:p>
    <w:p>
      <w:pPr>
        <w:spacing w:after="0" w:line="105" w:lineRule="exact"/>
        <w:rPr>
          <w:sz w:val="20"/>
          <w:szCs w:val="20"/>
          <w:color w:val="auto"/>
        </w:rPr>
      </w:pPr>
    </w:p>
    <w:p>
      <w:pPr>
        <w:ind w:left="600" w:hanging="579"/>
        <w:spacing w:after="0"/>
        <w:tabs>
          <w:tab w:leader="none" w:pos="600" w:val="left"/>
        </w:tabs>
        <w:numPr>
          <w:ilvl w:val="0"/>
          <w:numId w:val="9"/>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three months of fiscal 2023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1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573,031</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10,266</w:t>
            </w:r>
          </w:p>
        </w:tc>
        <w:tc>
          <w:tcPr>
            <w:tcW w:w="11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583,297</w:t>
            </w:r>
          </w:p>
        </w:tc>
      </w:tr>
      <w:tr>
        <w:trPr>
          <w:trHeight w:val="20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225"/>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3, 2023</w:t>
            </w:r>
          </w:p>
        </w:tc>
        <w:tc>
          <w:tcPr>
            <w:tcW w:w="18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574,126</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w:t>
            </w:r>
          </w:p>
        </w:tc>
        <w:tc>
          <w:tcPr>
            <w:tcW w:w="112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584,550</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February 3, 2023, January 28, 2022, and October 31, 2022 were as follows (dollars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tcPr>
          <w:p>
            <w:pPr>
              <w:jc w:val="center"/>
              <w:ind w:left="1455"/>
              <w:spacing w:after="0" w:line="16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3040" w:type="dxa"/>
            <w:vAlign w:val="bottom"/>
            <w:tcBorders>
              <w:bottom w:val="single" w:sz="8" w:color="auto"/>
            </w:tcBorders>
          </w:tcPr>
          <w:p>
            <w:pPr>
              <w:jc w:val="center"/>
              <w:ind w:left="1455"/>
              <w:spacing w:after="0"/>
              <w:rPr>
                <w:sz w:val="20"/>
                <w:szCs w:val="20"/>
                <w:color w:val="auto"/>
              </w:rPr>
            </w:pPr>
            <w:r>
              <w:rPr>
                <w:rFonts w:ascii="Times New Roman" w:cs="Times New Roman" w:eastAsia="Times New Roman" w:hAnsi="Times New Roman"/>
                <w:sz w:val="16"/>
                <w:szCs w:val="16"/>
                <w:b w:val="1"/>
                <w:bCs w:val="1"/>
                <w:color w:val="auto"/>
                <w:w w:val="98"/>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6,889</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321,334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(89,935)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231,399</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102,125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46,302</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10,744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5,730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465,075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(177,523)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287,552</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289,512</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289,512</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754,587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(177,523)</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577,064</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69"/>
        </w:trPr>
        <w:tc>
          <w:tcPr>
            <w:tcW w:w="368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154"/>
        </w:trPr>
        <w:tc>
          <w:tcPr>
            <w:tcW w:w="3680" w:type="dxa"/>
            <w:vAlign w:val="bottom"/>
          </w:tcPr>
          <w:p>
            <w:pPr>
              <w:spacing w:after="0"/>
              <w:rPr>
                <w:sz w:val="13"/>
                <w:szCs w:val="13"/>
                <w:color w:val="auto"/>
              </w:rPr>
            </w:pPr>
          </w:p>
        </w:tc>
        <w:tc>
          <w:tcPr>
            <w:tcW w:w="3040" w:type="dxa"/>
            <w:vAlign w:val="bottom"/>
          </w:tcPr>
          <w:p>
            <w:pPr>
              <w:jc w:val="center"/>
              <w:ind w:left="1455"/>
              <w:spacing w:after="0" w:line="154"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00" w:type="dxa"/>
            <w:vAlign w:val="bottom"/>
          </w:tcPr>
          <w:p>
            <w:pPr>
              <w:spacing w:after="0"/>
              <w:rPr>
                <w:sz w:val="13"/>
                <w:szCs w:val="13"/>
                <w:color w:val="auto"/>
              </w:rPr>
            </w:pPr>
          </w:p>
        </w:tc>
        <w:tc>
          <w:tcPr>
            <w:tcW w:w="1300" w:type="dxa"/>
            <w:vAlign w:val="bottom"/>
          </w:tcPr>
          <w:p>
            <w:pPr>
              <w:jc w:val="center"/>
              <w:ind w:right="80"/>
              <w:spacing w:after="0" w:line="154"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Pr>
          <w:p>
            <w:pPr>
              <w:spacing w:after="0"/>
              <w:rPr>
                <w:sz w:val="13"/>
                <w:szCs w:val="13"/>
                <w:color w:val="auto"/>
              </w:rPr>
            </w:pPr>
          </w:p>
        </w:tc>
        <w:tc>
          <w:tcPr>
            <w:tcW w:w="1300" w:type="dxa"/>
            <w:vAlign w:val="bottom"/>
          </w:tcPr>
          <w:p>
            <w:pPr>
              <w:jc w:val="right"/>
              <w:ind w:right="220"/>
              <w:spacing w:after="0" w:line="15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3040" w:type="dxa"/>
            <w:vAlign w:val="bottom"/>
            <w:tcBorders>
              <w:bottom w:val="single" w:sz="8" w:color="auto"/>
            </w:tcBorders>
          </w:tcPr>
          <w:p>
            <w:pPr>
              <w:jc w:val="center"/>
              <w:ind w:left="1455"/>
              <w:spacing w:after="0"/>
              <w:rPr>
                <w:sz w:val="20"/>
                <w:szCs w:val="20"/>
                <w:color w:val="auto"/>
              </w:rPr>
            </w:pPr>
            <w:r>
              <w:rPr>
                <w:rFonts w:ascii="Times New Roman" w:cs="Times New Roman" w:eastAsia="Times New Roman" w:hAnsi="Times New Roman"/>
                <w:sz w:val="16"/>
                <w:szCs w:val="16"/>
                <w:b w:val="1"/>
                <w:bCs w:val="1"/>
                <w:color w:val="auto"/>
                <w:w w:val="98"/>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(14,858)</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6,921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322,296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255,971</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87,427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41,679</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10,762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6,640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452,337</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(141,244)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311,093</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289,704</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289,704</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742,041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(141,244)</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600,797</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82"/>
        </w:trPr>
        <w:tc>
          <w:tcPr>
            <w:tcW w:w="36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48"/>
        </w:trPr>
        <w:tc>
          <w:tcPr>
            <w:tcW w:w="3680" w:type="dxa"/>
            <w:vAlign w:val="bottom"/>
          </w:tcPr>
          <w:p>
            <w:pPr>
              <w:spacing w:after="0"/>
              <w:rPr>
                <w:sz w:val="12"/>
                <w:szCs w:val="12"/>
                <w:color w:val="auto"/>
              </w:rPr>
            </w:pPr>
          </w:p>
        </w:tc>
        <w:tc>
          <w:tcPr>
            <w:tcW w:w="3040" w:type="dxa"/>
            <w:vAlign w:val="bottom"/>
          </w:tcPr>
          <w:p>
            <w:pPr>
              <w:jc w:val="center"/>
              <w:ind w:left="1455"/>
              <w:spacing w:after="0" w:line="14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00" w:type="dxa"/>
            <w:vAlign w:val="bottom"/>
          </w:tcPr>
          <w:p>
            <w:pPr>
              <w:spacing w:after="0"/>
              <w:rPr>
                <w:sz w:val="12"/>
                <w:szCs w:val="12"/>
                <w:color w:val="auto"/>
              </w:rPr>
            </w:pPr>
          </w:p>
        </w:tc>
        <w:tc>
          <w:tcPr>
            <w:tcW w:w="1300" w:type="dxa"/>
            <w:vAlign w:val="bottom"/>
          </w:tcPr>
          <w:p>
            <w:pPr>
              <w:jc w:val="center"/>
              <w:ind w:right="80"/>
              <w:spacing w:after="0" w:line="148"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Pr>
          <w:p>
            <w:pPr>
              <w:spacing w:after="0"/>
              <w:rPr>
                <w:sz w:val="12"/>
                <w:szCs w:val="12"/>
                <w:color w:val="auto"/>
              </w:rPr>
            </w:pPr>
          </w:p>
        </w:tc>
        <w:tc>
          <w:tcPr>
            <w:tcW w:w="1300" w:type="dxa"/>
            <w:vAlign w:val="bottom"/>
          </w:tcPr>
          <w:p>
            <w:pPr>
              <w:jc w:val="right"/>
              <w:ind w:right="22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3040" w:type="dxa"/>
            <w:vAlign w:val="bottom"/>
            <w:tcBorders>
              <w:bottom w:val="single" w:sz="8" w:color="auto"/>
            </w:tcBorders>
          </w:tcPr>
          <w:p>
            <w:pPr>
              <w:jc w:val="center"/>
              <w:ind w:left="1455"/>
              <w:spacing w:after="0"/>
              <w:rPr>
                <w:sz w:val="20"/>
                <w:szCs w:val="20"/>
                <w:color w:val="auto"/>
              </w:rPr>
            </w:pPr>
            <w:r>
              <w:rPr>
                <w:rFonts w:ascii="Times New Roman" w:cs="Times New Roman" w:eastAsia="Times New Roman" w:hAnsi="Times New Roman"/>
                <w:sz w:val="16"/>
                <w:szCs w:val="16"/>
                <w:b w:val="1"/>
                <w:bCs w:val="1"/>
                <w:color w:val="auto"/>
                <w:w w:val="98"/>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(15,317)</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6,851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320,959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237,154</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101,915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48,914</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10,667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7,272</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5,730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464,332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(167,852)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296,480</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289,352</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289,352</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753,684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(167,852)</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585,832</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89"/>
        </w:trPr>
        <w:tc>
          <w:tcPr>
            <w:tcW w:w="3680" w:type="dxa"/>
            <w:vAlign w:val="bottom"/>
          </w:tcPr>
          <w:p>
            <w:pPr>
              <w:spacing w:after="0"/>
              <w:rPr>
                <w:sz w:val="24"/>
                <w:szCs w:val="24"/>
                <w:color w:val="auto"/>
              </w:rPr>
            </w:pPr>
          </w:p>
        </w:tc>
        <w:tc>
          <w:tcPr>
            <w:tcW w:w="3040" w:type="dxa"/>
            <w:vAlign w:val="bottom"/>
          </w:tcPr>
          <w:p>
            <w:pPr>
              <w:jc w:val="right"/>
              <w:ind w:right="915"/>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9"/>
        </w:trPr>
        <w:tc>
          <w:tcPr>
            <w:tcW w:w="36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Amortization expense for finite-lived intangible assets for the three months ended February 3, 2023 and January 28, 2022 was $9.1 million and $6.5 million, respectively. As of February 3, 2023, estimated amortization expense for the remainder of fiscal 2023 and succeeding fiscal years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8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r>
      <w:tr>
        <w:trPr>
          <w:trHeight w:val="20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(remaining)</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25,792</w:t>
            </w:r>
          </w:p>
        </w:tc>
      </w:tr>
      <w:tr>
        <w:trPr>
          <w:trHeight w:val="207"/>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8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33,022</w:t>
            </w:r>
          </w:p>
        </w:tc>
      </w:tr>
      <w:tr>
        <w:trPr>
          <w:trHeight w:val="20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8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30,170</w:t>
            </w:r>
          </w:p>
        </w:tc>
      </w:tr>
      <w:tr>
        <w:trPr>
          <w:trHeight w:val="207"/>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28,989</w:t>
            </w:r>
          </w:p>
        </w:tc>
      </w:tr>
      <w:tr>
        <w:trPr>
          <w:trHeight w:val="20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24,055</w:t>
            </w:r>
          </w:p>
        </w:tc>
      </w:tr>
      <w:tr>
        <w:trPr>
          <w:trHeight w:val="207"/>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21,533</w:t>
            </w:r>
          </w:p>
        </w:tc>
      </w:tr>
      <w:tr>
        <w:trPr>
          <w:trHeight w:val="207"/>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123,991</w:t>
            </w:r>
          </w:p>
        </w:tc>
      </w:tr>
      <w:tr>
        <w:trPr>
          <w:trHeight w:val="200"/>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8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287,552</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41"/>
                <w:szCs w:val="41"/>
                <w:b w:val="1"/>
                <w:bCs w:val="1"/>
                <w:color w:val="auto"/>
              </w:rPr>
              <w:t>6</w:t>
            </w:r>
          </w:p>
        </w:tc>
        <w:tc>
          <w:tcPr>
            <w:tcW w:w="47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5"/>
        </w:trPr>
        <w:tc>
          <w:tcPr>
            <w:tcW w:w="5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5120" w:type="dxa"/>
            <w:vAlign w:val="bottom"/>
            <w:tcBorders>
              <w:bottom w:val="single" w:sz="8" w:color="auto"/>
            </w:tcBorders>
            <w:gridSpan w:val="2"/>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5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October 31, 2022</w:t>
            </w:r>
          </w:p>
        </w:tc>
      </w:tr>
      <w:tr>
        <w:trPr>
          <w:trHeight w:val="200"/>
        </w:trPr>
        <w:tc>
          <w:tcPr>
            <w:tcW w:w="20" w:type="dxa"/>
            <w:vAlign w:val="bottom"/>
          </w:tcPr>
          <w:p>
            <w:pPr>
              <w:spacing w:after="0"/>
              <w:rPr>
                <w:sz w:val="17"/>
                <w:szCs w:val="17"/>
                <w:color w:val="auto"/>
              </w:rPr>
            </w:pP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r>
      <w:tr>
        <w:trPr>
          <w:trHeight w:val="207"/>
        </w:trPr>
        <w:tc>
          <w:tcPr>
            <w:tcW w:w="20" w:type="dxa"/>
            <w:vAlign w:val="bottom"/>
          </w:tcPr>
          <w:p>
            <w:pPr>
              <w:spacing w:after="0"/>
              <w:rPr>
                <w:sz w:val="17"/>
                <w:szCs w:val="17"/>
                <w:color w:val="auto"/>
              </w:rPr>
            </w:pP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r>
      <w:tr>
        <w:trPr>
          <w:trHeight w:val="207"/>
        </w:trPr>
        <w:tc>
          <w:tcPr>
            <w:tcW w:w="20" w:type="dxa"/>
            <w:vAlign w:val="bottom"/>
          </w:tcPr>
          <w:p>
            <w:pPr>
              <w:spacing w:after="0"/>
              <w:rPr>
                <w:sz w:val="17"/>
                <w:szCs w:val="17"/>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124,117</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124,055</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124,102</w:t>
            </w:r>
          </w:p>
        </w:tc>
      </w:tr>
      <w:tr>
        <w:trPr>
          <w:trHeight w:val="207"/>
        </w:trPr>
        <w:tc>
          <w:tcPr>
            <w:tcW w:w="20" w:type="dxa"/>
            <w:vAlign w:val="bottom"/>
          </w:tcPr>
          <w:p>
            <w:pPr>
              <w:spacing w:after="0"/>
              <w:rPr>
                <w:sz w:val="17"/>
                <w:szCs w:val="17"/>
                <w:color w:val="auto"/>
              </w:rPr>
            </w:pPr>
          </w:p>
        </w:tc>
        <w:tc>
          <w:tcPr>
            <w:tcW w:w="5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r>
      <w:tr>
        <w:trPr>
          <w:trHeight w:val="200"/>
        </w:trPr>
        <w:tc>
          <w:tcPr>
            <w:tcW w:w="20" w:type="dxa"/>
            <w:vAlign w:val="bottom"/>
          </w:tcPr>
          <w:p>
            <w:pPr>
              <w:spacing w:after="0"/>
              <w:rPr>
                <w:sz w:val="17"/>
                <w:szCs w:val="17"/>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1,091,015</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1,091,354</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990,768</w:t>
            </w:r>
          </w:p>
        </w:tc>
      </w:tr>
      <w:tr>
        <w:trPr>
          <w:trHeight w:val="207"/>
        </w:trPr>
        <w:tc>
          <w:tcPr>
            <w:tcW w:w="20" w:type="dxa"/>
            <w:vAlign w:val="bottom"/>
          </w:tcPr>
          <w:p>
            <w:pPr>
              <w:spacing w:after="0"/>
              <w:rPr>
                <w:sz w:val="17"/>
                <w:szCs w:val="17"/>
                <w:color w:val="auto"/>
              </w:rPr>
            </w:pPr>
          </w:p>
        </w:tc>
        <w:tc>
          <w:tcPr>
            <w:tcW w:w="5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5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1,091,015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991,354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990,768</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February 3, 2023, principal payments required on the company's outstanding indebtedness, based on the maturity dates defined within the company's debt arrangements, for the remainder of fiscal 2023 and succeeding fiscal years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9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r>
      <w:tr>
        <w:trPr>
          <w:trHeight w:val="20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(remaining)</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w:t>
            </w:r>
          </w:p>
        </w:tc>
      </w:tr>
      <w:tr>
        <w:trPr>
          <w:trHeight w:val="207"/>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363,000</w:t>
            </w:r>
          </w:p>
        </w:tc>
      </w:tr>
      <w:tr>
        <w:trPr>
          <w:trHeight w:val="20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r>
      <w:tr>
        <w:trPr>
          <w:trHeight w:val="207"/>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425,000</w:t>
            </w:r>
          </w:p>
        </w:tc>
      </w:tr>
      <w:tr>
        <w:trPr>
          <w:trHeight w:val="20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principal payments required</w:t>
            </w:r>
          </w:p>
        </w:tc>
        <w:tc>
          <w:tcPr>
            <w:tcW w:w="3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1,095,000</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in compliance with all covenants under the company’s outstanding indebtedness as of February 3, 2023.</w:t>
      </w:r>
    </w:p>
    <w:p>
      <w:pPr>
        <w:spacing w:after="0" w:line="142"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2022</w:t>
            </w:r>
          </w:p>
        </w:tc>
      </w:tr>
      <w:tr>
        <w:trPr>
          <w:trHeight w:val="20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482,884</w:t>
            </w:r>
          </w:p>
        </w:tc>
      </w:tr>
      <w:tr>
        <w:trPr>
          <w:trHeight w:val="20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803,027</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584,274</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738,097</w:t>
            </w:r>
          </w:p>
        </w:tc>
      </w:tr>
      <w:tr>
        <w:trPr>
          <w:trHeight w:val="20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0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1,301,310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967,559</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1,220,981</w:t>
            </w:r>
          </w:p>
        </w:tc>
      </w:tr>
      <w:tr>
        <w:trPr>
          <w:trHeight w:val="20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169,872</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135,487</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169,872</w:t>
            </w: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832,072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1,051,109</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2022</w:t>
            </w:r>
          </w:p>
        </w:tc>
      </w:tr>
      <w:tr>
        <w:trPr>
          <w:trHeight w:val="20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59,550</w:t>
            </w:r>
          </w:p>
        </w:tc>
      </w:tr>
      <w:tr>
        <w:trPr>
          <w:trHeight w:val="20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9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327,731</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326,137</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324,343</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9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559,793</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529,289</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557,588</w:t>
            </w:r>
          </w:p>
        </w:tc>
      </w:tr>
      <w:tr>
        <w:trPr>
          <w:trHeight w:val="20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19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226,961</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221,646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225,865</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9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105,497</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97,629</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104,713</w:t>
            </w:r>
          </w:p>
        </w:tc>
      </w:tr>
      <w:tr>
        <w:trPr>
          <w:trHeight w:val="20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19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169,103</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95,448</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144,418</w:t>
            </w:r>
          </w:p>
        </w:tc>
      </w:tr>
      <w:tr>
        <w:trPr>
          <w:trHeight w:val="20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19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1,450,501</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1,328,073</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1,416,477</w:t>
            </w:r>
          </w:p>
        </w:tc>
      </w:tr>
      <w:tr>
        <w:trPr>
          <w:trHeight w:val="20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9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866,354</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820,524</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844,816</w:t>
            </w:r>
          </w:p>
        </w:tc>
      </w:tr>
      <w:tr>
        <w:trPr>
          <w:trHeight w:val="225"/>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571,661</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warranty accrual for the cost of a major rework campaign is primarily based on an estimate of the cost to repair each affected unit and the number of affected units expected to be repaired.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50"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7"/>
              </w:rPr>
              <w:t>February 3, 2023</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20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134,541</w:t>
            </w:r>
          </w:p>
        </w:tc>
        <w:tc>
          <w:tcPr>
            <w:tcW w:w="4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116,783</w:t>
            </w: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warranties during the period (1)</w:t>
            </w:r>
          </w:p>
        </w:tc>
        <w:tc>
          <w:tcPr>
            <w:tcW w:w="23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23,293</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15,538</w:t>
            </w:r>
          </w:p>
        </w:tc>
      </w:tr>
      <w:tr>
        <w:trPr>
          <w:trHeight w:val="20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made during the period (1)</w:t>
            </w:r>
          </w:p>
        </w:tc>
        <w:tc>
          <w:tcPr>
            <w:tcW w:w="2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(14,255)</w:t>
            </w:r>
          </w:p>
        </w:tc>
      </w:tr>
      <w:tr>
        <w:trPr>
          <w:trHeight w:val="207"/>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2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5,973</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145,057</w:t>
            </w:r>
          </w:p>
        </w:tc>
        <w:tc>
          <w:tcPr>
            <w:tcW w:w="4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119,860</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firstLine="3"/>
        <w:spacing w:after="0" w:line="288" w:lineRule="auto"/>
        <w:tabs>
          <w:tab w:leader="none" w:pos="24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Presentation of prior period changes in accrued warranties has been conformed to the current year presentation. There was no impact to the balance of accrued warranties in any period.</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Investment in Joint Venture</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$800.0 million secured revolving credit facility established under a credit agreement between Red Iron and HDF. The company's total investment in Red Iron as of February 3, 2023, January 28, 2022 and October 31, 2022 was $45.7 million, $24.1 million, and $39.3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50"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20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5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r>
      <w:tr>
        <w:trPr>
          <w:trHeight w:val="220"/>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share awards</w:t>
            </w:r>
          </w:p>
        </w:tc>
        <w:tc>
          <w:tcPr>
            <w:tcW w:w="2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w:t>
            </w:r>
          </w:p>
        </w:tc>
      </w:tr>
      <w:tr>
        <w:trPr>
          <w:trHeight w:val="22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 awards</w:t>
            </w:r>
          </w:p>
        </w:tc>
        <w:tc>
          <w:tcPr>
            <w:tcW w:w="2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r>
      <w:tr>
        <w:trPr>
          <w:trHeight w:val="207"/>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2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25"/>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5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w:t>
            </w:r>
          </w:p>
        </w:tc>
      </w:tr>
      <w:tr>
        <w:trPr>
          <w:trHeight w:val="20"/>
        </w:trPr>
        <w:tc>
          <w:tcPr>
            <w:tcW w:w="62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7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three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ind w:left="2600"/>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14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Fiscal 2022</w:t>
            </w:r>
          </w:p>
        </w:tc>
      </w:tr>
      <w:tr>
        <w:trPr>
          <w:trHeight w:val="20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740" w:type="dxa"/>
            <w:vAlign w:val="bottom"/>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9"/>
              </w:rPr>
              <w:t>6.32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6.19</w:t>
            </w: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740" w:type="dxa"/>
            <w:vAlign w:val="bottom"/>
          </w:tcPr>
          <w:p>
            <w:pPr>
              <w:jc w:val="center"/>
              <w:ind w:left="2140"/>
              <w:spacing w:after="0"/>
              <w:rPr>
                <w:sz w:val="20"/>
                <w:szCs w:val="20"/>
                <w:color w:val="auto"/>
              </w:rPr>
            </w:pPr>
            <w:r>
              <w:rPr>
                <w:rFonts w:ascii="Times New Roman" w:cs="Times New Roman" w:eastAsia="Times New Roman" w:hAnsi="Times New Roman"/>
                <w:sz w:val="16"/>
                <w:szCs w:val="16"/>
                <w:color w:val="auto"/>
                <w:w w:val="97"/>
              </w:rPr>
              <w:t>25.19%</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23.76%</w:t>
            </w:r>
          </w:p>
        </w:tc>
      </w:tr>
      <w:tr>
        <w:trPr>
          <w:trHeight w:val="20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740" w:type="dxa"/>
            <w:vAlign w:val="bottom"/>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6"/>
              </w:rPr>
              <w:t>3.79%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1.30%</w:t>
            </w: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740" w:type="dxa"/>
            <w:vAlign w:val="bottom"/>
          </w:tcPr>
          <w:p>
            <w:pPr>
              <w:jc w:val="center"/>
              <w:ind w:left="2140"/>
              <w:spacing w:after="0"/>
              <w:rPr>
                <w:sz w:val="20"/>
                <w:szCs w:val="20"/>
                <w:color w:val="auto"/>
              </w:rPr>
            </w:pPr>
            <w:r>
              <w:rPr>
                <w:rFonts w:ascii="Times New Roman" w:cs="Times New Roman" w:eastAsia="Times New Roman" w:hAnsi="Times New Roman"/>
                <w:sz w:val="16"/>
                <w:szCs w:val="16"/>
                <w:color w:val="auto"/>
                <w:w w:val="96"/>
              </w:rPr>
              <w:t>0.95%</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0.93%</w:t>
            </w:r>
          </w:p>
        </w:tc>
      </w:tr>
      <w:tr>
        <w:trPr>
          <w:trHeight w:val="207"/>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740" w:type="dxa"/>
            <w:vAlign w:val="bottom"/>
            <w:tcBorders>
              <w:bottom w:val="single" w:sz="8" w:color="auto"/>
            </w:tcBorders>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9"/>
              </w:rPr>
              <w:t>$33.23</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$22.58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2023 and 2022 was $112.14 and $98.41,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three months of fiscal 2023 and 2022 was $109.78 and $99.94,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three months of fiscal 2023 and 2022, 10,329 and 6,453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7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2022</w:t>
            </w:r>
          </w:p>
        </w:tc>
      </w:tr>
      <w:tr>
        <w:trPr>
          <w:trHeight w:val="20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51,321</w:t>
            </w:r>
          </w:p>
        </w:tc>
      </w:tr>
      <w:tr>
        <w:trPr>
          <w:trHeight w:val="20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780" w:type="dxa"/>
            <w:vAlign w:val="bottom"/>
          </w:tcPr>
          <w:p>
            <w:pPr>
              <w:spacing w:after="0"/>
              <w:rPr>
                <w:sz w:val="17"/>
                <w:szCs w:val="17"/>
                <w:color w:val="auto"/>
              </w:rPr>
            </w:pPr>
          </w:p>
        </w:tc>
        <w:tc>
          <w:tcPr>
            <w:tcW w:w="1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3,621</w:t>
            </w:r>
          </w:p>
        </w:tc>
        <w:tc>
          <w:tcPr>
            <w:tcW w:w="220" w:type="dxa"/>
            <w:vAlign w:val="bottom"/>
          </w:tcPr>
          <w:p>
            <w:pPr>
              <w:spacing w:after="0"/>
              <w:rPr>
                <w:sz w:val="17"/>
                <w:szCs w:val="17"/>
                <w:color w:val="auto"/>
              </w:rPr>
            </w:pPr>
          </w:p>
        </w:tc>
        <w:tc>
          <w:tcPr>
            <w:tcW w:w="1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3,899</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w:t>
            </w:r>
          </w:p>
        </w:tc>
      </w:tr>
      <w:tr>
        <w:trPr>
          <w:trHeight w:val="207"/>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7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2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(21,817)</w:t>
            </w:r>
          </w:p>
        </w:tc>
      </w:tr>
      <w:tr>
        <w:trPr>
          <w:trHeight w:val="20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28,605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25,614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33,125</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month periods ended February 3, 2023 and January 28, 2022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00"/>
              <w:spacing w:after="0" w:line="16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80" w:type="dxa"/>
            <w:vAlign w:val="bottom"/>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51,321</w:t>
            </w: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(21,817)</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33,125</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21,586</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(21,182)</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16,662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3, 2023</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30,139</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4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20" w:type="dxa"/>
            <w:vAlign w:val="bottom"/>
          </w:tcPr>
          <w:p>
            <w:pPr>
              <w:spacing w:after="0"/>
              <w:rPr>
                <w:sz w:val="14"/>
                <w:szCs w:val="14"/>
                <w:color w:val="auto"/>
              </w:rPr>
            </w:pPr>
          </w:p>
        </w:tc>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19,535</w:t>
            </w: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2,562</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5,990</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269</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5,990</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28, 2022</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25,525</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Reconciliations of basic and diluted weighted-average number of shares of common stock outstanding were as follows:</w:t>
      </w:r>
    </w:p>
    <w:p>
      <w:pPr>
        <w:spacing w:after="0" w:line="150"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Borders>
              <w:top w:val="single" w:sz="8" w:color="auto"/>
              <w:bottom w:val="single" w:sz="8" w:color="auto"/>
            </w:tcBorders>
          </w:tcPr>
          <w:p>
            <w:pPr>
              <w:spacing w:after="0"/>
              <w:rPr>
                <w:sz w:val="17"/>
                <w:szCs w:val="17"/>
                <w:color w:val="auto"/>
              </w:rPr>
            </w:pPr>
          </w:p>
        </w:tc>
        <w:tc>
          <w:tcPr>
            <w:tcW w:w="66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31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4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i w:val="1"/>
                <w:iCs w:val="1"/>
                <w:color w:val="auto"/>
                <w:w w:val="95"/>
              </w:rPr>
              <w:t>Basic</w:t>
            </w:r>
          </w:p>
        </w:tc>
        <w:tc>
          <w:tcPr>
            <w:tcW w:w="6280" w:type="dxa"/>
            <w:vAlign w:val="bottom"/>
            <w:tcBorders>
              <w:bottom w:val="single" w:sz="8" w:color="CCEEFF"/>
            </w:tcBorders>
            <w:gridSpan w:val="2"/>
            <w:shd w:val="clear" w:color="auto" w:fill="CCEEFF"/>
          </w:tcPr>
          <w:p>
            <w:pPr>
              <w:spacing w:after="0"/>
              <w:rPr>
                <w:sz w:val="15"/>
                <w:szCs w:val="15"/>
                <w:color w:val="auto"/>
              </w:rPr>
            </w:pPr>
          </w:p>
        </w:tc>
        <w:tc>
          <w:tcPr>
            <w:tcW w:w="3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w:t>
            </w:r>
          </w:p>
        </w:tc>
        <w:tc>
          <w:tcPr>
            <w:tcW w:w="3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104,484</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105,015</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Assumed issuance of contingent shares</w:t>
            </w:r>
          </w:p>
        </w:tc>
        <w:tc>
          <w:tcPr>
            <w:tcW w:w="3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0"/>
        </w:trPr>
        <w:tc>
          <w:tcPr>
            <w:tcW w:w="2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3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104,501</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9"/>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160" w:type="dxa"/>
            <w:vAlign w:val="bottom"/>
          </w:tcPr>
          <w:p>
            <w:pPr>
              <w:spacing w:after="0"/>
              <w:rPr>
                <w:sz w:val="6"/>
                <w:szCs w:val="6"/>
                <w:color w:val="auto"/>
              </w:rPr>
            </w:pPr>
          </w:p>
        </w:tc>
        <w:tc>
          <w:tcPr>
            <w:tcW w:w="318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i w:val="1"/>
                <w:iCs w:val="1"/>
                <w:color w:val="auto"/>
                <w:w w:val="95"/>
              </w:rPr>
              <w:t>Diluted</w:t>
            </w:r>
          </w:p>
        </w:tc>
        <w:tc>
          <w:tcPr>
            <w:tcW w:w="616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7"/>
        </w:trPr>
        <w:tc>
          <w:tcPr>
            <w:tcW w:w="20" w:type="dxa"/>
            <w:vAlign w:val="bottom"/>
          </w:tcPr>
          <w:p>
            <w:pPr>
              <w:spacing w:after="0"/>
              <w:rPr>
                <w:sz w:val="17"/>
                <w:szCs w:val="17"/>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3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104,501</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105,037</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3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200"/>
        </w:trPr>
        <w:tc>
          <w:tcPr>
            <w:tcW w:w="2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3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105,577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106,048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268,737 and 466,338 shares of common stock during the first quarter of fiscal 2023</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2022, respectively, were excluded from the computation of diluted net earnings per share of common stock because they were anti-dilutive.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Commitments and Contingencies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this arrangement with Red Iron for the three months ended February 3, 2023 and January 28, 2022 were $674.4 million and $528.1 million, respectively. The total amount of net receivables outstanding under this arrangement with Red Iron as of February 3, 2023, January 28, 2022, and October 31, 2022 were $942.0 million, $494.6 million and $776.1 million, respectively. The total amount of receivables due from Red Iron to the company as of February 3, 2023, January 28, 2022, and October 31, 2022 were $17.3 million, $28.1 million and $17.7 million, respectively.</w:t>
      </w:r>
    </w:p>
    <w:p>
      <w:pPr>
        <w:spacing w:after="0" w:line="2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three months ended February 3, 2023 and January 28, 2022 were $111.3 million and $106.5 million, respectively. As of February 3, 2023, January 28, 2022, and October 31, 2022, $166.1 million, $220.0 million and $220.0 million of receivables financed by HCFC and the other third-party financial institutions were outstanding,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February 3, 2023, January 28, 2022 and October 31, 2022, the company was contingently liable to repurchase up to a maximum amount of $79.4 million, $172.3 million and $80.0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three months ended February 3, 2023 and January 28,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50"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4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January 28, 2022</w:t>
            </w:r>
          </w:p>
        </w:tc>
      </w:tr>
      <w:tr>
        <w:trPr>
          <w:trHeight w:val="20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w:t>
            </w: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3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r>
      <w:tr>
        <w:trPr>
          <w:trHeight w:val="207"/>
        </w:trPr>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34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3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7,580</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50"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January 28, 2022</w:t>
            </w:r>
          </w:p>
        </w:tc>
      </w:tr>
      <w:tr>
        <w:trPr>
          <w:trHeight w:val="20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r>
      <w:tr>
        <w:trPr>
          <w:trHeight w:val="207"/>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14,881</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8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16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October 31, 2022</w:t>
            </w:r>
          </w:p>
        </w:tc>
      </w:tr>
      <w:tr>
        <w:trPr>
          <w:trHeight w:val="20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18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7"/>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3.61 %</w:t>
            </w: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2.56 %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3.53 %</w:t>
            </w: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February 3, 2023:</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4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r>
      <w:tr>
        <w:trPr>
          <w:trHeight w:val="20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(remaining)</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13,508</w:t>
            </w: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18,455</w:t>
            </w:r>
          </w:p>
        </w:tc>
      </w:tr>
      <w:tr>
        <w:trPr>
          <w:trHeight w:val="20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w:t>
            </w: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10,801</w:t>
            </w:r>
          </w:p>
        </w:tc>
      </w:tr>
      <w:tr>
        <w:trPr>
          <w:trHeight w:val="20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w:t>
            </w:r>
          </w:p>
        </w:tc>
      </w:tr>
      <w:tr>
        <w:trPr>
          <w:trHeight w:val="207"/>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17,678</w:t>
            </w:r>
          </w:p>
        </w:tc>
      </w:tr>
      <w:tr>
        <w:trPr>
          <w:trHeight w:val="20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4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84,229</w:t>
            </w:r>
          </w:p>
        </w:tc>
      </w:tr>
      <w:tr>
        <w:trPr>
          <w:trHeight w:val="207"/>
        </w:trPr>
        <w:tc>
          <w:tcPr>
            <w:tcW w:w="6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7,587</w:t>
            </w:r>
          </w:p>
        </w:tc>
      </w:tr>
      <w:tr>
        <w:trPr>
          <w:trHeight w:val="225"/>
        </w:trPr>
        <w:tc>
          <w:tcPr>
            <w:tcW w:w="6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76,642</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derivative instruments are primarily based on the amount of exposure to the currency involved and an assessment of the near-term market value for each currency.</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2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75" w:lineRule="exact"/>
        <w:rPr>
          <w:sz w:val="20"/>
          <w:szCs w:val="20"/>
          <w:color w:val="auto"/>
        </w:rPr>
      </w:pPr>
    </w:p>
    <w:p>
      <w:pPr>
        <w:ind w:right="700"/>
        <w:spacing w:after="0" w:line="380" w:lineRule="auto"/>
        <w:rPr>
          <w:sz w:val="20"/>
          <w:szCs w:val="20"/>
          <w:color w:val="auto"/>
        </w:rPr>
      </w:pPr>
      <w:r>
        <w:rPr>
          <w:rFonts w:ascii="Times New Roman" w:cs="Times New Roman" w:eastAsia="Times New Roman" w:hAnsi="Times New Roman"/>
          <w:sz w:val="17"/>
          <w:szCs w:val="17"/>
          <w:color w:val="auto"/>
        </w:rPr>
        <w:t xml:space="preserve">As of February 3, 2023, the notional amount outstanding of forward currency contracts designated as cash flow hedging instruments was $288.6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2022</w:t>
            </w:r>
          </w:p>
        </w:tc>
      </w:tr>
      <w:tr>
        <w:trPr>
          <w:trHeight w:val="20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27,733</w:t>
            </w:r>
          </w:p>
        </w:tc>
      </w:tr>
      <w:tr>
        <w:trPr>
          <w:trHeight w:val="20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w:t>
            </w:r>
          </w:p>
        </w:tc>
      </w:tr>
      <w:tr>
        <w:trPr>
          <w:trHeight w:val="2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33,256</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9"/>
        </w:trPr>
        <w:tc>
          <w:tcPr>
            <w:tcW w:w="5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October 31, 2022</w:t>
            </w:r>
          </w:p>
        </w:tc>
      </w:tr>
      <w:tr>
        <w:trPr>
          <w:trHeight w:val="20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6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33,256</w:t>
            </w:r>
          </w:p>
        </w:tc>
      </w:tr>
      <w:tr>
        <w:trPr>
          <w:trHeight w:val="207"/>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33,256</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46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6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months ended February 3, 2023 and January 28,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50"/>
        </w:trPr>
        <w:tc>
          <w:tcPr>
            <w:tcW w:w="5280" w:type="dxa"/>
            <w:vAlign w:val="bottom"/>
          </w:tcPr>
          <w:p>
            <w:pPr>
              <w:spacing w:after="0"/>
              <w:rPr>
                <w:sz w:val="13"/>
                <w:szCs w:val="13"/>
                <w:color w:val="auto"/>
              </w:rPr>
            </w:pPr>
          </w:p>
        </w:tc>
        <w:tc>
          <w:tcPr>
            <w:tcW w:w="2980" w:type="dxa"/>
            <w:vAlign w:val="bottom"/>
            <w:gridSpan w:val="4"/>
          </w:tcPr>
          <w:p>
            <w:pPr>
              <w:jc w:val="right"/>
              <w:ind w:right="20"/>
              <w:spacing w:after="0" w:line="150" w:lineRule="exact"/>
              <w:rPr>
                <w:sz w:val="20"/>
                <w:szCs w:val="20"/>
                <w:color w:val="auto"/>
              </w:rPr>
            </w:pPr>
            <w:r>
              <w:rPr>
                <w:rFonts w:ascii="Times New Roman" w:cs="Times New Roman" w:eastAsia="Times New Roman" w:hAnsi="Times New Roman"/>
                <w:sz w:val="16"/>
                <w:szCs w:val="16"/>
                <w:b w:val="1"/>
                <w:bCs w:val="1"/>
                <w:color w:val="auto"/>
              </w:rPr>
              <w:t>Gain (Loss) Reclassified from AOCL into</w:t>
            </w:r>
          </w:p>
        </w:tc>
        <w:tc>
          <w:tcPr>
            <w:tcW w:w="160" w:type="dxa"/>
            <w:vAlign w:val="bottom"/>
          </w:tcPr>
          <w:p>
            <w:pPr>
              <w:spacing w:after="0"/>
              <w:rPr>
                <w:sz w:val="13"/>
                <w:szCs w:val="13"/>
                <w:color w:val="auto"/>
              </w:rPr>
            </w:pPr>
          </w:p>
        </w:tc>
        <w:tc>
          <w:tcPr>
            <w:tcW w:w="2820" w:type="dxa"/>
            <w:vAlign w:val="bottom"/>
            <w:gridSpan w:val="3"/>
          </w:tcPr>
          <w:p>
            <w:pPr>
              <w:jc w:val="right"/>
              <w:ind w:right="220"/>
              <w:spacing w:after="0" w:line="150" w:lineRule="exact"/>
              <w:rPr>
                <w:sz w:val="20"/>
                <w:szCs w:val="20"/>
                <w:color w:val="auto"/>
              </w:rPr>
            </w:pPr>
            <w:r>
              <w:rPr>
                <w:rFonts w:ascii="Times New Roman" w:cs="Times New Roman" w:eastAsia="Times New Roman" w:hAnsi="Times New Roman"/>
                <w:sz w:val="16"/>
                <w:szCs w:val="16"/>
                <w:b w:val="1"/>
                <w:bCs w:val="1"/>
                <w:color w:val="auto"/>
              </w:rPr>
              <w:t>Gain (Loss) Recognized in OCI on</w:t>
            </w:r>
          </w:p>
        </w:tc>
      </w:tr>
      <w:tr>
        <w:trPr>
          <w:trHeight w:val="215"/>
        </w:trPr>
        <w:tc>
          <w:tcPr>
            <w:tcW w:w="5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05"/>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January 28, 2022</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January 28, 2022</w:t>
            </w:r>
          </w:p>
        </w:tc>
      </w:tr>
      <w:tr>
        <w:trPr>
          <w:trHeight w:val="20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5,670</w:t>
            </w:r>
          </w:p>
        </w:tc>
      </w:tr>
      <w:tr>
        <w:trPr>
          <w:trHeight w:val="20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863</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601</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25"/>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recognized immaterial gains and losses within other income, net in the Condensed Consolidated Statements of Earnings during the first quarter of fiscal 2023 and fiscal 2022, respectively, due to the discontinuance of cash flow hedge accounting on certain forward currency contracts designated as cash flow hedging instruments. As of February 3, 2023, the company expects to reclassify approximately $4.8 million of gains from AOCL to earnings during the next twelve months.</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r>
      <w:tr>
        <w:trPr>
          <w:trHeight w:val="20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20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Cost of Sales</w:t>
            </w: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63"/>
        </w:trPr>
        <w:tc>
          <w:tcPr>
            <w:tcW w:w="46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amounts in which the effects of cash flow hedging instruments are</w:t>
            </w: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recorded</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1,148,840</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(752,916)</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932,650</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(632,174)</w:t>
            </w:r>
          </w:p>
        </w:tc>
      </w:tr>
      <w:tr>
        <w:trPr>
          <w:trHeight w:val="155"/>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5"/>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instruments: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30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863</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155"/>
        </w:trPr>
        <w:tc>
          <w:tcPr>
            <w:tcW w:w="462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6"/>
                <w:szCs w:val="16"/>
                <w:color w:val="auto"/>
              </w:rPr>
              <w:t>Gain (loss) on components excluded from effectiveness testing</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18"/>
        </w:trPr>
        <w:tc>
          <w:tcPr>
            <w:tcW w:w="4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in earnings based on changes in fair value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567</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83"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7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January 28, 2022</w:t>
            </w:r>
          </w:p>
        </w:tc>
      </w:tr>
      <w:tr>
        <w:trPr>
          <w:trHeight w:val="20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(Loss) gain on derivatives not designated as cash flow hedging instruments</w:t>
            </w:r>
          </w:p>
        </w:tc>
        <w:tc>
          <w:tcPr>
            <w:tcW w:w="17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7"/>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6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0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(loss) gain on derivatives not designated as cash flow hedging instruments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Fair Value Measurements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February 3, 2023, January 28, 2022, and October 31, 2022, according to the valuation technique utilized to determine their fair values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195580</wp:posOffset>
            </wp:positionV>
            <wp:extent cx="3216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10,609</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10,609</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1,472</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147955</wp:posOffset>
            </wp:positionV>
            <wp:extent cx="3216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4"/>
              </w:rPr>
              <w:t>6,942</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6,942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118</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131445</wp:posOffset>
            </wp:positionV>
            <wp:extent cx="3216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19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2022</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33,256</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33,256</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33,256</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33,256</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 For additional information on the company's business combination and the related non-recurring fair value measurement of the assets acquired and liabilities assumed, refer to Note 2,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February 3, 2023, January 28, 2022, and October 31, 2022, the company's long-term debt included $524.1 million, $424.1 million, and $524.1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February 3, 2023, the estimated gross fair value of long-term debt with fixed interest rates was $520.5 million compared to its gross carrying amount of $524.1 million. As of January 28, 2022, the estimated gross fair value of long-term debt with fixed interest rates was $499.1 million compared to its gross carrying amount of $424.1 million. As of October 31, 2022, the estimated gross fair value of long-term debt with fixed interest rates was $489.8 million compared to its gross carrying amount of $524.1 million. For additional information regarding long-term debt with fixed interest rates, refer to Note 6, </w:t>
      </w:r>
      <w:r>
        <w:rPr>
          <w:rFonts w:ascii="Times New Roman" w:cs="Times New Roman" w:eastAsia="Times New Roman" w:hAnsi="Times New Roman"/>
          <w:sz w:val="17"/>
          <w:szCs w:val="17"/>
          <w:i w:val="1"/>
          <w:iCs w:val="1"/>
          <w:color w:val="auto"/>
        </w:rPr>
        <w:t>Indebtedness.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18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2022.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Intimidator Group</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January 13, 2022 ("the closing date"), during the first quarter of fiscal 2022, we acquired the privately-held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our Professional reportable segment and expanded our manufacturing footprint and dealer network. The aggregate purchase consideration was $399.8 million. Subsequent to the closing date, Intimidator's results of operations have been included within our Professional reportable segment in our Condensed Consolidated Financial Statements and had an incremental impact to our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Professional reportable segment net sales for the first twelve months post acquisition, or through the first quarter of fiscal 2023. For the three months ended February 3, 2023, Intimidator's results of operations had an incremental impact on our Professional segment net sales of $49.6 million. Intimidator's operations had an immaterial impact on Professional segment earnings for the three months ended February 3, 2023. For additional information regarding the acquisition, refer to Note 2,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in the Notes to Condensed Consolidated Financial Statements included in Part I, Item 1 of this Quarterly Report on Form 10-Q.</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Consolidated net sales for the first quarter of fiscal 2023 were $1,148.8 million, up 23.2 percent compared to $932.7 million in the first quarter of fiscal 2022. Professional segment net sales for the first quarter of fiscal 2023 were $880.7 million, an increase of 30.9 percent compared to $672.9 million in the first quarter of the prior fiscal year. Residential segment net sales for the first quarter of fiscal 2023 were $264.6 million, an increase of 3.6 percent compared to $255.4 million in the first quarter of the prior fiscal year.</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earnings for the first quarter of fiscal 2023 were $106.9 million, or $1.01 per diluted share, compared to $69.5 million, or $0.66 per diluted share, for the first quarter of fiscal 2022. Adjusted net earnings for the first quarter of fiscal 2023 were $103.6 million, or $0.98 per diluted share, compared to $69.7 million, or $0.66 per diluted share, for the first quarter of fiscal 2022. Reconciliations of non-GAAP financial measures to the most directly comparable reported U.S. GAAP financial measures are included in the section titled "Non-GAAP Financial Measures" within this MD&amp;A.</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continued our history of paying quarterly cash dividends and increased our cash dividend for the first quarter of fiscal 2023 by 13.3 percent to $0.34 per share compared to $0.30 per share paid in the first quarter of fiscal 2022.</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Field inventory levels were higher as of the end of the first quarter of fiscal 2023 compared to the end of the first quarter of fiscal 2022 primarily driven by increased inventory costs resulting from inventory buildup to offset longer lead times and meet expected future demand, in addition to inflation.</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order backlog represents unfulfilled customer orders at a point in time. Our order backlog (including shipments beyond 12 months) was slightly higher as of the end of the first quarter of fiscal 2023 compared to the end of the fourth quarter of fiscal 2022 driven by continued strong demand.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Consolidated net sales for the first quarter of fiscal 2023 were $1,148.8 million, up 23.2 percent compared to $932.7 million in the first quarter of fiscal 2022. This net sales increase was primarily driven by higher volume, net price realization and the acquisition of Intimidator.</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in international markets increased by $50.4 million for the first quarter of fiscal 2023 compared to the first quarter of fiscal 2022. The international net sales increase for the first quarter of fiscal 2023 was mainly driven by higher volume and net price realization. Changes in foreign currency exchange rates resulted in a decrease in our net sales of approximately $6.3 million for the first quarter of fiscal 2023 compared to the first quarter of fiscal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50"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top w:val="single" w:sz="8" w:color="auto"/>
              <w:bottom w:val="single" w:sz="8" w:color="auto"/>
            </w:tcBorders>
          </w:tcPr>
          <w:p>
            <w:pPr>
              <w:spacing w:after="0"/>
              <w:rPr>
                <w:sz w:val="17"/>
                <w:szCs w:val="17"/>
                <w:color w:val="auto"/>
              </w:rPr>
            </w:pPr>
          </w:p>
        </w:tc>
        <w:tc>
          <w:tcPr>
            <w:tcW w:w="42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5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January 28, 2022</w:t>
            </w:r>
          </w:p>
        </w:tc>
      </w:tr>
      <w:tr>
        <w:trPr>
          <w:trHeight w:val="20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7"/>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2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(65.5)</w:t>
            </w:r>
          </w:p>
        </w:tc>
        <w:tc>
          <w:tcPr>
            <w:tcW w:w="15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(67.8)</w:t>
            </w:r>
          </w:p>
        </w:tc>
      </w:tr>
      <w:tr>
        <w:trPr>
          <w:trHeight w:val="20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42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34.5</w:t>
            </w:r>
          </w:p>
        </w:tc>
        <w:tc>
          <w:tcPr>
            <w:tcW w:w="15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w:t>
            </w:r>
          </w:p>
        </w:tc>
      </w:tr>
      <w:tr>
        <w:trPr>
          <w:trHeight w:val="207"/>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42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(22.6)</w:t>
            </w:r>
          </w:p>
        </w:tc>
        <w:tc>
          <w:tcPr>
            <w:tcW w:w="15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(22.4)</w:t>
            </w:r>
          </w:p>
        </w:tc>
      </w:tr>
      <w:tr>
        <w:trPr>
          <w:trHeight w:val="20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42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11.9</w:t>
            </w:r>
          </w:p>
        </w:tc>
        <w:tc>
          <w:tcPr>
            <w:tcW w:w="15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(1.2)</w:t>
            </w: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r>
      <w:tr>
        <w:trPr>
          <w:trHeight w:val="207"/>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2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0.7</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r>
      <w:tr>
        <w:trPr>
          <w:trHeight w:val="200"/>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2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11.4</w:t>
            </w: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r>
      <w:tr>
        <w:trPr>
          <w:trHeight w:val="207"/>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22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r>
      <w:tr>
        <w:trPr>
          <w:trHeight w:val="200"/>
        </w:trPr>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4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9.3 %</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Gross profit for the first quarter of fiscal 2023 was $395.9 million, up 31.8 percent compared to $300.5 million in the first quarter of fiscal 2022. Adjusted gross profit for the first quarter of fiscal 2023 was $396.1 million, up 31.8 percent compared to</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$300.5 million for the first quarter of fiscal 2022. Gross margin was 34.5 percent for the first quarter of fiscal 2023 compared to 32.2 percent for the first quarter of fiscal 2022, an increase of 230 basis points. The increase in gross margin was primarily due to net price realization and productivity improvements, partially offset by higher material, freight, and manufacturing costs. Reconciliations of non-GAAP financial measures to the most directly comparable reported U.S. GAAP financial measures are included in the section titled "Non-GAAP Financial Measures" within this MD&amp;A.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SG&amp;A expense increased $50.6 million, or 24.3 percent, for the first quarter of fiscal 2023 compared to the first quarter of fiscal 2022. As a percentage of net sales, SG&amp;A expense increased 20 basis points for the first quarter of fiscal 2023 compared to the first quarter of fiscal 2022. The increase in SG&amp;A expense as a percentage of net sales for the first quarter comparison was primarily due to higher warranty costs in certain of our Professional segment businesses, partially offset by net sales leverage.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Interest expense increased $7.1 million for the first quarter of fiscal 2023 compared to the first quarter of fiscal 2022. This increase was driven by higher average outstanding borrowings under our debt arrangements and higher average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Other income, net for the first quarter of fiscal 2023 increased $6.5 million compared to the first quarter of fiscal 2022. This increase was primarily due to higher income from our Red Iron joint venture and the favorable impact from derivative instruments.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effective tax rate for the first quarter of fiscal 2023 was 18.6 percent compared to 20.2 percent in the first quarter of fiscal 2022. The decrease in the effective tax rate for the first quarter was primarily due to higher tax benefits recorded as excess tax deductions for stock compensation in the current-year period compared to the same period of fiscal 2022. The adjusted effective tax rate for the first quarter of fiscal 2023 was 21.4 percent, compared to an adjusted effective tax rate of 20.9 percent in the first quarter of fiscal 2022. Reconciliations of non-GAAP financial measures to the most directly comparable reported U.S. GAAP financial measures are included in the section titled "Non-GAAP Financial Measures."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Net earnings for the first quarter of fiscal 2023 were $106.9 million, or $1.01 per diluted share, compared to $69.5 million, or $0.66 per diluted share, for the first quarter of fiscal 2022, an increase of 53.0 percent per diluted share. Adjusted net earnings for the first quarter of fiscal 2023 were $103.6 million, or $0.98 per diluted share, compared to $69.7 million, or $0.66 per diluted share, for the first quarter of fiscal 2022, an increase of 48.5 percent per diluted share. The increase in net earnings per diluted share for the first quarter comparison was primarily due to net price realization, higher Professional segment net sales volume, and productivity improvements, partially offset by higher material, freight, and manufacturing costs.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7"/>
              </w:rPr>
              <w:t>February 3, 2023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January 28, 2022</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880,660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672,885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207,775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30.9 %</w:t>
            </w: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5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264,615</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255,402</w:t>
            </w:r>
          </w:p>
        </w:tc>
        <w:tc>
          <w:tcPr>
            <w:tcW w:w="24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9,213</w:t>
            </w: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3,565</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4,363</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(798)</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(18.3)</w:t>
            </w:r>
          </w:p>
        </w:tc>
      </w:tr>
      <w:tr>
        <w:trPr>
          <w:trHeight w:val="200"/>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1,148,840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932,650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216,190</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23.2 %</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9"/>
        </w:trPr>
        <w:tc>
          <w:tcPr>
            <w:tcW w:w="378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207"/>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245,337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194,986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50,351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segment earnings for our reportable business segments and operating (loss) for our Other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4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7"/>
              </w:rPr>
              <w:t>February 3, 2023</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144,076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w w:val="99"/>
              </w:rPr>
              <w:t>93,272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50,804</w:t>
            </w:r>
          </w:p>
        </w:tc>
        <w:tc>
          <w:tcPr>
            <w:tcW w:w="15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96"/>
              </w:rPr>
              <w:t>54.5 %</w:t>
            </w: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92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37,832</w:t>
            </w:r>
          </w:p>
        </w:tc>
        <w:tc>
          <w:tcPr>
            <w:tcW w:w="160" w:type="dxa"/>
            <w:vAlign w:val="bottom"/>
          </w:tcPr>
          <w:p>
            <w:pPr>
              <w:spacing w:after="0"/>
              <w:rPr>
                <w:sz w:val="17"/>
                <w:szCs w:val="17"/>
                <w:color w:val="auto"/>
              </w:rPr>
            </w:pPr>
          </w:p>
        </w:tc>
        <w:tc>
          <w:tcPr>
            <w:tcW w:w="134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w w:val="99"/>
              </w:rPr>
              <w:t>31,760</w:t>
            </w:r>
          </w:p>
        </w:tc>
        <w:tc>
          <w:tcPr>
            <w:tcW w:w="22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6,072</w:t>
            </w:r>
          </w:p>
        </w:tc>
        <w:tc>
          <w:tcPr>
            <w:tcW w:w="150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19.1</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(50,594)</w:t>
            </w: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left="560"/>
              <w:spacing w:after="0"/>
              <w:rPr>
                <w:sz w:val="20"/>
                <w:szCs w:val="20"/>
                <w:color w:val="auto"/>
              </w:rPr>
            </w:pPr>
            <w:r>
              <w:rPr>
                <w:rFonts w:ascii="Times New Roman" w:cs="Times New Roman" w:eastAsia="Times New Roman" w:hAnsi="Times New Roman"/>
                <w:sz w:val="16"/>
                <w:szCs w:val="16"/>
                <w:color w:val="auto"/>
                <w:w w:val="98"/>
              </w:rPr>
              <w:t>(37,885)</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(12,709)</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(33.5)</w:t>
            </w:r>
          </w:p>
        </w:tc>
      </w:tr>
      <w:tr>
        <w:trPr>
          <w:trHeight w:val="200"/>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131,314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center"/>
              <w:ind w:left="580"/>
              <w:spacing w:after="0"/>
              <w:rPr>
                <w:sz w:val="20"/>
                <w:szCs w:val="20"/>
                <w:color w:val="auto"/>
              </w:rPr>
            </w:pPr>
            <w:r>
              <w:rPr>
                <w:rFonts w:ascii="Times New Roman" w:cs="Times New Roman" w:eastAsia="Times New Roman" w:hAnsi="Times New Roman"/>
                <w:sz w:val="16"/>
                <w:szCs w:val="16"/>
                <w:color w:val="auto"/>
                <w:w w:val="99"/>
              </w:rPr>
              <w:t>87,147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44,167</w:t>
            </w:r>
          </w:p>
        </w:tc>
        <w:tc>
          <w:tcPr>
            <w:tcW w:w="15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w w:val="96"/>
              </w:rPr>
              <w:t>50.7 %</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Worldwide net sales for our Professional segment for the first quarter of fiscal 2023 increased 30.9 percent compared to the first quarter of fiscal 2022. The increase was driven primarily by higher shipments of product broadly across the segment, net price realization, and incremental revenue from our acquisition of Intimidator.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Professional segment earnings for the first quarter of fiscal 2023 increased 54.5 percent compared to the first quarter of fiscal 2022, and Professional segment earnings margin increased to 16.4 percent from 13.9 percent in the first quarter of fiscal 2022. The increase in Professional segment earnings margin was primarily due to net price realization, net sales leverage and productivity improvements, partially offset by higher material, freight, and manufacturing costs, and the addition of Intimidator at a lower initial earnings margin than the segment average.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Residential segment for the first quarter of fiscal 2023 increased 3.6 percent compared to the first quarter of fiscal 2022. The increase in Residential segment net sales for the first quarter of 2023 was primarily driven by net price realization and higher shipments of zero turn riding mowers, partially offset by lower shipments of snow products.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Residential segment earnings for the first quarter of fiscal 2023 increased 19.1 percent compared to the first quarter of fiscal 2022, and Residential segment earnings margin increased to 14.3 percent from 12.4 percent in the first quarter of fiscal 2022. The increase in Residential segment earnings margin for the first quarter of fiscal 2023 was largely driven by net price realization and productivity improvements, partially offset by higher material, freight, and manufacturing costs, and higher SG&amp;A expense.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for our Other activities included sales from our wholly-owned domestic distribution company less sales from the Professional and Residential segments to the distribution company. Net sales for our Other activities in the first quarter of fiscal 2023 decreased by $0.8 million compared to the same period in fiscal 2022. This decrease was due to increased intercompany sales eliminations for sales from our Professional and Residential segments to the wholly-owned domestic distribution company, partially offset by higher sales by the wholly-owned domestic distribution company.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operating loss for our Other activities for the first quarter of fiscal 2023 increased $12.7 million compared to the first quarter of fiscal 2022 and was primarily due to higher corporate expenses and higher interest expense, partially offset by higher income from our Red Iron joint venture and the favorable impact of foreign currency exchange rate fluctuations.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Given the challenging macroeconomic environment that has created supply chain disruption and, more specifically, resulted in challenging conditions for sourcing adequate amounts of certain commodities, components, parts, and accessories, our working capital strategy continues to place primary emphasis on procuring key commodities, components, parts, and accessories when available in an attempt to maintain requisite inventory levels to meet our anticipated production requirements, avoid manufacturing delays, and meet the anticipated continued strong demand for our products, as well as attempting to ensure service parts availability for our customers. Accounts receivable as of the end of the first quarter of fiscal 2023 increased $11.0 million, or 3.0 percent, compared to the end of the first quarter of fiscal 2022, primarily driven by higher International sales, partially offset by lower Residential segment sales volume for certain customers in the last month of the quarter and a lower receivable from our Red Iron joint venture as a result of decreased sales financed under the joint venture near quarter-end. Inventory levels were up $299.4 million, or 36.0 percent, as of the first quarter of fiscal 2023 compared to the first quarter of fiscal 2022, primarily due to higher finished goods, work-in-process, and parts inventory driven by increased costs resulting from inflation and constrained component supply which limited finished product assembly. Accounts payable increased $0.7 million, or 0.2 percent, as of the end of the first quarter of fiscal 2023 compared to the end of the first quarter of fiscal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used in operating activities for the first three months of fiscal 2023 was $68.8 million compared to cash used in operating activities for the first three months of fiscal 2022 of $90.0 million. This decrease in cash used in operating activities was primarily due to higher net earnings, partially offset by increased cash consumed within inventory.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used in investing activities for the first three months of fiscal 2023 was $22.0 million compared to cash used in investing activities for the first three months of fiscal 2022 of $413.4 million. This decrease in cash used in investing activities was driven by cash used to acquire Intimidator in fiscal 2022, partially offset by higher purchases of property, plant, and equipment in the current fiscal year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Cash provided by financing activities for the first three months of fiscal 2023 was $74.4 million compared to cash provided by financing activities for the first three months of fiscal 2022 of $293.3 million. This decrease in cash provided by financing activities was mainly due to lower net borrowings, partially offset by lower share repurchases, in each case during the current fiscal year period compared to the prior fiscal year period. The net borrowings incurred during the prior fiscal year period were used in part to acquire Intimidator.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February 3, 2023, we had available liquidity of $670.9 million, consisting of cash and cash equivalents of $174.0 million, of which $75.5 million was held by our foreign subsidiaries, and availability under our revolving credit facility of $496.9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within our most recently filed Annual Report on Form 10-K for the fiscal year ended October 31, 2022.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2022</w:t>
            </w:r>
          </w:p>
        </w:tc>
      </w:tr>
      <w:tr>
        <w:trPr>
          <w:trHeight w:val="20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w:t>
            </w:r>
          </w:p>
        </w:tc>
      </w:tr>
      <w:tr>
        <w:trPr>
          <w:trHeight w:val="20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124,117</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124,055</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124,102</w:t>
            </w:r>
          </w:p>
        </w:tc>
      </w:tr>
      <w:tr>
        <w:trPr>
          <w:trHeight w:val="207"/>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4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r>
      <w:tr>
        <w:trPr>
          <w:trHeight w:val="200"/>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1,091,015</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1,091,354</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990,768</w:t>
            </w:r>
          </w:p>
        </w:tc>
      </w:tr>
      <w:tr>
        <w:trPr>
          <w:trHeight w:val="207"/>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4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1,091,015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991,354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990,768</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February 3, 2023, we had $100.0 million of outstanding borrowings under our revolving credit facility, and $3.1 million outstanding under the sublimit for standby letters of credit, which resulted in $496.9 million of unutilized availability under the revolving credit facility.</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in compliance with our debt covenants and other requirements of our revolving credit facility and term loan credit agreements, indentures, and private placement note purchase agreements.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$0.34 per share for the first quarter of fiscal 2023 that was paid on January 11, 2023. This was an increase of 13.3 percent over our cash dividend of $0.30 per share for the first quarter of fiscal 2022. We currently expect to continue paying our quarterly cash dividend to shareholders for the remainder of fiscal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first three months of fiscal 2023, we did not repurchase shares of our common stock. As of February 3, 2023, 7,526,606 shares remained available for repurchase under our Board authorized repurchase program. We expect to repurchase shares of our common stock throughout the remainder of fiscal 2023, depending on our cash balance, debt repayments, market conditions, our anticipated working capital needs, the price of our common stock, and/or other factors.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customer financing arrangements are described in further detail within our most recently filed Annual Report on Form 10-K for the fiscal year ended October 31, 2022. There have been no material changes to our customer financing arrangements during the first three months of fiscal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 with Red Iron for the three month periods ended February 3, 2023 and January 28, 2022 were $674.4 million and $528.1 million, respectively. The total amount of net receivables outstanding under the arrangement with Red Iron as of February 3, 2023, January 28, 2022 and October 31, 2022 were $942.0 million, $494.6 million and $776.1 million, respectively. The total amount of receivables due from Red Iron to us as of February 3, 2023, January 28, 2022 and October 31, 2022 were $17.3 million, $28.1 million and $17.7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three month periods ended February 3, 2023 and January 28, 2022 were $111.3 million and $106.5 million, respectively. The total amount of net receivables outstanding under the arrangements with HCFC and the other third-party financial institutions as of February 3, 2023, January 28, 2022, and October 31, 2022 were $166.1 million, $220.0 million, and $220.0 million,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February 3, 2023, January 28, 2022, and October 31, 2022, we were contingently liable to repurchase up to a maximum amount of $79.4 million, $172.3 million, and $80.0 million, respectively, of inventory related to receivables under these inventory repurchase agreements.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three months ended February 3, 2023 and January 28, 2022.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month periods ended February 3, 2023 and January 28, 2022:</w:t>
      </w:r>
    </w:p>
    <w:p>
      <w:pPr>
        <w:spacing w:after="0" w:line="8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tc>
        <w:tc>
          <w:tcPr>
            <w:tcW w:w="26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January 28, 2022</w:t>
            </w:r>
          </w:p>
        </w:tc>
      </w:tr>
      <w:tr>
        <w:trPr>
          <w:trHeight w:val="20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395,924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300,476</w:t>
            </w:r>
          </w:p>
        </w:tc>
      </w:tr>
      <w:tr>
        <w:trPr>
          <w:trHeight w:val="207"/>
        </w:trPr>
        <w:tc>
          <w:tcPr>
            <w:tcW w:w="552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2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225</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396,149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300,476</w:t>
            </w:r>
          </w:p>
        </w:tc>
      </w:tr>
      <w:tr>
        <w:trPr>
          <w:trHeight w:val="86"/>
        </w:trPr>
        <w:tc>
          <w:tcPr>
            <w:tcW w:w="55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20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136,427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91,626</w:t>
            </w:r>
          </w:p>
        </w:tc>
      </w:tr>
      <w:tr>
        <w:trPr>
          <w:trHeight w:val="207"/>
        </w:trPr>
        <w:tc>
          <w:tcPr>
            <w:tcW w:w="552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2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447</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1,016</w:t>
            </w:r>
          </w:p>
        </w:tc>
      </w:tr>
      <w:tr>
        <w:trPr>
          <w:trHeight w:val="197"/>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136,874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92,642</w:t>
            </w:r>
          </w:p>
        </w:tc>
      </w:tr>
      <w:tr>
        <w:trPr>
          <w:trHeight w:val="86"/>
        </w:trPr>
        <w:tc>
          <w:tcPr>
            <w:tcW w:w="55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20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131,314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87,147</w:t>
            </w:r>
          </w:p>
        </w:tc>
      </w:tr>
      <w:tr>
        <w:trPr>
          <w:trHeight w:val="207"/>
        </w:trPr>
        <w:tc>
          <w:tcPr>
            <w:tcW w:w="552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2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447</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1,016</w:t>
            </w:r>
          </w:p>
        </w:tc>
      </w:tr>
      <w:tr>
        <w:trPr>
          <w:trHeight w:val="197"/>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131,761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88,163</w:t>
            </w:r>
          </w:p>
        </w:tc>
      </w:tr>
      <w:tr>
        <w:trPr>
          <w:trHeight w:val="86"/>
        </w:trPr>
        <w:tc>
          <w:tcPr>
            <w:tcW w:w="55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20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106,860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69,510</w:t>
            </w:r>
          </w:p>
        </w:tc>
      </w:tr>
      <w:tr>
        <w:trPr>
          <w:trHeight w:val="207"/>
        </w:trPr>
        <w:tc>
          <w:tcPr>
            <w:tcW w:w="5520" w:type="dxa"/>
            <w:vAlign w:val="bottom"/>
          </w:tcPr>
          <w:p>
            <w:pPr>
              <w:ind w:left="12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2660" w:type="dxa"/>
            <w:vAlign w:val="bottom"/>
          </w:tcPr>
          <w:p>
            <w:pPr>
              <w:spacing w:after="0"/>
              <w:rPr>
                <w:sz w:val="17"/>
                <w:szCs w:val="17"/>
                <w:color w:val="auto"/>
              </w:rPr>
            </w:pPr>
          </w:p>
        </w:tc>
        <w:tc>
          <w:tcPr>
            <w:tcW w:w="14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351</w:t>
            </w:r>
          </w:p>
        </w:tc>
        <w:tc>
          <w:tcPr>
            <w:tcW w:w="200" w:type="dxa"/>
            <w:vAlign w:val="bottom"/>
          </w:tcPr>
          <w:p>
            <w:pPr>
              <w:spacing w:after="0"/>
              <w:rPr>
                <w:sz w:val="17"/>
                <w:szCs w:val="17"/>
                <w:color w:val="auto"/>
              </w:rPr>
            </w:pPr>
          </w:p>
        </w:tc>
        <w:tc>
          <w:tcPr>
            <w:tcW w:w="1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804</w:t>
            </w:r>
          </w:p>
        </w:tc>
      </w:tr>
      <w:tr>
        <w:trPr>
          <w:trHeight w:val="207"/>
        </w:trPr>
        <w:tc>
          <w:tcPr>
            <w:tcW w:w="5520" w:type="dxa"/>
            <w:vAlign w:val="bottom"/>
            <w:tcBorders>
              <w:bottom w:val="single" w:sz="8" w:color="auto"/>
            </w:tcBorders>
            <w:shd w:val="clear" w:color="auto" w:fill="CCEEFF"/>
          </w:tcPr>
          <w:p>
            <w:pPr>
              <w:ind w:left="12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2</w:t>
            </w:r>
          </w:p>
        </w:tc>
        <w:tc>
          <w:tcPr>
            <w:tcW w:w="26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(3,605)</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(620)</w:t>
            </w:r>
          </w:p>
        </w:tc>
      </w:tr>
      <w:tr>
        <w:trPr>
          <w:trHeight w:val="197"/>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103,606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69,694</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2"/>
        </w:trPr>
        <w:tc>
          <w:tcPr>
            <w:tcW w:w="5520" w:type="dxa"/>
            <w:vAlign w:val="bottom"/>
            <w:tcBorders>
              <w:bottom w:val="single" w:sz="8" w:color="auto"/>
            </w:tcBorders>
            <w:shd w:val="clear" w:color="auto" w:fill="CCEEFF"/>
          </w:tcPr>
          <w:p>
            <w:pPr>
              <w:spacing w:after="0"/>
              <w:rPr>
                <w:sz w:val="6"/>
                <w:szCs w:val="6"/>
                <w:color w:val="auto"/>
              </w:rPr>
            </w:pPr>
          </w:p>
        </w:tc>
        <w:tc>
          <w:tcPr>
            <w:tcW w:w="266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shd w:val="clear" w:color="auto" w:fill="CCEEFF"/>
          </w:tcPr>
          <w:p>
            <w:pPr>
              <w:spacing w:after="0"/>
              <w:rPr>
                <w:sz w:val="6"/>
                <w:szCs w:val="6"/>
                <w:color w:val="auto"/>
              </w:rPr>
            </w:pPr>
          </w:p>
        </w:tc>
      </w:tr>
      <w:tr>
        <w:trPr>
          <w:trHeight w:val="19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0.66</w:t>
            </w:r>
          </w:p>
        </w:tc>
      </w:tr>
      <w:tr>
        <w:trPr>
          <w:trHeight w:val="210"/>
        </w:trPr>
        <w:tc>
          <w:tcPr>
            <w:tcW w:w="5520" w:type="dxa"/>
            <w:vAlign w:val="bottom"/>
            <w:shd w:val="clear" w:color="auto" w:fill="CCEEFF"/>
          </w:tcPr>
          <w:p>
            <w:pPr>
              <w:ind w:left="120"/>
              <w:spacing w:after="0" w:line="209"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26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0.01</w:t>
            </w:r>
          </w:p>
        </w:tc>
      </w:tr>
      <w:tr>
        <w:trPr>
          <w:trHeight w:val="207"/>
        </w:trPr>
        <w:tc>
          <w:tcPr>
            <w:tcW w:w="552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2</w:t>
            </w:r>
          </w:p>
        </w:tc>
        <w:tc>
          <w:tcPr>
            <w:tcW w:w="2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(0.03)</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(0.01)</w:t>
            </w:r>
          </w:p>
        </w:tc>
      </w:tr>
      <w:tr>
        <w:trPr>
          <w:trHeight w:val="222"/>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0.98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0.66</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55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0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6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r>
      <w:tr>
        <w:trPr>
          <w:trHeight w:val="207"/>
        </w:trPr>
        <w:tc>
          <w:tcPr>
            <w:tcW w:w="5520" w:type="dxa"/>
            <w:vAlign w:val="bottom"/>
            <w:tcBorders>
              <w:bottom w:val="single" w:sz="8" w:color="auto"/>
            </w:tcBorders>
          </w:tcPr>
          <w:p>
            <w:pPr>
              <w:ind w:left="12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2</w:t>
            </w:r>
          </w:p>
        </w:tc>
        <w:tc>
          <w:tcPr>
            <w:tcW w:w="2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22"/>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26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240" w:right="160" w:hanging="159"/>
        <w:spacing w:after="0" w:line="230" w:lineRule="auto"/>
        <w:tabs>
          <w:tab w:leader="none" w:pos="22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On January 13, 2022, we completed our acquisition of Intimidator. Acquisition-related costs for the three month period ended February 3, 2023 represent integration costs. Acquisition-related costs for the three month period ended January 28, 2022 represent transaction and integration costs incurred in connection with the acquisition. For additional information regarding the acquisition of Intimidator, refer to Note 2, </w:t>
      </w:r>
      <w:r>
        <w:rPr>
          <w:rFonts w:ascii="Times New Roman" w:cs="Times New Roman" w:eastAsia="Times New Roman" w:hAnsi="Times New Roman"/>
          <w:sz w:val="15"/>
          <w:szCs w:val="15"/>
          <w:i w:val="1"/>
          <w:iCs w:val="1"/>
          <w:color w:val="auto"/>
        </w:rPr>
        <w:t>Business Combination</w:t>
      </w:r>
      <w:r>
        <w:rPr>
          <w:rFonts w:ascii="Times New Roman" w:cs="Times New Roman" w:eastAsia="Times New Roman" w:hAnsi="Times New Roman"/>
          <w:sz w:val="15"/>
          <w:szCs w:val="15"/>
          <w:color w:val="auto"/>
        </w:rPr>
        <w:t>, within the Notes to Condensed Consolidated Financial Statements included within Part I, Item 1 of this Quarterly Report on Form 10-Q.</w:t>
      </w:r>
    </w:p>
    <w:p>
      <w:pPr>
        <w:spacing w:after="0" w:line="96" w:lineRule="exact"/>
        <w:rPr>
          <w:sz w:val="20"/>
          <w:szCs w:val="20"/>
          <w:color w:val="auto"/>
        </w:rPr>
      </w:pPr>
    </w:p>
    <w:p>
      <w:pPr>
        <w:jc w:val="both"/>
        <w:ind w:left="240" w:right="160" w:hanging="159"/>
        <w:spacing w:after="0" w:line="234" w:lineRule="auto"/>
        <w:tabs>
          <w:tab w:leader="none" w:pos="266"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month periods ended February 3, 2023 and January 28,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net of proceeds from insurance claim.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three month periods ended February 3, 2023 and January 28, 2022:</w:t>
      </w:r>
    </w:p>
    <w:p>
      <w:pPr>
        <w:spacing w:after="0" w:line="11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6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February 3, 2023</w:t>
            </w: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January 28, 2022</w:t>
            </w:r>
          </w:p>
        </w:tc>
      </w:tr>
      <w:tr>
        <w:trPr>
          <w:trHeight w:val="20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(68,849)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(90,043)</w:t>
            </w:r>
          </w:p>
        </w:tc>
      </w:tr>
      <w:tr>
        <w:trPr>
          <w:trHeight w:val="204"/>
        </w:trPr>
        <w:tc>
          <w:tcPr>
            <w:tcW w:w="6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 net of proceeds from insurance claim</w:t>
            </w:r>
          </w:p>
        </w:tc>
        <w:tc>
          <w:tcPr>
            <w:tcW w:w="1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22,215</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11,903</w:t>
            </w:r>
          </w:p>
        </w:tc>
      </w:tr>
      <w:tr>
        <w:trPr>
          <w:trHeight w:val="20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(91,064)</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(101,946)</w:t>
            </w:r>
          </w:p>
        </w:tc>
      </w:tr>
      <w:tr>
        <w:trPr>
          <w:trHeight w:val="204"/>
        </w:trPr>
        <w:tc>
          <w:tcPr>
            <w:tcW w:w="6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106,860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69,510</w:t>
            </w:r>
          </w:p>
        </w:tc>
      </w:tr>
      <w:tr>
        <w:trPr>
          <w:trHeight w:val="225"/>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1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0"/>
        </w:trPr>
        <w:tc>
          <w:tcPr>
            <w:tcW w:w="6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most recent Annual Report on Form 10-K for the fiscal year ended October 31, 2022.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 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2022 for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discussion of our 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2022. Refer to Part II, Item 7A, "Quantitative and Qualitative Disclosures about Market Risk", within our Annual Report on Form 10-K for the fiscal year ended October 31, 2022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2023 through fiscal 2025. All items are non-trading and stated in U.S. dollars. As of February 3, 2023, the average contracted rate, notional amount, fair value, and the gain (loss)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Gain (Loss) at Fair</w:t>
            </w:r>
          </w:p>
        </w:tc>
      </w:tr>
      <w:tr>
        <w:trPr>
          <w:trHeight w:val="218"/>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 except average contracted rate)</w:t>
            </w:r>
          </w:p>
        </w:tc>
        <w:tc>
          <w:tcPr>
            <w:tcW w:w="2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Notional Amount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0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0.7123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106,505</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105,545</w:t>
            </w:r>
          </w:p>
        </w:tc>
        <w:tc>
          <w:tcPr>
            <w:tcW w:w="4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1.2873</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40,628</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41,763</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0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1.1341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148,152</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150,669</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w:t>
            </w: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1.2815</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40,430</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41,644</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07"/>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22.1863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42,864</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48,095</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w:t>
            </w: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February 3, 2023 includes $524.1 million of gross fixed-rate long-term debt that is not subject to variable interest rate fluctuations, $470.0 million of gross variable rate debt under our term loan credit agreements, and $100.0 million outstanding on our variable rate revolving credit facility.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 In the first three months of fiscal 2023, the average cost of commodities, components, parts, and accessories purchased, including the impact of inflation and tariff costs, was higher compared to the average cost of commodities, components, parts, and accessories purchased in the first three months of fiscal 2022. We anticipate that the average cost of commodities, components, parts, and accessories purchased, including the impact of inflation and tariff costs, for the remainder of fiscal 2023 will be similar to the average costs experienced during the comparable period of fiscal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January 13, 2022, during the first quarter of fiscal 2022, we completed the acquisition of Intimidator. Prior to this acquisition, Intimidator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Intimidator that we believe are appropriate and necessary to account for the acquisition and to consolidate and report our financial results. We expect to complete our integration activities related to internal control over financial reporting for Intimidator during fiscal 2023. Accordingly, we expect to include Intimidator within our assessment of internal control over financial reporting as of October 31, 2023.</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 the exception of internal control related integration activities associated with our acquisition of Intimidator, there was no change in our internal control over financial reporting that occurred during the three month period ended February 3, 2023 that has materially affected, or is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see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our Notes to Condensed Consolidated Financial Statements under the heading "Litigation"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shares of the company's common stock purchased by the company during each of the three fiscal months in the company's first quarter ended February 3,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Number of</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(or Units)</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2320" w:type="dxa"/>
            <w:vAlign w:val="bottom"/>
            <w:vMerge w:val="restart"/>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0" w:type="dxa"/>
            <w:vAlign w:val="bottom"/>
          </w:tcPr>
          <w:p>
            <w:pPr>
              <w:spacing w:after="0"/>
              <w:rPr>
                <w:sz w:val="14"/>
                <w:szCs w:val="14"/>
                <w:color w:val="auto"/>
              </w:rPr>
            </w:pPr>
          </w:p>
        </w:tc>
        <w:tc>
          <w:tcPr>
            <w:tcW w:w="1000" w:type="dxa"/>
            <w:vAlign w:val="bottom"/>
          </w:tcPr>
          <w:p>
            <w:pPr>
              <w:jc w:val="center"/>
              <w:ind w:right="100"/>
              <w:spacing w:after="0" w:line="16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Purchased As</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Shares (or Units) that</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Price Paid</w:t>
            </w: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1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320" w:type="dxa"/>
            <w:vAlign w:val="bottom"/>
          </w:tcPr>
          <w:p>
            <w:pPr>
              <w:jc w:val="center"/>
              <w:ind w:left="7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Shares (or Units)</w:t>
            </w: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per Share</w:t>
            </w: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Announced Plans or</w:t>
            </w:r>
          </w:p>
        </w:tc>
        <w:tc>
          <w:tcPr>
            <w:tcW w:w="1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20"/>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320" w:type="dxa"/>
            <w:vAlign w:val="bottom"/>
            <w:tcBorders>
              <w:bottom w:val="single" w:sz="8" w:color="auto"/>
            </w:tcBorders>
          </w:tcPr>
          <w:p>
            <w:pPr>
              <w:jc w:val="center"/>
              <w:ind w:left="760"/>
              <w:spacing w:after="0" w:line="220" w:lineRule="exact"/>
              <w:rPr>
                <w:sz w:val="20"/>
                <w:szCs w:val="20"/>
                <w:color w:val="auto"/>
              </w:rPr>
            </w:pPr>
            <w:r>
              <w:rPr>
                <w:rFonts w:ascii="Times New Roman" w:cs="Times New Roman" w:eastAsia="Times New Roman" w:hAnsi="Times New Roman"/>
                <w:sz w:val="16"/>
                <w:szCs w:val="16"/>
                <w:b w:val="1"/>
                <w:bCs w:val="1"/>
                <w:color w:val="auto"/>
                <w:w w:val="93"/>
              </w:rPr>
              <w:t>Purchased</w:t>
            </w:r>
            <w:r>
              <w:rPr>
                <w:rFonts w:ascii="Times New Roman" w:cs="Times New Roman" w:eastAsia="Times New Roman" w:hAnsi="Times New Roman"/>
                <w:sz w:val="20"/>
                <w:szCs w:val="20"/>
                <w:b w:val="1"/>
                <w:bCs w:val="1"/>
                <w:color w:val="auto"/>
                <w:w w:val="93"/>
                <w:vertAlign w:val="superscript"/>
              </w:rPr>
              <w:t>1,2,3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(or Unit)</w:t>
            </w:r>
          </w:p>
        </w:tc>
        <w:tc>
          <w:tcPr>
            <w:tcW w:w="18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4"/>
              </w:rPr>
              <w:t>Programs</w:t>
            </w:r>
            <w:r>
              <w:rPr>
                <w:rFonts w:ascii="Times New Roman" w:cs="Times New Roman" w:eastAsia="Times New Roman" w:hAnsi="Times New Roman"/>
                <w:sz w:val="20"/>
                <w:szCs w:val="20"/>
                <w:b w:val="1"/>
                <w:bCs w:val="1"/>
                <w:color w:val="auto"/>
                <w:w w:val="94"/>
                <w:vertAlign w:val="superscript"/>
              </w:rPr>
              <w:t>1,2</w:t>
            </w:r>
          </w:p>
        </w:tc>
        <w:tc>
          <w:tcPr>
            <w:tcW w:w="18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4"/>
              </w:rPr>
              <w:t>Programs</w:t>
            </w:r>
            <w:r>
              <w:rPr>
                <w:rFonts w:ascii="Times New Roman" w:cs="Times New Roman" w:eastAsia="Times New Roman" w:hAnsi="Times New Roman"/>
                <w:sz w:val="20"/>
                <w:szCs w:val="20"/>
                <w:b w:val="1"/>
                <w:bCs w:val="1"/>
                <w:color w:val="auto"/>
                <w:w w:val="94"/>
                <w:vertAlign w:val="superscript"/>
              </w:rPr>
              <w:t>1,2</w:t>
            </w: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2022 through December 2, 2022</w:t>
            </w:r>
          </w:p>
        </w:tc>
        <w:tc>
          <w:tcPr>
            <w:tcW w:w="2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7,526,606</w:t>
            </w: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 2022 through December 30, 2022</w:t>
            </w:r>
          </w:p>
        </w:tc>
        <w:tc>
          <w:tcPr>
            <w:tcW w:w="2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7,526,606</w:t>
            </w:r>
          </w:p>
        </w:tc>
        <w:tc>
          <w:tcPr>
            <w:tcW w:w="0" w:type="dxa"/>
            <w:vAlign w:val="bottom"/>
          </w:tcPr>
          <w:p>
            <w:pPr>
              <w:spacing w:after="0"/>
              <w:rPr>
                <w:sz w:val="1"/>
                <w:szCs w:val="1"/>
                <w:color w:val="auto"/>
              </w:rPr>
            </w:pPr>
          </w:p>
        </w:tc>
      </w:tr>
      <w:tr>
        <w:trPr>
          <w:trHeight w:val="207"/>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 through February 3, 2023</w:t>
            </w:r>
          </w:p>
        </w:tc>
        <w:tc>
          <w:tcPr>
            <w:tcW w:w="23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1,127</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116.58</w:t>
            </w:r>
          </w:p>
        </w:tc>
        <w:tc>
          <w:tcPr>
            <w:tcW w:w="1860" w:type="dxa"/>
            <w:vAlign w:val="bottom"/>
            <w:tcBorders>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7,526,606</w:t>
            </w:r>
          </w:p>
        </w:tc>
        <w:tc>
          <w:tcPr>
            <w:tcW w:w="0" w:type="dxa"/>
            <w:vAlign w:val="bottom"/>
          </w:tcPr>
          <w:p>
            <w:pPr>
              <w:spacing w:after="0"/>
              <w:rPr>
                <w:sz w:val="1"/>
                <w:szCs w:val="1"/>
                <w:color w:val="auto"/>
              </w:rPr>
            </w:pPr>
          </w:p>
        </w:tc>
      </w:tr>
      <w:tr>
        <w:trPr>
          <w:trHeight w:val="200"/>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116.58</w:t>
            </w:r>
          </w:p>
        </w:tc>
        <w:tc>
          <w:tcPr>
            <w:tcW w:w="18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60" w:hanging="157"/>
        <w:spacing w:after="0" w:line="234" w:lineRule="auto"/>
        <w:tabs>
          <w:tab w:leader="none" w:pos="14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did not repurchase any shares under this authorized stock repurchase program during the period indicated above and 2,526,606 shares remained available to repurchase under this authorized stock repurchase program as of February 3, 2023.</w:t>
      </w:r>
    </w:p>
    <w:p>
      <w:pPr>
        <w:spacing w:after="0" w:line="96" w:lineRule="exact"/>
        <w:rPr>
          <w:sz w:val="20"/>
          <w:szCs w:val="20"/>
          <w:color w:val="auto"/>
        </w:rPr>
      </w:pPr>
    </w:p>
    <w:p>
      <w:pPr>
        <w:jc w:val="both"/>
        <w:ind w:left="160" w:hanging="157"/>
        <w:spacing w:after="0" w:line="230" w:lineRule="auto"/>
        <w:tabs>
          <w:tab w:leader="none" w:pos="225"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an additional 5,000,000 shares of the company’s common stock in open-market or privately negotiated transactions. This authorized stock repurchase program has no expiration date but may be terminated by the company’s Board of Directors at any time. The company did not repurchase any shares under this authorized stock repurchase program during the period indicated above and 5,000,000 shares remained available to repurchase under this authorized stock repurchase program as of February 3, 2023.</w:t>
      </w:r>
    </w:p>
    <w:p>
      <w:pPr>
        <w:spacing w:after="0" w:line="96" w:lineRule="exact"/>
        <w:rPr>
          <w:sz w:val="20"/>
          <w:szCs w:val="20"/>
          <w:color w:val="auto"/>
        </w:rPr>
      </w:pPr>
    </w:p>
    <w:p>
      <w:pPr>
        <w:jc w:val="both"/>
        <w:ind w:left="160" w:hanging="157"/>
        <w:spacing w:after="0" w:line="229" w:lineRule="auto"/>
        <w:tabs>
          <w:tab w:leader="none" w:pos="199"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1,127 shares of the company’s common stock purchased in open-market transactions at an average price of $116.58 per share on behalf of a rabbi trust formed to pay benefit obligations of the company to participants in the company's deferred compensation plans. These 1,127 shares were not repurchased under the company’s authorized stock repurchase programs described in notes 1 and 2 above.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previously disclosed in a Current Report on Form 8-K filed on January 25, 2023, Richard W. Rodier, Group Vice President, notified The Toro Company (“TTC”) on January 23, 2023, of his decision to retire effective April 7, 2023. At the request of TTC, Mr. Rodier has agreed to modify his retirement date and will now retire on April 14,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60" w:type="dxa"/>
            <w:vAlign w:val="bottom"/>
            <w:tcBorders>
              <w:top w:val="single" w:sz="8" w:color="auto"/>
              <w:bottom w:val="single" w:sz="8" w:color="auto"/>
            </w:tcBorders>
            <w:gridSpan w:val="17"/>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700" w:type="dxa"/>
            <w:vAlign w:val="bottom"/>
            <w:gridSpan w:val="18"/>
          </w:tcPr>
          <w:p>
            <w:pPr>
              <w:spacing w:after="0" w:line="161"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5"/>
                <w:szCs w:val="15"/>
                <w:color w:val="0000FF"/>
              </w:rPr>
            </w:pPr>
            <w:hyperlink r:id="rId54">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7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40" w:type="dxa"/>
            <w:vAlign w:val="bottom"/>
            <w:tcBorders>
              <w:top w:val="single" w:sz="8" w:color="0000FF"/>
            </w:tcBorders>
            <w:gridSpan w:val="15"/>
          </w:tcPr>
          <w:p>
            <w:pPr>
              <w:spacing w:after="0" w:line="135" w:lineRule="exact"/>
              <w:rPr>
                <w:rFonts w:ascii="Times New Roman" w:cs="Times New Roman" w:eastAsia="Times New Roman" w:hAnsi="Times New Roman"/>
                <w:sz w:val="15"/>
                <w:szCs w:val="15"/>
                <w:color w:val="0000FF"/>
              </w:rPr>
            </w:pPr>
            <w:hyperlink r:id="rId55">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20" w:type="dxa"/>
            <w:vAlign w:val="bottom"/>
            <w:tcBorders>
              <w:top w:val="single" w:sz="8" w:color="0000FF"/>
              <w:bottom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56">
              <w:r>
                <w:rPr>
                  <w:rFonts w:ascii="Times New Roman" w:cs="Times New Roman" w:eastAsia="Times New Roman" w:hAnsi="Times New Roman"/>
                  <w:sz w:val="15"/>
                  <w:szCs w:val="15"/>
                  <w:color w:val="0000FF"/>
                </w:rPr>
                <w:t>filed with the Securities and Exchange Commission on July 19, 2016, Commission File No. 1-8649).</w:t>
              </w:r>
            </w:hyperlink>
          </w:p>
        </w:tc>
        <w:tc>
          <w:tcPr>
            <w:tcW w:w="30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10"/>
          </w:tcPr>
          <w:p>
            <w:pPr>
              <w:spacing w:after="0" w:line="135"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gridSpan w:val="12"/>
          </w:tcPr>
          <w:p>
            <w:pPr>
              <w:spacing w:after="0" w:line="148"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35" w:lineRule="exact"/>
              <w:rPr>
                <w:rFonts w:ascii="Times New Roman" w:cs="Times New Roman" w:eastAsia="Times New Roman" w:hAnsi="Times New Roman"/>
                <w:sz w:val="15"/>
                <w:szCs w:val="15"/>
                <w:color w:val="0000FF"/>
              </w:rPr>
            </w:pPr>
            <w:hyperlink r:id="rId58">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0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3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9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080" w:type="dxa"/>
            <w:vAlign w:val="bottom"/>
            <w:tcBorders>
              <w:top w:val="single" w:sz="8" w:color="0000FF"/>
            </w:tcBorders>
            <w:gridSpan w:val="1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February 3, 2023,</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filed with the SEC on March 9, 2023, formatted in Inline eXtensible Business Reporting Language (Inline XBRL): (i) Condensed Consolidated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Statements of Earnings for the three month periods ended February 3, 2023 and January 28, 2022, (ii) Condensed Consolidated Statements of</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4" w:lineRule="exact"/>
              <w:rPr>
                <w:sz w:val="20"/>
                <w:szCs w:val="20"/>
                <w:color w:val="auto"/>
              </w:rPr>
            </w:pPr>
            <w:r>
              <w:rPr>
                <w:rFonts w:ascii="Times New Roman" w:cs="Times New Roman" w:eastAsia="Times New Roman" w:hAnsi="Times New Roman"/>
                <w:sz w:val="16"/>
                <w:szCs w:val="16"/>
                <w:color w:val="auto"/>
              </w:rPr>
              <w:t>Comprehensive Income for the three month periods ended February 3, 2023 and January 28, 2022, (iii) Condensed Consolidated Balance Sheets</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as of February 3, 2023, January 28, 2022, and October 31, 2022, (iv) Condensed Consolidated Statement of Cash Flows for the three month</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periods ended February 3, 2023 and January 28, 2022, (v) Condensed Consolidated Statements of Stockholders' Equity for the three month</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periods ended February 3, 2023 and January 28, 2022, and (vi) Notes to Condensed Consolidated Financial Statements (filed herewith).</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140" w:type="dxa"/>
            <w:vAlign w:val="bottom"/>
            <w:gridSpan w:val="2"/>
          </w:tcPr>
          <w:p>
            <w:pPr>
              <w:jc w:val="center"/>
              <w:ind w:right="2994"/>
              <w:spacing w:after="0"/>
              <w:rPr>
                <w:sz w:val="20"/>
                <w:szCs w:val="20"/>
                <w:color w:val="auto"/>
              </w:rPr>
            </w:pPr>
            <w:r>
              <w:rPr>
                <w:rFonts w:ascii="Times New Roman" w:cs="Times New Roman" w:eastAsia="Times New Roman" w:hAnsi="Times New Roman"/>
                <w:sz w:val="17"/>
                <w:szCs w:val="17"/>
                <w:color w:val="auto"/>
              </w:rPr>
              <w:t>THE TORO COMPANY</w:t>
            </w:r>
          </w:p>
        </w:tc>
      </w:tr>
      <w:tr>
        <w:trPr>
          <w:trHeight w:val="223"/>
        </w:trPr>
        <w:tc>
          <w:tcPr>
            <w:tcW w:w="3080" w:type="dxa"/>
            <w:vAlign w:val="bottom"/>
          </w:tcPr>
          <w:p>
            <w:pPr>
              <w:spacing w:after="0"/>
              <w:rPr>
                <w:sz w:val="19"/>
                <w:szCs w:val="19"/>
                <w:color w:val="auto"/>
              </w:rPr>
            </w:pPr>
          </w:p>
        </w:tc>
        <w:tc>
          <w:tcPr>
            <w:tcW w:w="8140" w:type="dxa"/>
            <w:vAlign w:val="bottom"/>
            <w:gridSpan w:val="2"/>
          </w:tcPr>
          <w:p>
            <w:pPr>
              <w:jc w:val="center"/>
              <w:ind w:right="2994"/>
              <w:spacing w:after="0"/>
              <w:rPr>
                <w:sz w:val="20"/>
                <w:szCs w:val="20"/>
                <w:color w:val="auto"/>
              </w:rPr>
            </w:pPr>
            <w:r>
              <w:rPr>
                <w:rFonts w:ascii="Times New Roman" w:cs="Times New Roman" w:eastAsia="Times New Roman" w:hAnsi="Times New Roman"/>
                <w:sz w:val="17"/>
                <w:szCs w:val="17"/>
                <w:color w:val="auto"/>
              </w:rPr>
              <w:t>(Registrant)</w:t>
            </w:r>
          </w:p>
        </w:tc>
      </w:tr>
      <w:tr>
        <w:trPr>
          <w:trHeight w:val="40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Date: March 9, 2023</w:t>
            </w:r>
          </w:p>
        </w:tc>
        <w:tc>
          <w:tcPr>
            <w:tcW w:w="8140" w:type="dxa"/>
            <w:vAlign w:val="bottom"/>
            <w:gridSpan w:val="2"/>
          </w:tcPr>
          <w:p>
            <w:pPr>
              <w:ind w:left="2480"/>
              <w:spacing w:after="0"/>
              <w:rPr>
                <w:sz w:val="20"/>
                <w:szCs w:val="20"/>
                <w:color w:val="auto"/>
              </w:rPr>
            </w:pPr>
            <w:r>
              <w:rPr>
                <w:rFonts w:ascii="Times New Roman" w:cs="Times New Roman" w:eastAsia="Times New Roman" w:hAnsi="Times New Roman"/>
                <w:sz w:val="17"/>
                <w:szCs w:val="17"/>
                <w:color w:val="auto"/>
              </w:rPr>
              <w:t>By:   /s/ Renee J. Peterson</w:t>
            </w:r>
          </w:p>
        </w:tc>
      </w:tr>
      <w:tr>
        <w:trPr>
          <w:trHeight w:val="209"/>
        </w:trPr>
        <w:tc>
          <w:tcPr>
            <w:tcW w:w="3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Renee J. Peterson</w:t>
            </w:r>
          </w:p>
        </w:tc>
      </w:tr>
      <w:tr>
        <w:trPr>
          <w:trHeight w:val="220"/>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2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9, 2023</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Renee J. Peterson, certify that:</w:t>
      </w:r>
    </w:p>
    <w:p>
      <w:pPr>
        <w:spacing w:after="0" w:line="21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9, 2023</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Renee J. Peterson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of The Toro Company (the “Company”) on Form 10-Q for the quarterly period ended February 3, 2023 as filed with the Securities and Exchange Commission on the date hereof (the “Report”), we, Richard M. Olson, Chairman of the Board, President and Chief Executive Officer of the Company, and Renee J. Peterson,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9, 2023</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Renee J. Peterson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9, 2023</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4"/>
      <w:numFmt w:val="bullet"/>
      <w:start w:val="1"/>
    </w:lvl>
  </w:abstractNum>
  <w:abstractNum w:abstractNumId="8">
    <w:nsid w:val="41A7C4C9"/>
    <w:multiLevelType w:val="hybridMultilevel"/>
    <w:lvl w:ilvl="0">
      <w:lvlJc w:val="left"/>
      <w:lvlText w:val="5"/>
      <w:numFmt w:val="bullet"/>
      <w:start w:val="1"/>
    </w:lvl>
  </w:abstractNum>
  <w:abstractNum w:abstractNumId="9">
    <w:nsid w:val="6B68079A"/>
    <w:multiLevelType w:val="hybridMultilevel"/>
    <w:lvl w:ilvl="0">
      <w:lvlJc w:val="left"/>
      <w:lvlText w:val="7"/>
      <w:numFmt w:val="bullet"/>
      <w:start w:val="1"/>
    </w:lvl>
  </w:abstractNum>
  <w:abstractNum w:abstractNumId="10">
    <w:nsid w:val="4E6AFB66"/>
    <w:multiLevelType w:val="hybridMultilevel"/>
    <w:lvl w:ilvl="0">
      <w:lvlJc w:val="left"/>
      <w:lvlText w:val="8"/>
      <w:numFmt w:val="bullet"/>
      <w:start w:val="1"/>
    </w:lvl>
  </w:abstractNum>
  <w:abstractNum w:abstractNumId="11">
    <w:nsid w:val="25E45D32"/>
    <w:multiLevelType w:val="hybridMultilevel"/>
    <w:lvl w:ilvl="0">
      <w:lvlJc w:val="left"/>
      <w:lvlText w:val="9"/>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bullet"/>
      <w:start w:val="1"/>
    </w:lvl>
  </w:abstractNum>
  <w:abstractNum w:abstractNumId="15">
    <w:nsid w:val="7C83E458"/>
    <w:multiLevelType w:val="hybridMultilevel"/>
    <w:lvl w:ilvl="0">
      <w:lvlJc w:val="left"/>
      <w:lvlText w:val="2"/>
      <w:numFmt w:val="bullet"/>
      <w:start w:val="1"/>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2"/>
      <w:numFmt w:val="bullet"/>
      <w:start w:val="1"/>
    </w:lvl>
  </w:abstractNum>
  <w:abstractNum w:abstractNumId="18">
    <w:nsid w:val="436C6125"/>
    <w:multiLevelType w:val="hybridMultilevel"/>
    <w:lvl w:ilvl="0">
      <w:lvlJc w:val="left"/>
      <w:lvlText w:val="3"/>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54" Type="http://schemas.openxmlformats.org/officeDocument/2006/relationships/hyperlink" Target="http://www.sec.gov/Archives/edgar/data/737758/000073775808000033/form8-k06172008exhibitcert.htm" TargetMode="External"/><Relationship Id="rId55" Type="http://schemas.openxmlformats.org/officeDocument/2006/relationships/hyperlink" Target="http://www.sec.gov/Archives/edgar/data/737758/000119312513105223/d501846dex31.htm" TargetMode="External"/><Relationship Id="rId56" Type="http://schemas.openxmlformats.org/officeDocument/2006/relationships/hyperlink" Target="http://www.sec.gov/Archives/edgar/data/737758/000110465916133324/a16-15127_1ex3d1.htm" TargetMode="External"/><Relationship Id="rId57" Type="http://schemas.openxmlformats.org/officeDocument/2006/relationships/hyperlink" Target="http://www.sec.gov/Archives/edgar/data/737758/000110465907030051/a07-10570_1ex4d3.htm" TargetMode="External"/><Relationship Id="rId58" Type="http://schemas.openxmlformats.org/officeDocument/2006/relationships/hyperlink" Target="http://www.sec.gov/Archives/edgar/data/737758/000110465907031757/a07-10570_5ex4d1.htm" TargetMode="External"/><Relationship Id="rId59"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2023-03-09T11:56:32Z</dcterms:created>
  <dcterms:modified xsi:type="dcterms:W3CDTF">2023-03-09T11:56:32Z</dcterms:modified>
</cp:coreProperties>
</file>