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652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5213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Funk Edric C</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4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8111 LYNDALE AVENUE SOUTH</w:t>
            </w:r>
          </w:p>
        </w:tc>
      </w:tr>
      <w:tr>
        <w:trPr>
          <w:trHeight w:val="208"/>
        </w:trPr>
        <w:tc>
          <w:tcPr>
            <w:tcW w:w="4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00" w:type="dxa"/>
            <w:vAlign w:val="bottom"/>
          </w:tcPr>
          <w:p>
            <w:pPr>
              <w:jc w:val="right"/>
              <w:ind w:right="627"/>
              <w:spacing w:after="0"/>
              <w:rPr>
                <w:sz w:val="20"/>
                <w:szCs w:val="20"/>
                <w:color w:val="auto"/>
              </w:rPr>
            </w:pPr>
            <w:r>
              <w:rPr>
                <w:rFonts w:ascii="Arial" w:cs="Arial" w:eastAsia="Arial" w:hAnsi="Arial"/>
                <w:sz w:val="17"/>
                <w:szCs w:val="17"/>
                <w:color w:val="0000FF"/>
              </w:rPr>
              <w:t>55420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TORO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TTC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00" w:type="dxa"/>
            <w:vAlign w:val="bottom"/>
            <w:tcBorders>
              <w:bottom w:val="single" w:sz="8" w:color="0000EE"/>
            </w:tcBorders>
          </w:tcPr>
          <w:p>
            <w:pPr>
              <w:spacing w:after="0"/>
              <w:rPr>
                <w:sz w:val="3"/>
                <w:szCs w:val="3"/>
                <w:color w:val="auto"/>
              </w:rPr>
            </w:pPr>
          </w:p>
        </w:tc>
        <w:tc>
          <w:tcPr>
            <w:tcW w:w="2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8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000" w:type="dxa"/>
            <w:vAlign w:val="bottom"/>
            <w:gridSpan w:val="3"/>
          </w:tcPr>
          <w:p>
            <w:pPr>
              <w:ind w:left="80"/>
              <w:spacing w:after="0"/>
              <w:rPr>
                <w:sz w:val="20"/>
                <w:szCs w:val="20"/>
                <w:color w:val="auto"/>
              </w:rPr>
            </w:pPr>
            <w:r>
              <w:rPr>
                <w:rFonts w:ascii="Arial" w:cs="Arial" w:eastAsia="Arial" w:hAnsi="Arial"/>
                <w:sz w:val="17"/>
                <w:szCs w:val="17"/>
                <w:color w:val="0000FF"/>
              </w:rPr>
              <w:t>09/11/2023</w:t>
            </w:r>
          </w:p>
        </w:tc>
        <w:tc>
          <w:tcPr>
            <w:tcW w:w="2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vMerge w:val="restart"/>
          </w:tcPr>
          <w:p>
            <w:pPr>
              <w:ind w:left="80"/>
              <w:spacing w:after="0"/>
              <w:rPr>
                <w:sz w:val="20"/>
                <w:szCs w:val="20"/>
                <w:color w:val="auto"/>
              </w:rPr>
            </w:pPr>
            <w:r>
              <w:rPr>
                <w:rFonts w:ascii="Arial" w:cs="Arial" w:eastAsia="Arial" w:hAnsi="Arial"/>
                <w:sz w:val="17"/>
                <w:szCs w:val="17"/>
                <w:color w:val="0000FF"/>
              </w:rPr>
              <w:t>Group VP, Golf, Grounds &amp; Irr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520" w:type="dxa"/>
            <w:vAlign w:val="bottom"/>
            <w:gridSpan w:val="2"/>
          </w:tcPr>
          <w:p>
            <w:pPr>
              <w:ind w:left="560"/>
              <w:spacing w:after="0"/>
              <w:rPr>
                <w:sz w:val="20"/>
                <w:szCs w:val="20"/>
                <w:color w:val="auto"/>
              </w:rPr>
            </w:pPr>
            <w:r>
              <w:rPr>
                <w:rFonts w:ascii="Arial" w:cs="Arial" w:eastAsia="Arial" w:hAnsi="Arial"/>
                <w:sz w:val="17"/>
                <w:szCs w:val="17"/>
                <w:color w:val="0000FF"/>
              </w:rPr>
              <w:t>09/11/2023</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P</w:t>
            </w:r>
          </w:p>
        </w:tc>
        <w:tc>
          <w:tcPr>
            <w:tcW w:w="760" w:type="dxa"/>
            <w:vAlign w:val="bottom"/>
          </w:tcPr>
          <w:p>
            <w:pPr>
              <w:ind w:left="240"/>
              <w:spacing w:after="0"/>
              <w:rPr>
                <w:sz w:val="20"/>
                <w:szCs w:val="20"/>
                <w:color w:val="auto"/>
              </w:rPr>
            </w:pPr>
            <w:r>
              <w:rPr>
                <w:rFonts w:ascii="Arial" w:cs="Arial" w:eastAsia="Arial" w:hAnsi="Arial"/>
                <w:sz w:val="17"/>
                <w:szCs w:val="17"/>
                <w:color w:val="0000FF"/>
              </w:rPr>
              <w:t>100</w:t>
            </w:r>
          </w:p>
        </w:tc>
        <w:tc>
          <w:tcPr>
            <w:tcW w:w="440" w:type="dxa"/>
            <w:vAlign w:val="bottom"/>
          </w:tcPr>
          <w:p>
            <w:pPr>
              <w:ind w:left="180"/>
              <w:spacing w:after="0"/>
              <w:rPr>
                <w:sz w:val="20"/>
                <w:szCs w:val="20"/>
                <w:color w:val="auto"/>
              </w:rPr>
            </w:pPr>
            <w:r>
              <w:rPr>
                <w:rFonts w:ascii="Arial" w:cs="Arial" w:eastAsia="Arial" w:hAnsi="Arial"/>
                <w:sz w:val="17"/>
                <w:szCs w:val="17"/>
                <w:color w:val="0000FF"/>
              </w:rPr>
              <w:t>A</w:t>
            </w:r>
          </w:p>
        </w:tc>
        <w:tc>
          <w:tcPr>
            <w:tcW w:w="640" w:type="dxa"/>
            <w:vAlign w:val="bottom"/>
            <w:gridSpan w:val="2"/>
          </w:tcPr>
          <w:p>
            <w:pPr>
              <w:ind w:left="14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82.12</w:t>
            </w:r>
          </w:p>
        </w:tc>
        <w:tc>
          <w:tcPr>
            <w:tcW w:w="1260" w:type="dxa"/>
            <w:vAlign w:val="bottom"/>
            <w:gridSpan w:val="3"/>
          </w:tcPr>
          <w:p>
            <w:pPr>
              <w:jc w:val="right"/>
              <w:ind w:right="440"/>
              <w:spacing w:after="0"/>
              <w:rPr>
                <w:sz w:val="20"/>
                <w:szCs w:val="20"/>
                <w:color w:val="auto"/>
              </w:rPr>
            </w:pPr>
            <w:r>
              <w:rPr>
                <w:rFonts w:ascii="Arial" w:cs="Arial" w:eastAsia="Arial" w:hAnsi="Arial"/>
                <w:sz w:val="17"/>
                <w:szCs w:val="17"/>
                <w:color w:val="0000FF"/>
              </w:rPr>
              <w:t>100</w:t>
            </w:r>
          </w:p>
        </w:tc>
        <w:tc>
          <w:tcPr>
            <w:tcW w:w="30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Arial" w:cs="Arial" w:eastAsia="Arial" w:hAnsi="Arial"/>
                <w:sz w:val="17"/>
                <w:szCs w:val="17"/>
                <w:color w:val="0000FF"/>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vMerge w:val="restart"/>
          </w:tcPr>
          <w:p>
            <w:pPr>
              <w:jc w:val="center"/>
              <w:ind w:right="140"/>
              <w:spacing w:after="0"/>
              <w:rPr>
                <w:sz w:val="20"/>
                <w:szCs w:val="20"/>
                <w:color w:val="auto"/>
              </w:rPr>
            </w:pPr>
            <w:r>
              <w:rPr>
                <w:rFonts w:ascii="Arial" w:cs="Arial" w:eastAsia="Arial" w:hAnsi="Arial"/>
                <w:sz w:val="17"/>
                <w:szCs w:val="17"/>
                <w:color w:val="0000FF"/>
              </w:rPr>
              <w:t>2,894.251</w:t>
            </w:r>
            <w:r>
              <w:rPr>
                <w:rFonts w:ascii="Arial" w:cs="Arial" w:eastAsia="Arial" w:hAnsi="Arial"/>
                <w:sz w:val="22"/>
                <w:szCs w:val="22"/>
                <w:color w:val="008000"/>
                <w:vertAlign w:val="superscript"/>
              </w:rPr>
              <w:t>(1)</w:t>
            </w:r>
          </w:p>
        </w:tc>
        <w:tc>
          <w:tcPr>
            <w:tcW w:w="300" w:type="dxa"/>
            <w:vAlign w:val="bottom"/>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7"/>
                <w:szCs w:val="17"/>
                <w:color w:val="0000FF"/>
              </w:rPr>
              <w:t>Retirement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4"/>
          </w:tcPr>
          <w:p>
            <w:pPr>
              <w:ind w:left="60"/>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26.921 net shares acquired by the reporting person since the date of his last report under the dividend reinvestment feature of The Toro Company Retirement Plan less non-discretionary quarterly administrative fees.</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Joanna M. Totsky,</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09/13/2023</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300" w:type="dxa"/>
            <w:vAlign w:val="bottom"/>
            <w:tcBorders>
              <w:top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00" w:type="dxa"/>
            <w:vAlign w:val="bottom"/>
            <w:tcBorders>
              <w:top w:val="single" w:sz="8" w:color="auto"/>
            </w:tcBorders>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07" w:lineRule="exact"/>
        <w:rPr>
          <w:sz w:val="20"/>
          <w:szCs w:val="20"/>
          <w:color w:val="auto"/>
        </w:rPr>
      </w:pPr>
    </w:p>
    <w:p>
      <w:pPr>
        <w:ind w:right="3019"/>
        <w:spacing w:after="0" w:line="25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Joanna M. Totsky, signing singly, true and lawful attorney-in-fact relative to the filings identified below in connection with the undersigned's derivative and non-derivative securities of The Toro Company (the 'Company') to:</w:t>
      </w:r>
    </w:p>
    <w:p>
      <w:pPr>
        <w:spacing w:after="0" w:line="168" w:lineRule="exact"/>
        <w:rPr>
          <w:sz w:val="20"/>
          <w:szCs w:val="20"/>
          <w:color w:val="auto"/>
        </w:rPr>
      </w:pPr>
    </w:p>
    <w:p>
      <w:pPr>
        <w:ind w:right="2919" w:firstLine="7"/>
        <w:spacing w:after="0" w:line="257"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168" w:lineRule="exact"/>
        <w:rPr>
          <w:rFonts w:ascii="Courier New" w:cs="Courier New" w:eastAsia="Courier New" w:hAnsi="Courier New"/>
          <w:sz w:val="17"/>
          <w:szCs w:val="17"/>
          <w:color w:val="auto"/>
        </w:rPr>
      </w:pPr>
    </w:p>
    <w:p>
      <w:pPr>
        <w:ind w:left="840" w:hanging="833"/>
        <w:spacing w:after="0"/>
        <w:tabs>
          <w:tab w:leader="none" w:pos="8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w:t>
      </w:r>
    </w:p>
    <w:p>
      <w:pPr>
        <w:spacing w:after="0" w:line="26"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7"/>
          <w:szCs w:val="17"/>
          <w:color w:val="auto"/>
        </w:rPr>
        <w:t>in the undersigned?s capacity as an officer of the Company, any Form 144 in accordance with Rule 144 under the Securities Act of 1933, as amended, and the rules and regulations thereunder (the 'Securities Act');</w:t>
      </w:r>
    </w:p>
    <w:p>
      <w:pPr>
        <w:spacing w:after="0" w:line="172" w:lineRule="exact"/>
        <w:rPr>
          <w:sz w:val="20"/>
          <w:szCs w:val="20"/>
          <w:color w:val="auto"/>
        </w:rPr>
      </w:pPr>
    </w:p>
    <w:p>
      <w:pPr>
        <w:ind w:right="2919" w:firstLine="7"/>
        <w:spacing w:after="0" w:line="257"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68" w:lineRule="exact"/>
        <w:rPr>
          <w:rFonts w:ascii="Courier New" w:cs="Courier New" w:eastAsia="Courier New" w:hAnsi="Courier New"/>
          <w:sz w:val="17"/>
          <w:szCs w:val="17"/>
          <w:color w:val="auto"/>
        </w:rPr>
      </w:pPr>
    </w:p>
    <w:p>
      <w:pPr>
        <w:ind w:right="2919" w:firstLine="7"/>
        <w:spacing w:after="0" w:line="253"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hereby grants to such attorney-in-fact full</w:t>
      </w:r>
    </w:p>
    <w:p>
      <w:pPr>
        <w:spacing w:after="0" w:line="26" w:lineRule="exact"/>
        <w:rPr>
          <w:sz w:val="20"/>
          <w:szCs w:val="20"/>
          <w:color w:val="auto"/>
        </w:rPr>
      </w:pPr>
    </w:p>
    <w:p>
      <w:pPr>
        <w:ind w:right="2819"/>
        <w:spacing w:after="0" w:line="249" w:lineRule="auto"/>
        <w:rPr>
          <w:sz w:val="20"/>
          <w:szCs w:val="20"/>
          <w:color w:val="auto"/>
        </w:rPr>
      </w:pPr>
      <w:r>
        <w:rPr>
          <w:rFonts w:ascii="Courier New" w:cs="Courier New" w:eastAsia="Courier New" w:hAnsi="Courier New"/>
          <w:sz w:val="17"/>
          <w:szCs w:val="17"/>
          <w:color w:val="auto"/>
        </w:rPr>
        <w:t>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Limited Power</w:t>
      </w:r>
    </w:p>
    <w:p>
      <w:pPr>
        <w:spacing w:after="0" w:line="26" w:lineRule="exact"/>
        <w:rPr>
          <w:sz w:val="20"/>
          <w:szCs w:val="20"/>
          <w:color w:val="auto"/>
        </w:rPr>
      </w:pPr>
    </w:p>
    <w:p>
      <w:pPr>
        <w:ind w:right="2919"/>
        <w:spacing w:after="0" w:line="252" w:lineRule="auto"/>
        <w:rPr>
          <w:sz w:val="20"/>
          <w:szCs w:val="20"/>
          <w:color w:val="auto"/>
        </w:rPr>
      </w:pPr>
      <w:r>
        <w:rPr>
          <w:rFonts w:ascii="Courier New" w:cs="Courier New" w:eastAsia="Courier New" w:hAnsi="Courier New"/>
          <w:sz w:val="17"/>
          <w:szCs w:val="17"/>
          <w:color w:val="auto"/>
        </w:rPr>
        <w:t>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9999"/>
          </w:cols>
          <w:pgMar w:left="460" w:top="118"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Edric C. Funk</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Edric C. Funk</w:t>
      </w:r>
    </w:p>
    <w:p>
      <w:pPr>
        <w:spacing w:after="0" w:line="189" w:lineRule="exact"/>
        <w:rPr>
          <w:sz w:val="20"/>
          <w:szCs w:val="20"/>
          <w:color w:val="auto"/>
        </w:rPr>
      </w:pPr>
    </w:p>
    <w:p>
      <w:pPr>
        <w:sectPr>
          <w:pgSz w:w="11900" w:h="16838" w:orient="portrait"/>
          <w:cols w:equalWidth="0" w:num="2">
            <w:col w:w="940" w:space="720"/>
            <w:col w:w="8339"/>
          </w:cols>
          <w:pgMar w:left="460" w:top="118"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09/12/2023</w:t>
      </w:r>
    </w:p>
    <w:sectPr>
      <w:pgSz w:w="11900" w:h="16838" w:orient="portrait"/>
      <w:cols w:equalWidth="0" w:num="2">
        <w:col w:w="640" w:space="200"/>
        <w:col w:w="9159"/>
      </w:cols>
      <w:pgMar w:left="460" w:top="11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5209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2023-09-13T13:40:41Z</dcterms:created>
  <dcterms:modified xsi:type="dcterms:W3CDTF">2023-09-13T13:40:41Z</dcterms:modified>
</cp:coreProperties>
</file>