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Co/The</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61,104</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15,531</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11,065,799</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62,914</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11,128,713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Toro Co/The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Bloomington, Minnesota 55420-1196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891092108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11,128,713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61,104</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15,531</w:t>
      </w:r>
    </w:p>
    <w:p>
      <w:pPr>
        <w:spacing w:after="0" w:line="223" w:lineRule="exact"/>
        <w:rPr>
          <w:rFonts w:ascii="Arial" w:cs="Arial" w:eastAsia="Arial" w:hAnsi="Arial"/>
          <w:sz w:val="17"/>
          <w:szCs w:val="17"/>
          <w:color w:val="auto"/>
        </w:rPr>
      </w:pPr>
    </w:p>
    <w:p>
      <w:pPr>
        <w:ind w:left="220" w:right="61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11,065,799 (iv) shared power to dispose or to direct the disposition of: 62,914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47,383 shares or 0.04%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29,252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2020-02-12T05:40:28Z</dcterms:created>
  <dcterms:modified xsi:type="dcterms:W3CDTF">2020-02-12T05:40:28Z</dcterms:modified>
</cp:coreProperties>
</file>